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Karla" w:cs="Karla" w:eastAsia="Karla" w:hAnsi="Karla"/>
        </w:rPr>
      </w:pPr>
      <w:bookmarkStart w:colFirst="0" w:colLast="0" w:name="_ur1t5b8jurj2" w:id="0"/>
      <w:bookmarkEnd w:id="0"/>
      <w:r w:rsidDel="00000000" w:rsidR="00000000" w:rsidRPr="00000000">
        <w:rPr>
          <w:rFonts w:ascii="Karla" w:cs="Karla" w:eastAsia="Karla" w:hAnsi="Karla"/>
          <w:rtl w:val="0"/>
        </w:rPr>
        <w:t xml:space="preserve">EFiling Check-In - Oct 21, 2021</w:t>
      </w:r>
    </w:p>
    <w:p w:rsidR="00000000" w:rsidDel="00000000" w:rsidP="00000000" w:rsidRDefault="00000000" w:rsidRPr="00000000" w14:paraId="00000002">
      <w:pPr>
        <w:pStyle w:val="Heading1"/>
        <w:rPr>
          <w:rFonts w:ascii="Karla" w:cs="Karla" w:eastAsia="Karla" w:hAnsi="Karla"/>
        </w:rPr>
      </w:pPr>
      <w:bookmarkStart w:colFirst="0" w:colLast="0" w:name="_yvo46spleamx" w:id="1"/>
      <w:bookmarkEnd w:id="1"/>
      <w:r w:rsidDel="00000000" w:rsidR="00000000" w:rsidRPr="00000000">
        <w:rPr>
          <w:rFonts w:ascii="Karla" w:cs="Karla" w:eastAsia="Karla" w:hAnsi="Karla"/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Ken Lally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Laura Beaufort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Ryan Lanz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Jonella Culmer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Robert Fultz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Alex Lin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Matt Travers</w:t>
      </w:r>
    </w:p>
    <w:p w:rsidR="00000000" w:rsidDel="00000000" w:rsidP="00000000" w:rsidRDefault="00000000" w:rsidRPr="00000000" w14:paraId="0000000A">
      <w:pPr>
        <w:pStyle w:val="Heading1"/>
        <w:rPr>
          <w:rFonts w:ascii="Karla" w:cs="Karla" w:eastAsia="Karla" w:hAnsi="Karla"/>
        </w:rPr>
      </w:pPr>
      <w:bookmarkStart w:colFirst="0" w:colLast="0" w:name="_m6eod74icdyk" w:id="2"/>
      <w:bookmarkEnd w:id="2"/>
      <w:r w:rsidDel="00000000" w:rsidR="00000000" w:rsidRPr="00000000">
        <w:rPr>
          <w:rFonts w:ascii="Karla" w:cs="Karla" w:eastAsia="Karla" w:hAnsi="Karla"/>
          <w:rtl w:val="0"/>
        </w:rPr>
        <w:t xml:space="preserve">Discussion Notes: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These notes capture discussion points and action items not covered in materials provided.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Slide Deck: “2021-10-21 FEC - FECFile Online - Weekly Check-in.pptx” for slide deck content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Schedule (p3):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Paul and Ken both confirmed that the UAT instance could be used for non-invasive testing (e.g. 508, Security)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Confirmed that, for the Design and Usability AQL “Industry best practices for UI design for modern websites. UI considerations include: proper alignment of elements, proper spacing, consistency in sizing, typography, color(s) throughout the product,” conformance with the design pattern library would be an acceptable evaluation method.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Jonella clarified that the pattern library was intended to be a starting point for UX design. She recommended that, where patterns exist, non-conformance would be an issue; however, where patterns do not exist, we should use our judgment, as not every possible pattern is covered in the UX library.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Laura, Jonella, and Ryan clarified the overall intent of UX pattern conformance: The UX should convey that FECFile Online is part of the FEC ecosystem and that it mirrors the patterns/paradigms used in other FEC sites. This helps convey that it is legitimate service and professional website, not something hacked together and suspect.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Further, FECFile Online should familiar and part of the FEC ecosystem, but also feel distinct enough that users understand that they are not merely entering data into the FEC.gov website--that this is a secure, legitimate, protected, and separate site for their data entry and that their data will only be received when submitted intentionally.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Staffing and Resources (p4):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Ken offered to submit any identified team members for the next phase for the clearance process.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Alex to send names as they are finalized.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Budget, Scope, and Contract (p5):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Ken asked when to expect the schedule of rates for the T&amp;M team.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Alex proposed 48 hours after exercise of the option, which Ken accepted.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Ken asked when the next invoice would be expected.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Alex responded that the next invoice will be NLT 11/7 for the Sept and Oct portion of the fixed price work.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