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58134" w14:textId="77777777" w:rsidR="009651E6" w:rsidRDefault="009651E6"/>
    <w:p w14:paraId="23F58135" w14:textId="77777777" w:rsidR="009651E6" w:rsidRDefault="00323173">
      <w:r>
        <w:t>Kedves kitöltő,</w:t>
      </w:r>
    </w:p>
    <w:p w14:paraId="23F58136" w14:textId="77777777" w:rsidR="009651E6" w:rsidRDefault="00323173">
      <w:r>
        <w:t xml:space="preserve">Válaszaid alapján alaposan mérlegeltük a piacon lévő ajánlatokat, és az egyik piacvezető javaslata mellett döntöttünk. Miért? </w:t>
      </w:r>
    </w:p>
    <w:p w14:paraId="23F58137" w14:textId="77777777" w:rsidR="009651E6" w:rsidRDefault="00323173">
      <w:pPr>
        <w:numPr>
          <w:ilvl w:val="0"/>
          <w:numId w:val="2"/>
        </w:numPr>
        <w:pBdr>
          <w:top w:val="nil"/>
          <w:left w:val="nil"/>
          <w:bottom w:val="nil"/>
          <w:right w:val="nil"/>
          <w:between w:val="nil"/>
        </w:pBdr>
        <w:spacing w:before="120" w:after="0" w:line="276" w:lineRule="auto"/>
      </w:pPr>
      <w:r>
        <w:t>A</w:t>
      </w:r>
      <w:r>
        <w:rPr>
          <w:color w:val="000000"/>
        </w:rPr>
        <w:t xml:space="preserve"> tavalyi évben összesen 706.000.000 Ft-ot fizetett ki ügyfeleinek,</w:t>
      </w:r>
    </w:p>
    <w:p w14:paraId="23F58138" w14:textId="77777777" w:rsidR="009651E6" w:rsidRDefault="00323173">
      <w:pPr>
        <w:numPr>
          <w:ilvl w:val="0"/>
          <w:numId w:val="2"/>
        </w:numPr>
        <w:pBdr>
          <w:top w:val="nil"/>
          <w:left w:val="nil"/>
          <w:bottom w:val="nil"/>
          <w:right w:val="nil"/>
          <w:between w:val="nil"/>
        </w:pBdr>
        <w:spacing w:after="0" w:line="276" w:lineRule="auto"/>
      </w:pPr>
      <w:r>
        <w:t xml:space="preserve">a </w:t>
      </w:r>
      <w:r>
        <w:rPr>
          <w:color w:val="000000"/>
        </w:rPr>
        <w:t>legkedvezőbb ajánlatot nyújtották,</w:t>
      </w:r>
    </w:p>
    <w:p w14:paraId="23F58139" w14:textId="77777777" w:rsidR="009651E6" w:rsidRDefault="00323173">
      <w:pPr>
        <w:numPr>
          <w:ilvl w:val="0"/>
          <w:numId w:val="2"/>
        </w:numPr>
        <w:pBdr>
          <w:top w:val="nil"/>
          <w:left w:val="nil"/>
          <w:bottom w:val="nil"/>
          <w:right w:val="nil"/>
          <w:between w:val="nil"/>
        </w:pBdr>
        <w:spacing w:after="0" w:line="276" w:lineRule="auto"/>
      </w:pPr>
      <w:r>
        <w:rPr>
          <w:color w:val="000000"/>
        </w:rPr>
        <w:t xml:space="preserve"> életbiztosításban </w:t>
      </w:r>
      <w:r>
        <w:t>E</w:t>
      </w:r>
      <w:r>
        <w:rPr>
          <w:color w:val="000000"/>
        </w:rPr>
        <w:t xml:space="preserve">urópában 20 országban </w:t>
      </w:r>
      <w:proofErr w:type="spellStart"/>
      <w:r>
        <w:rPr>
          <w:color w:val="000000"/>
        </w:rPr>
        <w:t>piacvezetőek</w:t>
      </w:r>
      <w:proofErr w:type="spellEnd"/>
      <w:r>
        <w:rPr>
          <w:color w:val="000000"/>
        </w:rPr>
        <w:t>,</w:t>
      </w:r>
    </w:p>
    <w:p w14:paraId="23F5813A" w14:textId="7C039DC9" w:rsidR="009651E6" w:rsidRDefault="00323173">
      <w:pPr>
        <w:numPr>
          <w:ilvl w:val="0"/>
          <w:numId w:val="2"/>
        </w:numPr>
        <w:pBdr>
          <w:top w:val="nil"/>
          <w:left w:val="nil"/>
          <w:bottom w:val="nil"/>
          <w:right w:val="nil"/>
          <w:between w:val="nil"/>
        </w:pBdr>
        <w:spacing w:after="0" w:line="276" w:lineRule="auto"/>
      </w:pPr>
      <w:r>
        <w:rPr>
          <w:color w:val="000000"/>
        </w:rPr>
        <w:t xml:space="preserve">150 éves </w:t>
      </w:r>
      <w:r w:rsidR="00B80FAF">
        <w:rPr>
          <w:color w:val="000000"/>
        </w:rPr>
        <w:t xml:space="preserve">stabil </w:t>
      </w:r>
      <w:r>
        <w:rPr>
          <w:color w:val="000000"/>
        </w:rPr>
        <w:t>múlttal rendelkeznek</w:t>
      </w:r>
      <w:r>
        <w:t xml:space="preserve"> és</w:t>
      </w:r>
    </w:p>
    <w:p w14:paraId="23F5813B" w14:textId="483F0EE7" w:rsidR="009651E6" w:rsidRDefault="00323173">
      <w:pPr>
        <w:numPr>
          <w:ilvl w:val="0"/>
          <w:numId w:val="2"/>
        </w:numPr>
        <w:pBdr>
          <w:top w:val="nil"/>
          <w:left w:val="nil"/>
          <w:bottom w:val="nil"/>
          <w:right w:val="nil"/>
          <w:between w:val="nil"/>
        </w:pBdr>
        <w:spacing w:after="200" w:line="276" w:lineRule="auto"/>
      </w:pPr>
      <w:r>
        <w:rPr>
          <w:color w:val="000000"/>
        </w:rPr>
        <w:t xml:space="preserve">ők fizetnek a leggyorsabban: átlagosan </w:t>
      </w:r>
      <w:r w:rsidR="008B6DF9">
        <w:rPr>
          <w:color w:val="000000"/>
        </w:rPr>
        <w:t xml:space="preserve">2-6 </w:t>
      </w:r>
      <w:r>
        <w:rPr>
          <w:color w:val="000000"/>
        </w:rPr>
        <w:t>napon belül.</w:t>
      </w:r>
    </w:p>
    <w:p w14:paraId="23F5813C" w14:textId="7893C120" w:rsidR="009651E6" w:rsidRDefault="00323173">
      <w:r>
        <w:t>Csatolt javaslatunkban részletesen megmutatjuk, szerintünk minimum mire lenne szükséged, és milyen egyéb kiegészítőkben érdemes gondolkodnod, hogy sínre kerülj az öngondoskodás terén</w:t>
      </w:r>
      <w:r w:rsidR="0079657D">
        <w:t>.</w:t>
      </w:r>
    </w:p>
    <w:p w14:paraId="23F5813D" w14:textId="77777777" w:rsidR="009651E6" w:rsidRDefault="00323173">
      <w:r>
        <w:t>Hogy néz ki egy ideális öngondoskodó portfólió?</w:t>
      </w:r>
    </w:p>
    <w:p w14:paraId="23F5813E" w14:textId="77777777" w:rsidR="009651E6" w:rsidRDefault="00323173">
      <w:pPr>
        <w:ind w:left="1077" w:hanging="357"/>
      </w:pPr>
      <w:r>
        <w:t>Az első és legfontosabb, hogy egy baleset vagy betegség esetén biztosítva legyél. Egy váratlan helyzet minden egyéb tervedet felülírhatja, vagyis csak ha van fedezeted a bevételed kiesésére, egy műtétre, a kórházi tartózkodásra, azt követően tudsz tervezni a megtakarításaidat, további céljaidat illetően. Ez az első lépés, egy szilárd alap, amire aztán már tudsz építkezni, hogy a pénzügyi terveid ne a levegőben lógjanak, és fújja el őket egy előre nem látott helyzet. Kezdjük tehát ezzel!</w:t>
      </w:r>
    </w:p>
    <w:p w14:paraId="23F5813F" w14:textId="77777777" w:rsidR="009651E6" w:rsidRDefault="009651E6"/>
    <w:p w14:paraId="23F58140" w14:textId="77777777" w:rsidR="009651E6" w:rsidRDefault="009651E6"/>
    <w:p w14:paraId="23F58141" w14:textId="77777777" w:rsidR="009651E6" w:rsidRDefault="009651E6"/>
    <w:p w14:paraId="23F58142" w14:textId="77777777" w:rsidR="009651E6" w:rsidRDefault="009651E6"/>
    <w:p w14:paraId="23F58143" w14:textId="77777777" w:rsidR="009651E6" w:rsidRDefault="009651E6"/>
    <w:p w14:paraId="23F58144" w14:textId="5B35A9C3" w:rsidR="009651E6" w:rsidRDefault="009651E6"/>
    <w:p w14:paraId="34BE7BBA" w14:textId="0A9D58E7" w:rsidR="007B3E23" w:rsidRDefault="007B3E23"/>
    <w:p w14:paraId="51685096" w14:textId="29E86CF3" w:rsidR="007B3E23" w:rsidRDefault="007B3E23"/>
    <w:p w14:paraId="54A873AD" w14:textId="5D6AA609" w:rsidR="007B3E23" w:rsidRDefault="007B3E23"/>
    <w:p w14:paraId="5F70A094" w14:textId="7ECD2A86" w:rsidR="007B3E23" w:rsidRDefault="007B3E23"/>
    <w:p w14:paraId="1FE551F0" w14:textId="3B853662" w:rsidR="007B3E23" w:rsidRDefault="007B3E23"/>
    <w:p w14:paraId="00843169" w14:textId="6A683A85" w:rsidR="007B3E23" w:rsidRDefault="007B3E23"/>
    <w:p w14:paraId="3B99F50E" w14:textId="1C5AFF3E" w:rsidR="007B3E23" w:rsidRDefault="007B3E23"/>
    <w:p w14:paraId="69FEA93D" w14:textId="77777777" w:rsidR="007B3E23" w:rsidRDefault="007B3E23"/>
    <w:p w14:paraId="23F58145" w14:textId="77777777" w:rsidR="009651E6" w:rsidRDefault="009651E6"/>
    <w:p w14:paraId="23F58146" w14:textId="77777777" w:rsidR="009651E6" w:rsidRDefault="009651E6"/>
    <w:tbl>
      <w:tblPr>
        <w:tblStyle w:val="a"/>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4"/>
      </w:tblGrid>
      <w:tr w:rsidR="009651E6" w14:paraId="23F58148" w14:textId="77777777">
        <w:trPr>
          <w:trHeight w:val="480"/>
        </w:trPr>
        <w:tc>
          <w:tcPr>
            <w:tcW w:w="9214" w:type="dxa"/>
            <w:shd w:val="clear" w:color="auto" w:fill="1F3864"/>
            <w:vAlign w:val="center"/>
          </w:tcPr>
          <w:p w14:paraId="23F58147" w14:textId="77777777" w:rsidR="009651E6" w:rsidRDefault="00323173">
            <w:pPr>
              <w:jc w:val="center"/>
              <w:rPr>
                <w:b/>
                <w:sz w:val="28"/>
                <w:szCs w:val="28"/>
              </w:rPr>
            </w:pPr>
            <w:r>
              <w:rPr>
                <w:b/>
                <w:sz w:val="28"/>
                <w:szCs w:val="28"/>
              </w:rPr>
              <w:lastRenderedPageBreak/>
              <w:t>Védelmi javaslat halál esetére</w:t>
            </w:r>
          </w:p>
        </w:tc>
      </w:tr>
      <w:tr w:rsidR="009651E6" w14:paraId="23F5814D" w14:textId="77777777">
        <w:trPr>
          <w:trHeight w:val="480"/>
        </w:trPr>
        <w:tc>
          <w:tcPr>
            <w:tcW w:w="9214" w:type="dxa"/>
            <w:shd w:val="clear" w:color="auto" w:fill="FFFFFF"/>
            <w:vAlign w:val="center"/>
          </w:tcPr>
          <w:p w14:paraId="23F58149" w14:textId="77777777" w:rsidR="009651E6" w:rsidRDefault="00323173">
            <w:pPr>
              <w:jc w:val="center"/>
              <w:rPr>
                <w:b/>
                <w:sz w:val="24"/>
                <w:szCs w:val="24"/>
              </w:rPr>
            </w:pPr>
            <w:r>
              <w:rPr>
                <w:b/>
                <w:sz w:val="24"/>
                <w:szCs w:val="24"/>
              </w:rPr>
              <w:t>Tudjuk, hogy sokkoló ezzel indítani, de egyszerűen elengedhetetlen. Miért? Mert vannak olyanok, akiket biztonságban akarsz tudni, még akkor is, ha te már nem állhatsz mellettük. Egy haláleset után a családod számára 2-4 év nagyon kemény gyászidőszak következik. Ezt a fájdalmat nem lehet enyhíteni, de arról gondoskodhatsz, hogy legalább a pénzügyi biztonságuk miatt ne kelljen ilyenkor szoronganiuk. Egy haláleseti biztosítás segít nekik átvészelni ezt az időszakot, nem kell eladni a lakást, amiben éltek, hogy kifizessék a hiteledet, nem kell másokhoz fordulniuk segítségért, hitelt felvenni, hogy felszínen maradjanak. Ha most van félretett pénzed ilyen esetre, az remek, de egy biztosítással ez a tőke felszabadul, és okosabban, más célokra is használhatod, miközben a biztonságról sem kell lemondanod.</w:t>
            </w:r>
          </w:p>
          <w:p w14:paraId="23F5814A" w14:textId="77777777" w:rsidR="009651E6" w:rsidRDefault="00323173">
            <w:pPr>
              <w:jc w:val="center"/>
              <w:rPr>
                <w:b/>
                <w:sz w:val="24"/>
                <w:szCs w:val="24"/>
              </w:rPr>
            </w:pPr>
            <w:r>
              <w:rPr>
                <w:b/>
                <w:sz w:val="24"/>
                <w:szCs w:val="24"/>
              </w:rPr>
              <w:t>A jó hír az, hogy az életbiztosítás egyáltalán nem drága. Mutatunk is néhány példát, hogy lásd, havonta mennyibe kerülne egy haláleseti biztosítás, és ezért cserébe mekkora összeget kapna a családod, ha megtörténik a baj.</w:t>
            </w:r>
          </w:p>
          <w:p w14:paraId="23F5814B" w14:textId="77777777" w:rsidR="009651E6" w:rsidRDefault="009651E6">
            <w:pPr>
              <w:jc w:val="center"/>
              <w:rPr>
                <w:b/>
                <w:sz w:val="24"/>
                <w:szCs w:val="24"/>
              </w:rPr>
            </w:pPr>
          </w:p>
          <w:p w14:paraId="23F5814C" w14:textId="77777777" w:rsidR="009651E6" w:rsidRDefault="009651E6">
            <w:pPr>
              <w:jc w:val="center"/>
              <w:rPr>
                <w:b/>
                <w:sz w:val="24"/>
                <w:szCs w:val="24"/>
              </w:rPr>
            </w:pPr>
            <w:bookmarkStart w:id="0" w:name="_gjdgxs" w:colFirst="0" w:colLast="0"/>
            <w:bookmarkEnd w:id="0"/>
          </w:p>
        </w:tc>
      </w:tr>
    </w:tbl>
    <w:p w14:paraId="23F5814E" w14:textId="77777777" w:rsidR="009651E6" w:rsidRDefault="009651E6"/>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2835"/>
      </w:tblGrid>
      <w:tr w:rsidR="009651E6" w14:paraId="23F58152" w14:textId="77777777">
        <w:tc>
          <w:tcPr>
            <w:tcW w:w="4531" w:type="dxa"/>
            <w:shd w:val="clear" w:color="auto" w:fill="BFBFBF"/>
          </w:tcPr>
          <w:p w14:paraId="23F5814F" w14:textId="77777777" w:rsidR="009651E6" w:rsidRDefault="00323173">
            <w:pPr>
              <w:jc w:val="center"/>
              <w:rPr>
                <w:b/>
              </w:rPr>
            </w:pPr>
            <w:r>
              <w:rPr>
                <w:b/>
              </w:rPr>
              <w:t>Javaslati magyarázó</w:t>
            </w:r>
          </w:p>
        </w:tc>
        <w:tc>
          <w:tcPr>
            <w:tcW w:w="1843" w:type="dxa"/>
            <w:shd w:val="clear" w:color="auto" w:fill="BFBFBF"/>
          </w:tcPr>
          <w:p w14:paraId="23F58150" w14:textId="77777777" w:rsidR="009651E6" w:rsidRDefault="00323173">
            <w:pPr>
              <w:jc w:val="center"/>
              <w:rPr>
                <w:b/>
              </w:rPr>
            </w:pPr>
            <w:r>
              <w:rPr>
                <w:b/>
              </w:rPr>
              <w:t>Fedezetek</w:t>
            </w:r>
          </w:p>
        </w:tc>
        <w:tc>
          <w:tcPr>
            <w:tcW w:w="2835" w:type="dxa"/>
            <w:shd w:val="clear" w:color="auto" w:fill="BFBFBF"/>
          </w:tcPr>
          <w:p w14:paraId="23F58151" w14:textId="77777777" w:rsidR="009651E6" w:rsidRDefault="00323173">
            <w:pPr>
              <w:jc w:val="center"/>
              <w:rPr>
                <w:b/>
              </w:rPr>
            </w:pPr>
            <w:r>
              <w:rPr>
                <w:b/>
              </w:rPr>
              <w:t>Díj/hónap</w:t>
            </w:r>
          </w:p>
        </w:tc>
      </w:tr>
      <w:tr w:rsidR="009651E6" w14:paraId="23F58156" w14:textId="77777777">
        <w:tc>
          <w:tcPr>
            <w:tcW w:w="4531" w:type="dxa"/>
            <w:shd w:val="clear" w:color="auto" w:fill="F2F2F2"/>
          </w:tcPr>
          <w:p w14:paraId="23F58153" w14:textId="77777777" w:rsidR="009651E6" w:rsidRDefault="00323173">
            <w:pPr>
              <w:jc w:val="center"/>
              <w:rPr>
                <w:b/>
              </w:rPr>
            </w:pPr>
            <w:r>
              <w:rPr>
                <w:b/>
              </w:rPr>
              <w:t>Minimum javaslat hitel fedezetére</w:t>
            </w:r>
          </w:p>
        </w:tc>
        <w:tc>
          <w:tcPr>
            <w:tcW w:w="1843" w:type="dxa"/>
            <w:shd w:val="clear" w:color="auto" w:fill="F2F2F2"/>
          </w:tcPr>
          <w:p w14:paraId="23F58154" w14:textId="77777777" w:rsidR="009651E6" w:rsidRDefault="00323173">
            <w:pPr>
              <w:jc w:val="center"/>
              <w:rPr>
                <w:b/>
              </w:rPr>
            </w:pPr>
            <w:r>
              <w:rPr>
                <w:b/>
              </w:rPr>
              <w:t>10.000.000 Ft</w:t>
            </w:r>
          </w:p>
        </w:tc>
        <w:tc>
          <w:tcPr>
            <w:tcW w:w="2835" w:type="dxa"/>
          </w:tcPr>
          <w:p w14:paraId="23F58155" w14:textId="77777777" w:rsidR="009651E6" w:rsidRDefault="00323173">
            <w:pPr>
              <w:jc w:val="center"/>
            </w:pPr>
            <w:r>
              <w:t>2000 Ft</w:t>
            </w:r>
          </w:p>
        </w:tc>
      </w:tr>
      <w:tr w:rsidR="009651E6" w14:paraId="23F5815A" w14:textId="77777777">
        <w:tc>
          <w:tcPr>
            <w:tcW w:w="4531" w:type="dxa"/>
            <w:shd w:val="clear" w:color="auto" w:fill="F2F2F2"/>
          </w:tcPr>
          <w:p w14:paraId="23F58157" w14:textId="77777777" w:rsidR="009651E6" w:rsidRDefault="00323173">
            <w:pPr>
              <w:jc w:val="center"/>
              <w:rPr>
                <w:b/>
              </w:rPr>
            </w:pPr>
            <w:r>
              <w:rPr>
                <w:b/>
              </w:rPr>
              <w:t>Javaslat hitel és 2 év bevétel kiesés fedezetére</w:t>
            </w:r>
          </w:p>
        </w:tc>
        <w:tc>
          <w:tcPr>
            <w:tcW w:w="1843" w:type="dxa"/>
            <w:shd w:val="clear" w:color="auto" w:fill="F2F2F2"/>
          </w:tcPr>
          <w:p w14:paraId="23F58158" w14:textId="77777777" w:rsidR="009651E6" w:rsidRDefault="00323173">
            <w:pPr>
              <w:jc w:val="center"/>
              <w:rPr>
                <w:b/>
              </w:rPr>
            </w:pPr>
            <w:r>
              <w:rPr>
                <w:b/>
              </w:rPr>
              <w:t>30.000.000 Ft</w:t>
            </w:r>
          </w:p>
        </w:tc>
        <w:tc>
          <w:tcPr>
            <w:tcW w:w="2835" w:type="dxa"/>
          </w:tcPr>
          <w:p w14:paraId="23F58159" w14:textId="77777777" w:rsidR="009651E6" w:rsidRDefault="00323173">
            <w:pPr>
              <w:jc w:val="center"/>
            </w:pPr>
            <w:r>
              <w:t>5000 Ft</w:t>
            </w:r>
          </w:p>
        </w:tc>
      </w:tr>
      <w:tr w:rsidR="009651E6" w14:paraId="23F5815E" w14:textId="77777777">
        <w:tc>
          <w:tcPr>
            <w:tcW w:w="4531" w:type="dxa"/>
            <w:shd w:val="clear" w:color="auto" w:fill="F2F2F2"/>
          </w:tcPr>
          <w:p w14:paraId="23F5815B" w14:textId="77777777" w:rsidR="009651E6" w:rsidRDefault="00323173">
            <w:pPr>
              <w:jc w:val="center"/>
              <w:rPr>
                <w:b/>
              </w:rPr>
            </w:pPr>
            <w:r>
              <w:rPr>
                <w:b/>
              </w:rPr>
              <w:t>Javaslat hitel és 4 év bevétel kiesés fedezetére + családról való gondoskodás</w:t>
            </w:r>
          </w:p>
        </w:tc>
        <w:tc>
          <w:tcPr>
            <w:tcW w:w="1843" w:type="dxa"/>
            <w:shd w:val="clear" w:color="auto" w:fill="F2F2F2"/>
          </w:tcPr>
          <w:p w14:paraId="23F5815C" w14:textId="77777777" w:rsidR="009651E6" w:rsidRDefault="00323173">
            <w:pPr>
              <w:jc w:val="center"/>
              <w:rPr>
                <w:b/>
              </w:rPr>
            </w:pPr>
            <w:r>
              <w:rPr>
                <w:b/>
              </w:rPr>
              <w:t>50.000.000 Ft</w:t>
            </w:r>
          </w:p>
        </w:tc>
        <w:tc>
          <w:tcPr>
            <w:tcW w:w="2835" w:type="dxa"/>
          </w:tcPr>
          <w:p w14:paraId="23F5815D" w14:textId="77777777" w:rsidR="009651E6" w:rsidRDefault="00323173">
            <w:pPr>
              <w:jc w:val="center"/>
            </w:pPr>
            <w:r>
              <w:t>10.000 Ft</w:t>
            </w:r>
          </w:p>
        </w:tc>
      </w:tr>
    </w:tbl>
    <w:p w14:paraId="23F5815F" w14:textId="77777777" w:rsidR="009651E6" w:rsidRDefault="009651E6"/>
    <w:p w14:paraId="23F58160" w14:textId="77777777" w:rsidR="009651E6" w:rsidRDefault="009651E6"/>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651E6" w14:paraId="23F58162" w14:textId="77777777">
        <w:trPr>
          <w:trHeight w:val="480"/>
        </w:trPr>
        <w:tc>
          <w:tcPr>
            <w:tcW w:w="9016" w:type="dxa"/>
            <w:shd w:val="clear" w:color="auto" w:fill="1F3864"/>
            <w:vAlign w:val="center"/>
          </w:tcPr>
          <w:p w14:paraId="23F58161" w14:textId="77777777" w:rsidR="009651E6" w:rsidRDefault="00323173">
            <w:pPr>
              <w:jc w:val="center"/>
              <w:rPr>
                <w:b/>
                <w:sz w:val="28"/>
                <w:szCs w:val="28"/>
              </w:rPr>
            </w:pPr>
            <w:r>
              <w:rPr>
                <w:b/>
                <w:sz w:val="28"/>
                <w:szCs w:val="28"/>
              </w:rPr>
              <w:t>Védelmi javaslat 32 kritikus betegség (lásd 4. oldal) esetén</w:t>
            </w:r>
          </w:p>
        </w:tc>
      </w:tr>
      <w:tr w:rsidR="009651E6" w14:paraId="23F58168" w14:textId="77777777">
        <w:trPr>
          <w:trHeight w:val="480"/>
        </w:trPr>
        <w:tc>
          <w:tcPr>
            <w:tcW w:w="9016" w:type="dxa"/>
            <w:shd w:val="clear" w:color="auto" w:fill="FFFFFF"/>
            <w:vAlign w:val="center"/>
          </w:tcPr>
          <w:p w14:paraId="23F58163" w14:textId="77777777" w:rsidR="009651E6" w:rsidRDefault="00323173">
            <w:pPr>
              <w:jc w:val="center"/>
              <w:rPr>
                <w:b/>
                <w:sz w:val="24"/>
                <w:szCs w:val="24"/>
              </w:rPr>
            </w:pPr>
            <w:r>
              <w:rPr>
                <w:b/>
                <w:sz w:val="24"/>
                <w:szCs w:val="24"/>
              </w:rPr>
              <w:t>Magyarországon az emberek 95,4%-</w:t>
            </w:r>
            <w:proofErr w:type="spellStart"/>
            <w:r>
              <w:rPr>
                <w:b/>
                <w:sz w:val="24"/>
                <w:szCs w:val="24"/>
              </w:rPr>
              <w:t>ával</w:t>
            </w:r>
            <w:proofErr w:type="spellEnd"/>
            <w:r>
              <w:rPr>
                <w:b/>
                <w:sz w:val="24"/>
                <w:szCs w:val="24"/>
              </w:rPr>
              <w:t xml:space="preserve"> valamilyen kritikus betegség végez, ráadásul gyorsan: a diagnosztizálás után a betegek 41%-a másfél éven belül meghal. Amerikában ez az arány 11%. A különbség? Az Államokban van pénz megfelelő orvosi ellátásra, drágán beszerezhető gyógyszerekre, új kezelésekre. Neked van?</w:t>
            </w:r>
          </w:p>
          <w:p w14:paraId="23F58164" w14:textId="77777777" w:rsidR="009651E6" w:rsidRDefault="00323173">
            <w:pPr>
              <w:jc w:val="center"/>
              <w:rPr>
                <w:b/>
                <w:sz w:val="24"/>
                <w:szCs w:val="24"/>
              </w:rPr>
            </w:pPr>
            <w:r>
              <w:rPr>
                <w:b/>
                <w:sz w:val="24"/>
                <w:szCs w:val="24"/>
              </w:rPr>
              <w:t xml:space="preserve">De tegyük fel, hogy az ingyenes egészségügyben is megfelelő ellátást kapsz a betegségedre – a betegségben akkor is tönkre mehetsz anyagilag. Azt tudtad, hogy betegség esetén a táppénz csak 1 éven keresztül jár és legfeljebb a nettó béred 60%-a lehet? Miből </w:t>
            </w:r>
            <w:proofErr w:type="spellStart"/>
            <w:r>
              <w:rPr>
                <w:b/>
                <w:sz w:val="24"/>
                <w:szCs w:val="24"/>
              </w:rPr>
              <w:t>pótolod</w:t>
            </w:r>
            <w:proofErr w:type="spellEnd"/>
            <w:r>
              <w:rPr>
                <w:b/>
                <w:sz w:val="24"/>
                <w:szCs w:val="24"/>
              </w:rPr>
              <w:t xml:space="preserve"> a saját és családod kieső jövedelmét a gyógyulásod időszakában?</w:t>
            </w:r>
          </w:p>
          <w:p w14:paraId="23F58165" w14:textId="77777777" w:rsidR="009651E6" w:rsidRDefault="00323173">
            <w:pPr>
              <w:jc w:val="center"/>
              <w:rPr>
                <w:b/>
                <w:sz w:val="24"/>
                <w:szCs w:val="24"/>
              </w:rPr>
            </w:pPr>
            <w:r>
              <w:rPr>
                <w:b/>
                <w:sz w:val="24"/>
                <w:szCs w:val="24"/>
              </w:rPr>
              <w:t>Kritikus betegség esetén a biztosító fizet, ráadásul gyorsan fizet, és nem kérdezi, hogy mire költöd a pénzt. Már rendelheted is a speciális gyógyszereket Svájcból, fizetheted belőle a rezsit vagy az utazást a kórház és az otthonod között, eljöhet fizetetlen szabadságra egy családtagod, aki melletted állhat a legnehezebb időszakban. Egy kritikus betegség esetén mindenképpen lesz mire költeni a pénzt.</w:t>
            </w:r>
          </w:p>
          <w:p w14:paraId="23F58166" w14:textId="77777777" w:rsidR="009651E6" w:rsidRDefault="009651E6">
            <w:pPr>
              <w:jc w:val="center"/>
              <w:rPr>
                <w:b/>
                <w:sz w:val="24"/>
                <w:szCs w:val="24"/>
              </w:rPr>
            </w:pPr>
          </w:p>
          <w:p w14:paraId="23F58167" w14:textId="77777777" w:rsidR="009651E6" w:rsidRDefault="00323173">
            <w:pPr>
              <w:jc w:val="center"/>
              <w:rPr>
                <w:b/>
                <w:sz w:val="24"/>
                <w:szCs w:val="24"/>
              </w:rPr>
            </w:pPr>
            <w:r>
              <w:rPr>
                <w:noProof/>
              </w:rPr>
              <w:lastRenderedPageBreak/>
              <w:drawing>
                <wp:inline distT="0" distB="0" distL="0" distR="0" wp14:anchorId="23F5820B" wp14:editId="23F5820C">
                  <wp:extent cx="5731510" cy="22821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2282190"/>
                          </a:xfrm>
                          <a:prstGeom prst="rect">
                            <a:avLst/>
                          </a:prstGeom>
                          <a:ln/>
                        </pic:spPr>
                      </pic:pic>
                    </a:graphicData>
                  </a:graphic>
                </wp:inline>
              </w:drawing>
            </w:r>
          </w:p>
        </w:tc>
      </w:tr>
    </w:tbl>
    <w:p w14:paraId="23F58169" w14:textId="77777777" w:rsidR="009651E6" w:rsidRDefault="009651E6"/>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694"/>
        <w:gridCol w:w="2976"/>
      </w:tblGrid>
      <w:tr w:rsidR="009651E6" w14:paraId="23F5816D" w14:textId="77777777">
        <w:tc>
          <w:tcPr>
            <w:tcW w:w="3397" w:type="dxa"/>
            <w:shd w:val="clear" w:color="auto" w:fill="BFBFBF"/>
          </w:tcPr>
          <w:p w14:paraId="23F5816A" w14:textId="77777777" w:rsidR="009651E6" w:rsidRDefault="00323173">
            <w:pPr>
              <w:jc w:val="center"/>
              <w:rPr>
                <w:b/>
              </w:rPr>
            </w:pPr>
            <w:r>
              <w:rPr>
                <w:b/>
              </w:rPr>
              <w:t>Javaslati magyarázó</w:t>
            </w:r>
          </w:p>
        </w:tc>
        <w:tc>
          <w:tcPr>
            <w:tcW w:w="2694" w:type="dxa"/>
            <w:shd w:val="clear" w:color="auto" w:fill="BFBFBF"/>
          </w:tcPr>
          <w:p w14:paraId="23F5816B" w14:textId="77777777" w:rsidR="009651E6" w:rsidRDefault="00323173">
            <w:pPr>
              <w:jc w:val="center"/>
              <w:rPr>
                <w:b/>
              </w:rPr>
            </w:pPr>
            <w:r>
              <w:rPr>
                <w:b/>
              </w:rPr>
              <w:t>Fedezetek</w:t>
            </w:r>
          </w:p>
        </w:tc>
        <w:tc>
          <w:tcPr>
            <w:tcW w:w="2976" w:type="dxa"/>
            <w:shd w:val="clear" w:color="auto" w:fill="BFBFBF"/>
          </w:tcPr>
          <w:p w14:paraId="23F5816C" w14:textId="77777777" w:rsidR="009651E6" w:rsidRDefault="00323173">
            <w:pPr>
              <w:jc w:val="center"/>
              <w:rPr>
                <w:b/>
              </w:rPr>
            </w:pPr>
            <w:r>
              <w:rPr>
                <w:b/>
              </w:rPr>
              <w:t>Díj/hónap</w:t>
            </w:r>
          </w:p>
        </w:tc>
      </w:tr>
      <w:tr w:rsidR="009651E6" w14:paraId="23F58171" w14:textId="77777777">
        <w:tc>
          <w:tcPr>
            <w:tcW w:w="3397" w:type="dxa"/>
            <w:shd w:val="clear" w:color="auto" w:fill="F2F2F2"/>
          </w:tcPr>
          <w:p w14:paraId="23F5816E" w14:textId="77777777" w:rsidR="009651E6" w:rsidRDefault="00323173">
            <w:pPr>
              <w:jc w:val="center"/>
              <w:rPr>
                <w:b/>
              </w:rPr>
            </w:pPr>
            <w:r>
              <w:rPr>
                <w:b/>
              </w:rPr>
              <w:t>Minimum javaslat gyógyszeres kezelésekre</w:t>
            </w:r>
          </w:p>
        </w:tc>
        <w:tc>
          <w:tcPr>
            <w:tcW w:w="2694" w:type="dxa"/>
          </w:tcPr>
          <w:p w14:paraId="23F5816F" w14:textId="77777777" w:rsidR="009651E6" w:rsidRDefault="00323173">
            <w:pPr>
              <w:jc w:val="center"/>
            </w:pPr>
            <w:r>
              <w:t>10.000.000 Ft</w:t>
            </w:r>
          </w:p>
        </w:tc>
        <w:tc>
          <w:tcPr>
            <w:tcW w:w="2976" w:type="dxa"/>
          </w:tcPr>
          <w:p w14:paraId="23F58170" w14:textId="77777777" w:rsidR="009651E6" w:rsidRDefault="00323173">
            <w:pPr>
              <w:jc w:val="center"/>
            </w:pPr>
            <w:r>
              <w:t>2000 Ft</w:t>
            </w:r>
          </w:p>
        </w:tc>
      </w:tr>
      <w:tr w:rsidR="009651E6" w14:paraId="23F58175" w14:textId="77777777">
        <w:tc>
          <w:tcPr>
            <w:tcW w:w="3397" w:type="dxa"/>
            <w:shd w:val="clear" w:color="auto" w:fill="F2F2F2"/>
          </w:tcPr>
          <w:p w14:paraId="23F58172" w14:textId="77777777" w:rsidR="009651E6" w:rsidRDefault="00323173">
            <w:pPr>
              <w:jc w:val="center"/>
              <w:rPr>
                <w:b/>
              </w:rPr>
            </w:pPr>
            <w:r>
              <w:rPr>
                <w:b/>
              </w:rPr>
              <w:t>Javaslat gyógyszeres kezelésekre + 2 év bevétel kiesés pótlására</w:t>
            </w:r>
          </w:p>
        </w:tc>
        <w:tc>
          <w:tcPr>
            <w:tcW w:w="2694" w:type="dxa"/>
          </w:tcPr>
          <w:p w14:paraId="23F58173" w14:textId="77777777" w:rsidR="009651E6" w:rsidRDefault="00323173">
            <w:pPr>
              <w:jc w:val="center"/>
            </w:pPr>
            <w:r>
              <w:t>20.000.000 Ft</w:t>
            </w:r>
          </w:p>
        </w:tc>
        <w:tc>
          <w:tcPr>
            <w:tcW w:w="2976" w:type="dxa"/>
          </w:tcPr>
          <w:p w14:paraId="23F58174" w14:textId="77777777" w:rsidR="009651E6" w:rsidRDefault="00323173">
            <w:pPr>
              <w:jc w:val="center"/>
            </w:pPr>
            <w:r>
              <w:t>4000 Ft</w:t>
            </w:r>
          </w:p>
        </w:tc>
      </w:tr>
      <w:tr w:rsidR="009651E6" w14:paraId="23F58179" w14:textId="77777777">
        <w:tc>
          <w:tcPr>
            <w:tcW w:w="3397" w:type="dxa"/>
            <w:shd w:val="clear" w:color="auto" w:fill="F2F2F2"/>
          </w:tcPr>
          <w:p w14:paraId="23F58176" w14:textId="77777777" w:rsidR="009651E6" w:rsidRDefault="00323173">
            <w:pPr>
              <w:jc w:val="center"/>
              <w:rPr>
                <w:b/>
              </w:rPr>
            </w:pPr>
            <w:r>
              <w:rPr>
                <w:b/>
              </w:rPr>
              <w:t>Ebből már külföldöm is meg lehet gyógyulni</w:t>
            </w:r>
          </w:p>
        </w:tc>
        <w:tc>
          <w:tcPr>
            <w:tcW w:w="2694" w:type="dxa"/>
          </w:tcPr>
          <w:p w14:paraId="23F58177" w14:textId="77777777" w:rsidR="009651E6" w:rsidRDefault="00323173">
            <w:pPr>
              <w:jc w:val="center"/>
            </w:pPr>
            <w:r>
              <w:t>30.000.000 Ft</w:t>
            </w:r>
          </w:p>
        </w:tc>
        <w:tc>
          <w:tcPr>
            <w:tcW w:w="2976" w:type="dxa"/>
          </w:tcPr>
          <w:p w14:paraId="23F58178" w14:textId="77777777" w:rsidR="009651E6" w:rsidRDefault="00323173">
            <w:pPr>
              <w:jc w:val="center"/>
            </w:pPr>
            <w:r>
              <w:t>6000 Ft</w:t>
            </w:r>
          </w:p>
        </w:tc>
      </w:tr>
    </w:tbl>
    <w:p w14:paraId="23F5817A" w14:textId="77777777" w:rsidR="009651E6" w:rsidRDefault="009651E6"/>
    <w:p w14:paraId="23F5817B" w14:textId="77777777" w:rsidR="009651E6" w:rsidRDefault="009651E6"/>
    <w:p w14:paraId="23F5817C" w14:textId="77777777" w:rsidR="009651E6" w:rsidRDefault="009651E6"/>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651E6" w14:paraId="23F5817E" w14:textId="77777777">
        <w:trPr>
          <w:trHeight w:val="480"/>
        </w:trPr>
        <w:tc>
          <w:tcPr>
            <w:tcW w:w="9016" w:type="dxa"/>
            <w:shd w:val="clear" w:color="auto" w:fill="1F3864"/>
            <w:vAlign w:val="center"/>
          </w:tcPr>
          <w:p w14:paraId="23F5817D" w14:textId="77777777" w:rsidR="009651E6" w:rsidRDefault="00323173">
            <w:pPr>
              <w:jc w:val="center"/>
              <w:rPr>
                <w:b/>
                <w:sz w:val="28"/>
                <w:szCs w:val="28"/>
              </w:rPr>
            </w:pPr>
            <w:r>
              <w:rPr>
                <w:b/>
                <w:sz w:val="28"/>
                <w:szCs w:val="28"/>
              </w:rPr>
              <w:t>Védelmi javaslat rokkantság esetére</w:t>
            </w:r>
          </w:p>
        </w:tc>
      </w:tr>
      <w:tr w:rsidR="009651E6" w14:paraId="23F58185" w14:textId="77777777">
        <w:trPr>
          <w:trHeight w:val="480"/>
        </w:trPr>
        <w:tc>
          <w:tcPr>
            <w:tcW w:w="9016" w:type="dxa"/>
            <w:shd w:val="clear" w:color="auto" w:fill="FFFFFF"/>
            <w:vAlign w:val="center"/>
          </w:tcPr>
          <w:p w14:paraId="23F5817F" w14:textId="77777777" w:rsidR="009651E6" w:rsidRDefault="00323173">
            <w:pPr>
              <w:jc w:val="center"/>
              <w:rPr>
                <w:b/>
                <w:sz w:val="24"/>
                <w:szCs w:val="24"/>
              </w:rPr>
            </w:pPr>
            <w:r>
              <w:rPr>
                <w:b/>
                <w:sz w:val="24"/>
                <w:szCs w:val="24"/>
              </w:rPr>
              <w:t>Mekkora terhet viszel most a válladon? A saját függetlenségedért dolgozol minden nap, vagy a családod biztonsága is azon múlik, hogy te reggel felkelsz, és dolgozni mész?</w:t>
            </w:r>
          </w:p>
          <w:p w14:paraId="23F58180" w14:textId="77777777" w:rsidR="009651E6" w:rsidRDefault="00323173">
            <w:pPr>
              <w:jc w:val="center"/>
              <w:rPr>
                <w:b/>
                <w:sz w:val="24"/>
                <w:szCs w:val="24"/>
              </w:rPr>
            </w:pPr>
            <w:r>
              <w:rPr>
                <w:b/>
                <w:sz w:val="24"/>
                <w:szCs w:val="24"/>
              </w:rPr>
              <w:t>Mi történik akkor, ha egyszer csak képtelenné válsz ellátni a feladataidat? Egy rokkantsággal az élet nem ér véget, de az biztos, hogy átszerveződik: jó eséllyel elveszíted a munkádat, nem csak a családodat nem tudod támogatni, de te is támogatásra szorulsz. A bevételed kiesik, de újabb, jelentős költségeid keletkeznek: kezelésekre, terápiára lesz szükséged, segédeszközökre, ápolóra, akár a lakás átalakítására. Gondolod, hogy a rokkantsági támogatás ezt fedezni fogja? Egy biztosítás ilyen esetben nem csak a saját és családod anyagi biztonságát jelenti, de a méltóságod, függetlenséged, életminőséged megőrzését is.</w:t>
            </w:r>
          </w:p>
          <w:p w14:paraId="23F58181" w14:textId="77777777" w:rsidR="009651E6" w:rsidRDefault="009651E6">
            <w:pPr>
              <w:rPr>
                <w:b/>
                <w:sz w:val="24"/>
                <w:szCs w:val="24"/>
              </w:rPr>
            </w:pPr>
          </w:p>
          <w:p w14:paraId="23F58182" w14:textId="77777777" w:rsidR="009651E6" w:rsidRDefault="00323173">
            <w:pPr>
              <w:jc w:val="center"/>
              <w:rPr>
                <w:b/>
                <w:sz w:val="24"/>
                <w:szCs w:val="24"/>
              </w:rPr>
            </w:pPr>
            <w:r>
              <w:rPr>
                <w:b/>
                <w:sz w:val="24"/>
                <w:szCs w:val="24"/>
              </w:rPr>
              <w:t xml:space="preserve">Rokkantság lehet baleset vagy betegség következménye. A biztosításodat </w:t>
            </w:r>
            <w:proofErr w:type="spellStart"/>
            <w:r>
              <w:rPr>
                <w:b/>
                <w:sz w:val="24"/>
                <w:szCs w:val="24"/>
              </w:rPr>
              <w:t>kötheted</w:t>
            </w:r>
            <w:proofErr w:type="spellEnd"/>
            <w:r>
              <w:rPr>
                <w:b/>
                <w:sz w:val="24"/>
                <w:szCs w:val="24"/>
              </w:rPr>
              <w:t xml:space="preserve"> csak balesetből, vagy bármilyen okból származó rokkantság fedezetére is. A fedezeti összeget rokkantsági százalékos arányban téríti a biztosító (lásd 1. számú melléklet). </w:t>
            </w:r>
          </w:p>
          <w:p w14:paraId="23F58183" w14:textId="77777777" w:rsidR="009651E6" w:rsidRDefault="009651E6">
            <w:pPr>
              <w:jc w:val="center"/>
              <w:rPr>
                <w:b/>
                <w:sz w:val="24"/>
                <w:szCs w:val="24"/>
              </w:rPr>
            </w:pPr>
          </w:p>
          <w:p w14:paraId="23F58184" w14:textId="77777777" w:rsidR="009651E6" w:rsidRDefault="009651E6">
            <w:pPr>
              <w:rPr>
                <w:b/>
                <w:sz w:val="24"/>
                <w:szCs w:val="24"/>
              </w:rPr>
            </w:pPr>
          </w:p>
        </w:tc>
      </w:tr>
    </w:tbl>
    <w:p w14:paraId="23F58186" w14:textId="0A250F30" w:rsidR="009651E6" w:rsidRDefault="009651E6"/>
    <w:p w14:paraId="4AC45D3C" w14:textId="6A39947F" w:rsidR="00175C0C" w:rsidRDefault="00175C0C"/>
    <w:p w14:paraId="3E02B3D7" w14:textId="77777777" w:rsidR="00175C0C" w:rsidRDefault="00175C0C"/>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701"/>
        <w:gridCol w:w="2835"/>
      </w:tblGrid>
      <w:tr w:rsidR="009651E6" w14:paraId="23F5818A" w14:textId="77777777">
        <w:tc>
          <w:tcPr>
            <w:tcW w:w="4531" w:type="dxa"/>
            <w:shd w:val="clear" w:color="auto" w:fill="BFBFBF"/>
          </w:tcPr>
          <w:p w14:paraId="23F58187" w14:textId="77777777" w:rsidR="009651E6" w:rsidRDefault="00323173">
            <w:pPr>
              <w:jc w:val="center"/>
              <w:rPr>
                <w:b/>
              </w:rPr>
            </w:pPr>
            <w:r>
              <w:rPr>
                <w:b/>
              </w:rPr>
              <w:lastRenderedPageBreak/>
              <w:t>Javaslati magyarázó</w:t>
            </w:r>
          </w:p>
        </w:tc>
        <w:tc>
          <w:tcPr>
            <w:tcW w:w="1701" w:type="dxa"/>
            <w:shd w:val="clear" w:color="auto" w:fill="BFBFBF"/>
          </w:tcPr>
          <w:p w14:paraId="23F58188" w14:textId="77777777" w:rsidR="009651E6" w:rsidRDefault="00323173">
            <w:pPr>
              <w:jc w:val="center"/>
              <w:rPr>
                <w:b/>
              </w:rPr>
            </w:pPr>
            <w:r>
              <w:rPr>
                <w:b/>
              </w:rPr>
              <w:t>Fedezetek</w:t>
            </w:r>
          </w:p>
        </w:tc>
        <w:tc>
          <w:tcPr>
            <w:tcW w:w="2835" w:type="dxa"/>
            <w:shd w:val="clear" w:color="auto" w:fill="BFBFBF"/>
          </w:tcPr>
          <w:p w14:paraId="23F58189" w14:textId="77777777" w:rsidR="009651E6" w:rsidRDefault="00323173">
            <w:pPr>
              <w:jc w:val="center"/>
              <w:rPr>
                <w:b/>
              </w:rPr>
            </w:pPr>
            <w:r>
              <w:rPr>
                <w:b/>
              </w:rPr>
              <w:t>Díj/hónap</w:t>
            </w:r>
          </w:p>
        </w:tc>
      </w:tr>
      <w:tr w:rsidR="009651E6" w14:paraId="23F5818E" w14:textId="77777777">
        <w:tc>
          <w:tcPr>
            <w:tcW w:w="4531" w:type="dxa"/>
            <w:shd w:val="clear" w:color="auto" w:fill="F2F2F2"/>
          </w:tcPr>
          <w:p w14:paraId="23F5818B" w14:textId="77777777" w:rsidR="009651E6" w:rsidRDefault="00323173">
            <w:pPr>
              <w:jc w:val="center"/>
              <w:rPr>
                <w:b/>
              </w:rPr>
            </w:pPr>
            <w:r>
              <w:rPr>
                <w:b/>
              </w:rPr>
              <w:t>Minimum javaslak gyógyszeres kezelésekre</w:t>
            </w:r>
          </w:p>
        </w:tc>
        <w:tc>
          <w:tcPr>
            <w:tcW w:w="1701" w:type="dxa"/>
          </w:tcPr>
          <w:p w14:paraId="23F5818C" w14:textId="77777777" w:rsidR="009651E6" w:rsidRDefault="00323173">
            <w:pPr>
              <w:jc w:val="center"/>
            </w:pPr>
            <w:r>
              <w:rPr>
                <w:b/>
              </w:rPr>
              <w:t>20.000.000 Ft</w:t>
            </w:r>
          </w:p>
        </w:tc>
        <w:tc>
          <w:tcPr>
            <w:tcW w:w="2835" w:type="dxa"/>
          </w:tcPr>
          <w:p w14:paraId="23F5818D" w14:textId="77777777" w:rsidR="009651E6" w:rsidRDefault="00323173">
            <w:pPr>
              <w:jc w:val="center"/>
            </w:pPr>
            <w:r>
              <w:t>4.906 Ft</w:t>
            </w:r>
          </w:p>
        </w:tc>
      </w:tr>
      <w:tr w:rsidR="009651E6" w14:paraId="23F58192" w14:textId="77777777">
        <w:tc>
          <w:tcPr>
            <w:tcW w:w="4531" w:type="dxa"/>
            <w:shd w:val="clear" w:color="auto" w:fill="F2F2F2"/>
          </w:tcPr>
          <w:p w14:paraId="23F5818F" w14:textId="77777777" w:rsidR="009651E6" w:rsidRDefault="00323173">
            <w:pPr>
              <w:jc w:val="center"/>
              <w:rPr>
                <w:b/>
              </w:rPr>
            </w:pPr>
            <w:r>
              <w:rPr>
                <w:b/>
              </w:rPr>
              <w:t>Javaslat gyógyszeres kezelésekre + 2 év bevétel kiesés pótlására</w:t>
            </w:r>
          </w:p>
        </w:tc>
        <w:tc>
          <w:tcPr>
            <w:tcW w:w="1701" w:type="dxa"/>
          </w:tcPr>
          <w:p w14:paraId="23F58190" w14:textId="77777777" w:rsidR="009651E6" w:rsidRDefault="00323173">
            <w:pPr>
              <w:jc w:val="center"/>
              <w:rPr>
                <w:b/>
              </w:rPr>
            </w:pPr>
            <w:r>
              <w:rPr>
                <w:b/>
              </w:rPr>
              <w:t>40.000.000 Ft</w:t>
            </w:r>
          </w:p>
        </w:tc>
        <w:tc>
          <w:tcPr>
            <w:tcW w:w="2835" w:type="dxa"/>
          </w:tcPr>
          <w:p w14:paraId="23F58191" w14:textId="77777777" w:rsidR="009651E6" w:rsidRDefault="00323173">
            <w:pPr>
              <w:jc w:val="center"/>
            </w:pPr>
            <w:r>
              <w:t>9.812 Ft</w:t>
            </w:r>
          </w:p>
        </w:tc>
      </w:tr>
      <w:tr w:rsidR="009651E6" w14:paraId="23F58196" w14:textId="77777777">
        <w:tc>
          <w:tcPr>
            <w:tcW w:w="4531" w:type="dxa"/>
            <w:shd w:val="clear" w:color="auto" w:fill="F2F2F2"/>
          </w:tcPr>
          <w:p w14:paraId="23F58193" w14:textId="77777777" w:rsidR="009651E6" w:rsidRDefault="00323173">
            <w:pPr>
              <w:jc w:val="center"/>
              <w:rPr>
                <w:b/>
              </w:rPr>
            </w:pPr>
            <w:r>
              <w:rPr>
                <w:b/>
              </w:rPr>
              <w:t>Javaslat gyógyszerek kezelésére + 2 év bevétel kiesés pótlására + ház átalakítására</w:t>
            </w:r>
          </w:p>
        </w:tc>
        <w:tc>
          <w:tcPr>
            <w:tcW w:w="1701" w:type="dxa"/>
          </w:tcPr>
          <w:p w14:paraId="23F58194" w14:textId="77777777" w:rsidR="009651E6" w:rsidRDefault="00323173">
            <w:pPr>
              <w:jc w:val="center"/>
            </w:pPr>
            <w:r>
              <w:rPr>
                <w:b/>
              </w:rPr>
              <w:t>20.000.000 Ft</w:t>
            </w:r>
          </w:p>
        </w:tc>
        <w:tc>
          <w:tcPr>
            <w:tcW w:w="2835" w:type="dxa"/>
          </w:tcPr>
          <w:p w14:paraId="23F58195" w14:textId="77777777" w:rsidR="009651E6" w:rsidRDefault="00323173">
            <w:pPr>
              <w:jc w:val="center"/>
            </w:pPr>
            <w:r>
              <w:t>9.590 Ft</w:t>
            </w:r>
          </w:p>
        </w:tc>
      </w:tr>
      <w:tr w:rsidR="009651E6" w14:paraId="23F5819A" w14:textId="77777777">
        <w:tc>
          <w:tcPr>
            <w:tcW w:w="4531" w:type="dxa"/>
            <w:shd w:val="clear" w:color="auto" w:fill="F2F2F2"/>
          </w:tcPr>
          <w:p w14:paraId="23F58197" w14:textId="77777777" w:rsidR="009651E6" w:rsidRDefault="00323173">
            <w:pPr>
              <w:jc w:val="center"/>
              <w:rPr>
                <w:b/>
              </w:rPr>
            </w:pPr>
            <w:r>
              <w:rPr>
                <w:b/>
              </w:rPr>
              <w:t>Javaslat gyógyszerek kezelésére + 2 év bevétel kiesés pótlására + ház átalakítására + ápoló kezdeti fedezete + család támogatása</w:t>
            </w:r>
          </w:p>
        </w:tc>
        <w:tc>
          <w:tcPr>
            <w:tcW w:w="1701" w:type="dxa"/>
          </w:tcPr>
          <w:p w14:paraId="23F58198" w14:textId="77777777" w:rsidR="009651E6" w:rsidRDefault="00323173">
            <w:pPr>
              <w:jc w:val="center"/>
              <w:rPr>
                <w:b/>
              </w:rPr>
            </w:pPr>
            <w:r>
              <w:rPr>
                <w:b/>
              </w:rPr>
              <w:t>40.000.000 Ft</w:t>
            </w:r>
          </w:p>
        </w:tc>
        <w:tc>
          <w:tcPr>
            <w:tcW w:w="2835" w:type="dxa"/>
          </w:tcPr>
          <w:p w14:paraId="23F58199" w14:textId="77777777" w:rsidR="009651E6" w:rsidRDefault="00323173">
            <w:pPr>
              <w:jc w:val="center"/>
            </w:pPr>
            <w:r>
              <w:t>19.179 Ft</w:t>
            </w:r>
          </w:p>
        </w:tc>
      </w:tr>
    </w:tbl>
    <w:p w14:paraId="23F5819B" w14:textId="77777777" w:rsidR="009651E6" w:rsidRDefault="009651E6"/>
    <w:p w14:paraId="23F581A4" w14:textId="77777777" w:rsidR="009651E6" w:rsidRDefault="009651E6"/>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651E6" w14:paraId="23F581A6" w14:textId="77777777">
        <w:trPr>
          <w:trHeight w:val="480"/>
        </w:trPr>
        <w:tc>
          <w:tcPr>
            <w:tcW w:w="9016" w:type="dxa"/>
            <w:shd w:val="clear" w:color="auto" w:fill="1F3864"/>
            <w:vAlign w:val="center"/>
          </w:tcPr>
          <w:p w14:paraId="23F581A5" w14:textId="77777777" w:rsidR="009651E6" w:rsidRDefault="00323173">
            <w:pPr>
              <w:jc w:val="center"/>
              <w:rPr>
                <w:b/>
                <w:sz w:val="28"/>
                <w:szCs w:val="28"/>
              </w:rPr>
            </w:pPr>
            <w:r>
              <w:rPr>
                <w:b/>
                <w:sz w:val="28"/>
                <w:szCs w:val="28"/>
              </w:rPr>
              <w:t xml:space="preserve">Védelmi javaslat </w:t>
            </w:r>
            <w:proofErr w:type="spellStart"/>
            <w:r>
              <w:rPr>
                <w:b/>
                <w:sz w:val="28"/>
                <w:szCs w:val="28"/>
              </w:rPr>
              <w:t>kórhazi</w:t>
            </w:r>
            <w:proofErr w:type="spellEnd"/>
            <w:r>
              <w:rPr>
                <w:b/>
                <w:sz w:val="28"/>
                <w:szCs w:val="28"/>
              </w:rPr>
              <w:t xml:space="preserve"> napi térítés esetén</w:t>
            </w:r>
          </w:p>
        </w:tc>
      </w:tr>
      <w:tr w:rsidR="009651E6" w14:paraId="23F581A9" w14:textId="77777777">
        <w:trPr>
          <w:trHeight w:val="480"/>
        </w:trPr>
        <w:tc>
          <w:tcPr>
            <w:tcW w:w="9016" w:type="dxa"/>
            <w:shd w:val="clear" w:color="auto" w:fill="FFFFFF"/>
            <w:vAlign w:val="center"/>
          </w:tcPr>
          <w:p w14:paraId="23F581A7" w14:textId="3EE172FC" w:rsidR="009651E6" w:rsidRDefault="00323173">
            <w:pPr>
              <w:rPr>
                <w:b/>
                <w:sz w:val="24"/>
                <w:szCs w:val="24"/>
              </w:rPr>
            </w:pPr>
            <w:r>
              <w:rPr>
                <w:b/>
                <w:sz w:val="24"/>
                <w:szCs w:val="24"/>
              </w:rPr>
              <w:t>Nem is kell, hogy nagy baj történjen: egy vakbélműtét, egy kiszáradással fenyegető vírusfertőzés, egy gyógyszer beállítása, egy csonttörés. Amíg kórházban, táppénzen vagy, az aznapi bevételed 40%-ától elesel. Vállalkozóként lehet, hogy az egésztől. Kórházban lenni sosem jó, de nem mindegy, hogy csak pár napos kellemetlenségről van szó, ami után mehet tovább az élet, vagy egy olyan anyagi érvágásról, amit még hónapokig, esetleg évekig érez a család. Ha baleset vagy betegség miatt 24 óránál több időt töl</w:t>
            </w:r>
            <w:r w:rsidR="00AB45D0">
              <w:rPr>
                <w:b/>
                <w:sz w:val="24"/>
                <w:szCs w:val="24"/>
              </w:rPr>
              <w:t>te</w:t>
            </w:r>
            <w:r>
              <w:rPr>
                <w:b/>
                <w:sz w:val="24"/>
                <w:szCs w:val="24"/>
              </w:rPr>
              <w:t>sz kórházban, a napi bevételed kiesését pótolhatod ezzel a biztosítással. A fedezet díja egy napra szól, vagyis az összeg annyiszorosát kapod meg, ahány napot a kórházban töltöttél.</w:t>
            </w:r>
          </w:p>
          <w:p w14:paraId="23F581A8" w14:textId="77777777" w:rsidR="009651E6" w:rsidRDefault="009651E6">
            <w:pPr>
              <w:rPr>
                <w:b/>
                <w:sz w:val="24"/>
                <w:szCs w:val="24"/>
              </w:rPr>
            </w:pPr>
          </w:p>
        </w:tc>
      </w:tr>
    </w:tbl>
    <w:p w14:paraId="23F581AA" w14:textId="77777777" w:rsidR="009651E6" w:rsidRDefault="009651E6"/>
    <w:p w14:paraId="23F581AB" w14:textId="77777777" w:rsidR="009651E6" w:rsidRDefault="009651E6"/>
    <w:tbl>
      <w:tblPr>
        <w:tblStyle w:val="a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260"/>
        <w:gridCol w:w="2693"/>
      </w:tblGrid>
      <w:tr w:rsidR="009651E6" w14:paraId="23F581AF" w14:textId="77777777">
        <w:tc>
          <w:tcPr>
            <w:tcW w:w="3114" w:type="dxa"/>
            <w:shd w:val="clear" w:color="auto" w:fill="BFBFBF"/>
          </w:tcPr>
          <w:p w14:paraId="23F581AC" w14:textId="77777777" w:rsidR="009651E6" w:rsidRDefault="00323173">
            <w:pPr>
              <w:jc w:val="center"/>
              <w:rPr>
                <w:b/>
              </w:rPr>
            </w:pPr>
            <w:r>
              <w:rPr>
                <w:b/>
              </w:rPr>
              <w:t>Felmerülés oka</w:t>
            </w:r>
          </w:p>
        </w:tc>
        <w:tc>
          <w:tcPr>
            <w:tcW w:w="3260" w:type="dxa"/>
            <w:shd w:val="clear" w:color="auto" w:fill="BFBFBF"/>
          </w:tcPr>
          <w:p w14:paraId="23F581AD" w14:textId="77777777" w:rsidR="009651E6" w:rsidRDefault="00323173">
            <w:pPr>
              <w:jc w:val="center"/>
              <w:rPr>
                <w:b/>
              </w:rPr>
            </w:pPr>
            <w:r>
              <w:rPr>
                <w:b/>
              </w:rPr>
              <w:t>Fedezet</w:t>
            </w:r>
          </w:p>
        </w:tc>
        <w:tc>
          <w:tcPr>
            <w:tcW w:w="2693" w:type="dxa"/>
            <w:shd w:val="clear" w:color="auto" w:fill="BFBFBF"/>
          </w:tcPr>
          <w:p w14:paraId="23F581AE" w14:textId="77777777" w:rsidR="009651E6" w:rsidRDefault="00323173">
            <w:pPr>
              <w:jc w:val="center"/>
              <w:rPr>
                <w:b/>
              </w:rPr>
            </w:pPr>
            <w:r>
              <w:rPr>
                <w:b/>
              </w:rPr>
              <w:t>Díj/hónap</w:t>
            </w:r>
          </w:p>
        </w:tc>
      </w:tr>
      <w:tr w:rsidR="009651E6" w14:paraId="23F581B3" w14:textId="77777777">
        <w:tc>
          <w:tcPr>
            <w:tcW w:w="3114" w:type="dxa"/>
            <w:shd w:val="clear" w:color="auto" w:fill="F2F2F2"/>
          </w:tcPr>
          <w:p w14:paraId="23F581B0" w14:textId="77777777" w:rsidR="009651E6" w:rsidRDefault="00323173">
            <w:pPr>
              <w:jc w:val="center"/>
              <w:rPr>
                <w:b/>
              </w:rPr>
            </w:pPr>
            <w:r>
              <w:rPr>
                <w:b/>
              </w:rPr>
              <w:t xml:space="preserve">Baleseti </w:t>
            </w:r>
          </w:p>
        </w:tc>
        <w:tc>
          <w:tcPr>
            <w:tcW w:w="3260" w:type="dxa"/>
          </w:tcPr>
          <w:p w14:paraId="23F581B1" w14:textId="77777777" w:rsidR="009651E6" w:rsidRDefault="00323173">
            <w:pPr>
              <w:jc w:val="center"/>
            </w:pPr>
            <w:r>
              <w:rPr>
                <w:b/>
              </w:rPr>
              <w:t>5.000 Ft</w:t>
            </w:r>
          </w:p>
        </w:tc>
        <w:tc>
          <w:tcPr>
            <w:tcW w:w="2693" w:type="dxa"/>
          </w:tcPr>
          <w:p w14:paraId="23F581B2" w14:textId="18AB9F1D" w:rsidR="009651E6" w:rsidRDefault="00323173">
            <w:pPr>
              <w:jc w:val="center"/>
            </w:pPr>
            <w:r>
              <w:t>2</w:t>
            </w:r>
            <w:r w:rsidR="00173893">
              <w:t>71</w:t>
            </w:r>
            <w:r>
              <w:t xml:space="preserve"> Ft</w:t>
            </w:r>
          </w:p>
        </w:tc>
      </w:tr>
      <w:tr w:rsidR="009651E6" w14:paraId="23F581B7" w14:textId="77777777">
        <w:tc>
          <w:tcPr>
            <w:tcW w:w="3114" w:type="dxa"/>
            <w:shd w:val="clear" w:color="auto" w:fill="F2F2F2"/>
          </w:tcPr>
          <w:p w14:paraId="23F581B4" w14:textId="77777777" w:rsidR="009651E6" w:rsidRDefault="00323173">
            <w:pPr>
              <w:jc w:val="center"/>
              <w:rPr>
                <w:b/>
              </w:rPr>
            </w:pPr>
            <w:r>
              <w:rPr>
                <w:b/>
              </w:rPr>
              <w:t xml:space="preserve">Bármely okú </w:t>
            </w:r>
          </w:p>
        </w:tc>
        <w:tc>
          <w:tcPr>
            <w:tcW w:w="3260" w:type="dxa"/>
          </w:tcPr>
          <w:p w14:paraId="23F581B5" w14:textId="30D8D5F9" w:rsidR="009651E6" w:rsidRDefault="009F0664">
            <w:pPr>
              <w:jc w:val="center"/>
            </w:pPr>
            <w:r>
              <w:rPr>
                <w:b/>
              </w:rPr>
              <w:t>3</w:t>
            </w:r>
            <w:r w:rsidR="00323173">
              <w:rPr>
                <w:b/>
              </w:rPr>
              <w:t>.000 Ft</w:t>
            </w:r>
          </w:p>
        </w:tc>
        <w:tc>
          <w:tcPr>
            <w:tcW w:w="2693" w:type="dxa"/>
          </w:tcPr>
          <w:p w14:paraId="23F581B6" w14:textId="72B62B78" w:rsidR="009651E6" w:rsidRDefault="009F0664">
            <w:pPr>
              <w:jc w:val="center"/>
            </w:pPr>
            <w:r>
              <w:t>873</w:t>
            </w:r>
            <w:r w:rsidR="00323173">
              <w:t xml:space="preserve"> Ft</w:t>
            </w:r>
          </w:p>
        </w:tc>
      </w:tr>
    </w:tbl>
    <w:p w14:paraId="23F581B8" w14:textId="77777777" w:rsidR="009651E6" w:rsidRDefault="009651E6"/>
    <w:p w14:paraId="23F581B9" w14:textId="77777777" w:rsidR="009651E6" w:rsidRDefault="009651E6"/>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651E6" w14:paraId="23F581BB" w14:textId="77777777">
        <w:trPr>
          <w:trHeight w:val="480"/>
        </w:trPr>
        <w:tc>
          <w:tcPr>
            <w:tcW w:w="9016" w:type="dxa"/>
            <w:shd w:val="clear" w:color="auto" w:fill="1F3864"/>
            <w:vAlign w:val="center"/>
          </w:tcPr>
          <w:p w14:paraId="23F581BA" w14:textId="77777777" w:rsidR="009651E6" w:rsidRDefault="00323173">
            <w:pPr>
              <w:jc w:val="center"/>
              <w:rPr>
                <w:b/>
                <w:sz w:val="28"/>
                <w:szCs w:val="28"/>
              </w:rPr>
            </w:pPr>
            <w:r>
              <w:rPr>
                <w:b/>
                <w:sz w:val="28"/>
                <w:szCs w:val="28"/>
              </w:rPr>
              <w:t>Védelmi javaslat műtét esetén</w:t>
            </w:r>
          </w:p>
        </w:tc>
      </w:tr>
      <w:tr w:rsidR="009651E6" w14:paraId="23F581BF" w14:textId="77777777">
        <w:trPr>
          <w:trHeight w:val="480"/>
        </w:trPr>
        <w:tc>
          <w:tcPr>
            <w:tcW w:w="9016" w:type="dxa"/>
            <w:shd w:val="clear" w:color="auto" w:fill="FFFFFF"/>
            <w:vAlign w:val="center"/>
          </w:tcPr>
          <w:p w14:paraId="23F581BC" w14:textId="77777777" w:rsidR="009651E6" w:rsidRDefault="00323173">
            <w:pPr>
              <w:jc w:val="center"/>
              <w:rPr>
                <w:b/>
                <w:sz w:val="24"/>
                <w:szCs w:val="24"/>
              </w:rPr>
            </w:pPr>
            <w:r>
              <w:rPr>
                <w:b/>
                <w:sz w:val="24"/>
                <w:szCs w:val="24"/>
              </w:rPr>
              <w:t>Egy műtét után az első, amit az orvos javasol, a nyugalom. De a kieső bevétel, az ellátással felmerülő költségek gondolata pontosan ezt nem teszi lehetővé. Legyen szó egy mandulaműtétről, balesetből, betegségből származó műtétről, a biztosító fedezi a plusz költségeket, így neked tényleg nem lesz más dolgod, csak a mielőbbi felépülésre koncentrálni.</w:t>
            </w:r>
          </w:p>
          <w:p w14:paraId="23F581BD" w14:textId="77777777" w:rsidR="009651E6" w:rsidRDefault="009651E6">
            <w:pPr>
              <w:jc w:val="center"/>
              <w:rPr>
                <w:b/>
                <w:sz w:val="24"/>
                <w:szCs w:val="24"/>
              </w:rPr>
            </w:pPr>
          </w:p>
          <w:p w14:paraId="23F581BE" w14:textId="77777777" w:rsidR="009651E6" w:rsidRDefault="00323173">
            <w:pPr>
              <w:jc w:val="center"/>
              <w:rPr>
                <w:b/>
                <w:sz w:val="24"/>
                <w:szCs w:val="24"/>
              </w:rPr>
            </w:pPr>
            <w:r>
              <w:rPr>
                <w:b/>
                <w:sz w:val="24"/>
                <w:szCs w:val="24"/>
              </w:rPr>
              <w:t>Műtétre bármilyen egészségügyi okból vagy baleset következtében is sor kerülhet. A fedezeti összeget műtéti százalékos arányban téríti a biztosító (lásd 3. sz. melléklet).</w:t>
            </w:r>
          </w:p>
        </w:tc>
      </w:tr>
    </w:tbl>
    <w:p w14:paraId="23F581C0" w14:textId="77777777" w:rsidR="009651E6" w:rsidRDefault="009651E6"/>
    <w:tbl>
      <w:tblPr>
        <w:tblStyle w:val="a8"/>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118"/>
        <w:gridCol w:w="2835"/>
      </w:tblGrid>
      <w:tr w:rsidR="009651E6" w14:paraId="23F581C4" w14:textId="77777777">
        <w:tc>
          <w:tcPr>
            <w:tcW w:w="3114" w:type="dxa"/>
            <w:shd w:val="clear" w:color="auto" w:fill="BFBFBF"/>
          </w:tcPr>
          <w:p w14:paraId="23F581C1" w14:textId="77777777" w:rsidR="009651E6" w:rsidRDefault="00323173">
            <w:pPr>
              <w:jc w:val="center"/>
              <w:rPr>
                <w:b/>
              </w:rPr>
            </w:pPr>
            <w:r>
              <w:rPr>
                <w:b/>
              </w:rPr>
              <w:t>Felmerülés oka</w:t>
            </w:r>
          </w:p>
        </w:tc>
        <w:tc>
          <w:tcPr>
            <w:tcW w:w="3118" w:type="dxa"/>
            <w:shd w:val="clear" w:color="auto" w:fill="BFBFBF"/>
          </w:tcPr>
          <w:p w14:paraId="23F581C2" w14:textId="77777777" w:rsidR="009651E6" w:rsidRDefault="00323173">
            <w:pPr>
              <w:jc w:val="center"/>
              <w:rPr>
                <w:b/>
              </w:rPr>
            </w:pPr>
            <w:r>
              <w:rPr>
                <w:b/>
              </w:rPr>
              <w:t>Fedezetek</w:t>
            </w:r>
          </w:p>
        </w:tc>
        <w:tc>
          <w:tcPr>
            <w:tcW w:w="2835" w:type="dxa"/>
            <w:shd w:val="clear" w:color="auto" w:fill="BFBFBF"/>
          </w:tcPr>
          <w:p w14:paraId="23F581C3" w14:textId="77777777" w:rsidR="009651E6" w:rsidRDefault="00323173">
            <w:pPr>
              <w:jc w:val="center"/>
              <w:rPr>
                <w:b/>
              </w:rPr>
            </w:pPr>
            <w:r>
              <w:rPr>
                <w:b/>
              </w:rPr>
              <w:t>Díj/hónap</w:t>
            </w:r>
          </w:p>
        </w:tc>
      </w:tr>
      <w:tr w:rsidR="009651E6" w14:paraId="23F581C8" w14:textId="77777777">
        <w:tc>
          <w:tcPr>
            <w:tcW w:w="3114" w:type="dxa"/>
            <w:shd w:val="clear" w:color="auto" w:fill="F2F2F2"/>
          </w:tcPr>
          <w:p w14:paraId="23F581C5" w14:textId="77777777" w:rsidR="009651E6" w:rsidRDefault="00323173">
            <w:pPr>
              <w:jc w:val="center"/>
              <w:rPr>
                <w:b/>
              </w:rPr>
            </w:pPr>
            <w:r>
              <w:rPr>
                <w:b/>
              </w:rPr>
              <w:t xml:space="preserve">Baleseti </w:t>
            </w:r>
          </w:p>
        </w:tc>
        <w:tc>
          <w:tcPr>
            <w:tcW w:w="3118" w:type="dxa"/>
          </w:tcPr>
          <w:p w14:paraId="23F581C6" w14:textId="77777777" w:rsidR="009651E6" w:rsidRDefault="00323173">
            <w:pPr>
              <w:jc w:val="center"/>
            </w:pPr>
            <w:r>
              <w:rPr>
                <w:b/>
              </w:rPr>
              <w:t>300.000 Ft</w:t>
            </w:r>
          </w:p>
        </w:tc>
        <w:tc>
          <w:tcPr>
            <w:tcW w:w="2835" w:type="dxa"/>
          </w:tcPr>
          <w:p w14:paraId="23F581C7" w14:textId="77777777" w:rsidR="009651E6" w:rsidRDefault="00323173">
            <w:pPr>
              <w:jc w:val="center"/>
            </w:pPr>
            <w:r>
              <w:t>500 Ft</w:t>
            </w:r>
          </w:p>
        </w:tc>
      </w:tr>
      <w:tr w:rsidR="009651E6" w14:paraId="23F581CC" w14:textId="77777777">
        <w:tc>
          <w:tcPr>
            <w:tcW w:w="3114" w:type="dxa"/>
            <w:shd w:val="clear" w:color="auto" w:fill="F2F2F2"/>
          </w:tcPr>
          <w:p w14:paraId="23F581C9" w14:textId="77777777" w:rsidR="009651E6" w:rsidRDefault="00323173">
            <w:pPr>
              <w:jc w:val="center"/>
              <w:rPr>
                <w:b/>
              </w:rPr>
            </w:pPr>
            <w:r>
              <w:rPr>
                <w:b/>
              </w:rPr>
              <w:t xml:space="preserve">Bármely okú </w:t>
            </w:r>
          </w:p>
        </w:tc>
        <w:tc>
          <w:tcPr>
            <w:tcW w:w="3118" w:type="dxa"/>
          </w:tcPr>
          <w:p w14:paraId="23F581CA" w14:textId="77777777" w:rsidR="009651E6" w:rsidRDefault="00323173">
            <w:pPr>
              <w:jc w:val="center"/>
            </w:pPr>
            <w:r>
              <w:rPr>
                <w:b/>
              </w:rPr>
              <w:t>300.000 Ft</w:t>
            </w:r>
          </w:p>
        </w:tc>
        <w:tc>
          <w:tcPr>
            <w:tcW w:w="2835" w:type="dxa"/>
          </w:tcPr>
          <w:p w14:paraId="23F581CB" w14:textId="77777777" w:rsidR="009651E6" w:rsidRDefault="00323173">
            <w:pPr>
              <w:jc w:val="center"/>
            </w:pPr>
            <w:r>
              <w:t>1000 Ft</w:t>
            </w:r>
          </w:p>
        </w:tc>
      </w:tr>
      <w:tr w:rsidR="009651E6" w14:paraId="23F581D0" w14:textId="77777777">
        <w:tc>
          <w:tcPr>
            <w:tcW w:w="3114" w:type="dxa"/>
            <w:shd w:val="clear" w:color="auto" w:fill="F2F2F2"/>
          </w:tcPr>
          <w:p w14:paraId="23F581CD" w14:textId="77777777" w:rsidR="009651E6" w:rsidRDefault="00323173">
            <w:pPr>
              <w:jc w:val="center"/>
              <w:rPr>
                <w:b/>
              </w:rPr>
            </w:pPr>
            <w:r>
              <w:rPr>
                <w:b/>
              </w:rPr>
              <w:t xml:space="preserve">Baleseti </w:t>
            </w:r>
          </w:p>
        </w:tc>
        <w:tc>
          <w:tcPr>
            <w:tcW w:w="3118" w:type="dxa"/>
          </w:tcPr>
          <w:p w14:paraId="23F581CE" w14:textId="77777777" w:rsidR="009651E6" w:rsidRDefault="00323173">
            <w:pPr>
              <w:jc w:val="center"/>
              <w:rPr>
                <w:b/>
              </w:rPr>
            </w:pPr>
            <w:r>
              <w:rPr>
                <w:b/>
              </w:rPr>
              <w:t>500.000 Ft</w:t>
            </w:r>
          </w:p>
        </w:tc>
        <w:tc>
          <w:tcPr>
            <w:tcW w:w="2835" w:type="dxa"/>
          </w:tcPr>
          <w:p w14:paraId="23F581CF" w14:textId="77777777" w:rsidR="009651E6" w:rsidRDefault="00323173">
            <w:pPr>
              <w:jc w:val="center"/>
            </w:pPr>
            <w:r>
              <w:t>700 Ft</w:t>
            </w:r>
          </w:p>
        </w:tc>
      </w:tr>
      <w:tr w:rsidR="009651E6" w14:paraId="23F581D4" w14:textId="77777777">
        <w:tc>
          <w:tcPr>
            <w:tcW w:w="3114" w:type="dxa"/>
            <w:shd w:val="clear" w:color="auto" w:fill="F2F2F2"/>
          </w:tcPr>
          <w:p w14:paraId="23F581D1" w14:textId="77777777" w:rsidR="009651E6" w:rsidRDefault="00323173">
            <w:pPr>
              <w:jc w:val="center"/>
              <w:rPr>
                <w:b/>
              </w:rPr>
            </w:pPr>
            <w:r>
              <w:rPr>
                <w:b/>
              </w:rPr>
              <w:lastRenderedPageBreak/>
              <w:t xml:space="preserve">Bármely okú </w:t>
            </w:r>
          </w:p>
        </w:tc>
        <w:tc>
          <w:tcPr>
            <w:tcW w:w="3118" w:type="dxa"/>
          </w:tcPr>
          <w:p w14:paraId="23F581D2" w14:textId="77777777" w:rsidR="009651E6" w:rsidRDefault="00323173">
            <w:pPr>
              <w:jc w:val="center"/>
              <w:rPr>
                <w:b/>
              </w:rPr>
            </w:pPr>
            <w:r>
              <w:rPr>
                <w:b/>
              </w:rPr>
              <w:t>500.000 Ft</w:t>
            </w:r>
          </w:p>
        </w:tc>
        <w:tc>
          <w:tcPr>
            <w:tcW w:w="2835" w:type="dxa"/>
          </w:tcPr>
          <w:p w14:paraId="23F581D3" w14:textId="77777777" w:rsidR="009651E6" w:rsidRDefault="00323173">
            <w:pPr>
              <w:jc w:val="center"/>
            </w:pPr>
            <w:r>
              <w:t>1400 Ft</w:t>
            </w:r>
          </w:p>
        </w:tc>
      </w:tr>
    </w:tbl>
    <w:p w14:paraId="23F581DF" w14:textId="77777777" w:rsidR="009651E6" w:rsidRDefault="009651E6"/>
    <w:p w14:paraId="23F581E0" w14:textId="77777777" w:rsidR="009651E6" w:rsidRPr="00175C0C" w:rsidRDefault="009651E6">
      <w:pPr>
        <w:rPr>
          <w:color w:val="FFFFFF" w:themeColor="background1"/>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75C0C" w:rsidRPr="00175C0C" w14:paraId="23F581E2" w14:textId="77777777">
        <w:trPr>
          <w:trHeight w:val="480"/>
        </w:trPr>
        <w:tc>
          <w:tcPr>
            <w:tcW w:w="9016" w:type="dxa"/>
            <w:shd w:val="clear" w:color="auto" w:fill="1F3864"/>
            <w:vAlign w:val="center"/>
          </w:tcPr>
          <w:p w14:paraId="23F581E1" w14:textId="77777777" w:rsidR="009651E6" w:rsidRPr="00175C0C" w:rsidRDefault="00323173">
            <w:pPr>
              <w:numPr>
                <w:ilvl w:val="1"/>
                <w:numId w:val="3"/>
              </w:numPr>
              <w:pBdr>
                <w:top w:val="nil"/>
                <w:left w:val="nil"/>
                <w:bottom w:val="nil"/>
                <w:right w:val="nil"/>
                <w:between w:val="nil"/>
              </w:pBdr>
              <w:spacing w:after="160" w:line="259" w:lineRule="auto"/>
              <w:jc w:val="center"/>
              <w:rPr>
                <w:b/>
                <w:color w:val="FFFFFF" w:themeColor="background1"/>
                <w:sz w:val="28"/>
                <w:szCs w:val="28"/>
              </w:rPr>
            </w:pPr>
            <w:r w:rsidRPr="00175C0C">
              <w:rPr>
                <w:b/>
                <w:color w:val="FFFFFF" w:themeColor="background1"/>
                <w:sz w:val="28"/>
                <w:szCs w:val="28"/>
              </w:rPr>
              <w:t xml:space="preserve"> órás telefonos asszisztencia szolgáltatás szülők részére</w:t>
            </w:r>
          </w:p>
        </w:tc>
      </w:tr>
      <w:tr w:rsidR="009651E6" w14:paraId="23F581EF" w14:textId="77777777">
        <w:trPr>
          <w:trHeight w:val="480"/>
        </w:trPr>
        <w:tc>
          <w:tcPr>
            <w:tcW w:w="9016" w:type="dxa"/>
            <w:shd w:val="clear" w:color="auto" w:fill="FFFFFF"/>
            <w:vAlign w:val="center"/>
          </w:tcPr>
          <w:p w14:paraId="23F581E3" w14:textId="77777777" w:rsidR="009651E6" w:rsidRDefault="00323173">
            <w:pPr>
              <w:pBdr>
                <w:top w:val="nil"/>
                <w:left w:val="nil"/>
                <w:bottom w:val="nil"/>
                <w:right w:val="nil"/>
                <w:between w:val="nil"/>
              </w:pBdr>
              <w:spacing w:line="259" w:lineRule="auto"/>
              <w:ind w:left="720" w:hanging="720"/>
              <w:rPr>
                <w:b/>
                <w:color w:val="000000"/>
                <w:sz w:val="24"/>
                <w:szCs w:val="24"/>
              </w:rPr>
            </w:pPr>
            <w:r>
              <w:rPr>
                <w:b/>
                <w:sz w:val="24"/>
                <w:szCs w:val="24"/>
              </w:rPr>
              <w:t xml:space="preserve">Szombat este van, és a gyereknek begyulladt a füle. Tudod, hol van a legközelebbi ügyelet? Meghúzta az ecetes üveget, lenyelt egy </w:t>
            </w:r>
            <w:proofErr w:type="spellStart"/>
            <w:r>
              <w:rPr>
                <w:b/>
                <w:sz w:val="24"/>
                <w:szCs w:val="24"/>
              </w:rPr>
              <w:t>legót</w:t>
            </w:r>
            <w:proofErr w:type="spellEnd"/>
            <w:r>
              <w:rPr>
                <w:b/>
                <w:sz w:val="24"/>
                <w:szCs w:val="24"/>
              </w:rPr>
              <w:t xml:space="preserve"> – mit kell ilyenkor csinálni? És kitől tudod megkérdezni, hogy hova menj, mit tegyél, mit kezdj figyelni? A 24 órás</w:t>
            </w:r>
            <w:r>
              <w:rPr>
                <w:b/>
                <w:color w:val="000000"/>
                <w:sz w:val="24"/>
                <w:szCs w:val="24"/>
              </w:rPr>
              <w:t xml:space="preserve"> asszisztencia szolgáltatást kisgyermekes </w:t>
            </w:r>
            <w:r>
              <w:rPr>
                <w:b/>
                <w:sz w:val="24"/>
                <w:szCs w:val="24"/>
              </w:rPr>
              <w:t>szülőknek ajánljuk, hogy egy ijesztő helyzetben is urai tudjanak maradni a helyzetnek, vagy egy pillanat alatt segítséget kérhessenek</w:t>
            </w:r>
            <w:r>
              <w:rPr>
                <w:b/>
                <w:color w:val="000000"/>
                <w:sz w:val="24"/>
                <w:szCs w:val="24"/>
              </w:rPr>
              <w:t xml:space="preserve">. </w:t>
            </w:r>
            <w:r>
              <w:rPr>
                <w:b/>
                <w:sz w:val="24"/>
                <w:szCs w:val="24"/>
              </w:rPr>
              <w:t>A bármikor hívható telefonszámon az alábbiakban tudnak segíteni:</w:t>
            </w:r>
          </w:p>
          <w:p w14:paraId="23F581E4" w14:textId="77777777" w:rsidR="009651E6" w:rsidRDefault="009651E6">
            <w:pPr>
              <w:pBdr>
                <w:top w:val="nil"/>
                <w:left w:val="nil"/>
                <w:bottom w:val="nil"/>
                <w:right w:val="nil"/>
                <w:between w:val="nil"/>
              </w:pBdr>
              <w:spacing w:line="259" w:lineRule="auto"/>
              <w:ind w:left="720" w:hanging="720"/>
              <w:rPr>
                <w:b/>
                <w:color w:val="000000"/>
                <w:sz w:val="24"/>
                <w:szCs w:val="24"/>
              </w:rPr>
            </w:pPr>
            <w:bookmarkStart w:id="1" w:name="_GoBack"/>
            <w:bookmarkEnd w:id="1"/>
          </w:p>
          <w:p w14:paraId="23F581E5" w14:textId="77777777" w:rsidR="009651E6" w:rsidRDefault="009651E6">
            <w:pPr>
              <w:pBdr>
                <w:top w:val="nil"/>
                <w:left w:val="nil"/>
                <w:bottom w:val="nil"/>
                <w:right w:val="nil"/>
                <w:between w:val="nil"/>
              </w:pBdr>
              <w:spacing w:line="259" w:lineRule="auto"/>
              <w:ind w:left="720" w:hanging="720"/>
              <w:rPr>
                <w:b/>
                <w:color w:val="000000"/>
                <w:sz w:val="24"/>
                <w:szCs w:val="24"/>
              </w:rPr>
            </w:pPr>
          </w:p>
          <w:p w14:paraId="23F581E6" w14:textId="77777777" w:rsidR="009651E6" w:rsidRDefault="00323173">
            <w:pPr>
              <w:numPr>
                <w:ilvl w:val="0"/>
                <w:numId w:val="1"/>
              </w:numPr>
              <w:pBdr>
                <w:top w:val="nil"/>
                <w:left w:val="nil"/>
                <w:bottom w:val="nil"/>
                <w:right w:val="nil"/>
                <w:between w:val="nil"/>
              </w:pBdr>
              <w:spacing w:after="160" w:line="259" w:lineRule="auto"/>
              <w:rPr>
                <w:b/>
                <w:color w:val="000000"/>
                <w:sz w:val="24"/>
                <w:szCs w:val="24"/>
              </w:rPr>
            </w:pPr>
            <w:r>
              <w:rPr>
                <w:b/>
                <w:sz w:val="24"/>
                <w:szCs w:val="24"/>
              </w:rPr>
              <w:t>Információ b</w:t>
            </w:r>
            <w:r>
              <w:rPr>
                <w:b/>
                <w:color w:val="000000"/>
                <w:sz w:val="24"/>
                <w:szCs w:val="24"/>
              </w:rPr>
              <w:t>etegséggel, gyógykezeléssel, egészségmegőrzéssel kapcsolatos kérdésekről, gyógyszerek összetételéről, alkalmazhatóságáról, mellékhatásáról, helyettesíthetőségéről, áráról, orvosi, gyermekorvosi, fogorvosi ügyeletekről, ügyeletes gyógyszertárakról, egészségügyi intézmények elérhetőségéről.</w:t>
            </w:r>
          </w:p>
          <w:p w14:paraId="23F581E7" w14:textId="77777777" w:rsidR="009651E6" w:rsidRDefault="009651E6">
            <w:pPr>
              <w:ind w:left="720"/>
              <w:rPr>
                <w:b/>
                <w:sz w:val="24"/>
                <w:szCs w:val="24"/>
              </w:rPr>
            </w:pPr>
          </w:p>
          <w:p w14:paraId="23F581E8" w14:textId="77777777" w:rsidR="009651E6" w:rsidRDefault="00323173">
            <w:pPr>
              <w:numPr>
                <w:ilvl w:val="0"/>
                <w:numId w:val="1"/>
              </w:numPr>
              <w:rPr>
                <w:b/>
                <w:sz w:val="24"/>
                <w:szCs w:val="24"/>
              </w:rPr>
            </w:pPr>
            <w:r>
              <w:rPr>
                <w:b/>
                <w:sz w:val="24"/>
                <w:szCs w:val="24"/>
              </w:rPr>
              <w:t>Szakorvosi vizsgálat és konzultáció ajánlásával és megszervezésével kapcsolatos szolgáltatás.</w:t>
            </w:r>
          </w:p>
          <w:p w14:paraId="23F581E9" w14:textId="77777777" w:rsidR="009651E6" w:rsidRDefault="009651E6">
            <w:pPr>
              <w:pBdr>
                <w:top w:val="nil"/>
                <w:left w:val="nil"/>
                <w:bottom w:val="nil"/>
                <w:right w:val="nil"/>
                <w:between w:val="nil"/>
              </w:pBdr>
              <w:spacing w:after="160" w:line="259" w:lineRule="auto"/>
              <w:ind w:left="720" w:hanging="720"/>
              <w:rPr>
                <w:b/>
                <w:color w:val="000000"/>
                <w:sz w:val="24"/>
                <w:szCs w:val="24"/>
              </w:rPr>
            </w:pPr>
          </w:p>
          <w:p w14:paraId="23F581EA" w14:textId="77777777" w:rsidR="009651E6" w:rsidRDefault="00323173">
            <w:pPr>
              <w:numPr>
                <w:ilvl w:val="0"/>
                <w:numId w:val="1"/>
              </w:numPr>
              <w:rPr>
                <w:b/>
                <w:sz w:val="24"/>
                <w:szCs w:val="24"/>
              </w:rPr>
            </w:pPr>
            <w:r>
              <w:rPr>
                <w:b/>
                <w:sz w:val="24"/>
                <w:szCs w:val="24"/>
              </w:rPr>
              <w:t>Második orvosi szakvélemény kérésére</w:t>
            </w:r>
          </w:p>
          <w:p w14:paraId="23F581EB" w14:textId="77777777" w:rsidR="009651E6" w:rsidRDefault="009651E6">
            <w:pPr>
              <w:pBdr>
                <w:top w:val="nil"/>
                <w:left w:val="nil"/>
                <w:bottom w:val="nil"/>
                <w:right w:val="nil"/>
                <w:between w:val="nil"/>
              </w:pBdr>
              <w:spacing w:after="160" w:line="259" w:lineRule="auto"/>
              <w:ind w:left="720" w:hanging="720"/>
              <w:rPr>
                <w:b/>
                <w:color w:val="000000"/>
                <w:sz w:val="24"/>
                <w:szCs w:val="24"/>
              </w:rPr>
            </w:pPr>
          </w:p>
          <w:p w14:paraId="23F581EC" w14:textId="77777777" w:rsidR="009651E6" w:rsidRDefault="00323173">
            <w:pPr>
              <w:numPr>
                <w:ilvl w:val="0"/>
                <w:numId w:val="1"/>
              </w:numPr>
              <w:rPr>
                <w:b/>
                <w:sz w:val="24"/>
                <w:szCs w:val="24"/>
              </w:rPr>
            </w:pPr>
            <w:r>
              <w:rPr>
                <w:b/>
                <w:sz w:val="24"/>
                <w:szCs w:val="24"/>
              </w:rPr>
              <w:t xml:space="preserve">Online orvosi tanácsadás, Online táplálkozási tanácsadás, Szakorvosi vizsgálat, szűrővizsgálat megszervezése online, Online egészségfelmérés </w:t>
            </w:r>
          </w:p>
          <w:p w14:paraId="23F581ED" w14:textId="77777777" w:rsidR="009651E6" w:rsidRDefault="009651E6">
            <w:pPr>
              <w:ind w:left="720"/>
              <w:rPr>
                <w:b/>
                <w:sz w:val="24"/>
                <w:szCs w:val="24"/>
              </w:rPr>
            </w:pPr>
          </w:p>
          <w:p w14:paraId="23F581EE" w14:textId="77777777" w:rsidR="009651E6" w:rsidRDefault="009651E6">
            <w:pPr>
              <w:jc w:val="center"/>
              <w:rPr>
                <w:b/>
                <w:sz w:val="24"/>
                <w:szCs w:val="24"/>
              </w:rPr>
            </w:pPr>
          </w:p>
        </w:tc>
      </w:tr>
    </w:tbl>
    <w:p w14:paraId="23F581F0" w14:textId="77777777" w:rsidR="009651E6" w:rsidRDefault="009651E6"/>
    <w:tbl>
      <w:tblPr>
        <w:tblStyle w:val="a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9651E6" w14:paraId="23F581F2" w14:textId="77777777">
        <w:tc>
          <w:tcPr>
            <w:tcW w:w="9067" w:type="dxa"/>
            <w:shd w:val="clear" w:color="auto" w:fill="BFBFBF"/>
          </w:tcPr>
          <w:p w14:paraId="23F581F1" w14:textId="77777777" w:rsidR="009651E6" w:rsidRDefault="00323173">
            <w:pPr>
              <w:jc w:val="center"/>
              <w:rPr>
                <w:b/>
              </w:rPr>
            </w:pPr>
            <w:r>
              <w:rPr>
                <w:b/>
              </w:rPr>
              <w:t>Díj/hónap</w:t>
            </w:r>
          </w:p>
        </w:tc>
      </w:tr>
      <w:tr w:rsidR="009651E6" w14:paraId="23F581F4" w14:textId="77777777">
        <w:tc>
          <w:tcPr>
            <w:tcW w:w="9067" w:type="dxa"/>
          </w:tcPr>
          <w:p w14:paraId="23F581F3" w14:textId="77777777" w:rsidR="009651E6" w:rsidRDefault="00323173">
            <w:pPr>
              <w:jc w:val="center"/>
            </w:pPr>
            <w:r>
              <w:t>1000 Ft</w:t>
            </w:r>
          </w:p>
        </w:tc>
      </w:tr>
    </w:tbl>
    <w:p w14:paraId="23F581F5" w14:textId="77777777" w:rsidR="009651E6" w:rsidRDefault="009651E6"/>
    <w:p w14:paraId="23F581F6" w14:textId="77777777" w:rsidR="009651E6" w:rsidRDefault="009651E6"/>
    <w:p w14:paraId="23F581F7" w14:textId="77777777" w:rsidR="009651E6" w:rsidRDefault="009651E6"/>
    <w:p w14:paraId="23F581F8" w14:textId="77777777" w:rsidR="009651E6" w:rsidRDefault="009651E6"/>
    <w:p w14:paraId="23F581FB" w14:textId="77777777" w:rsidR="009651E6" w:rsidRPr="00DA5BF6" w:rsidRDefault="009651E6"/>
    <w:p w14:paraId="23F581FC" w14:textId="77777777" w:rsidR="009651E6" w:rsidRPr="00DA5BF6" w:rsidRDefault="009651E6"/>
    <w:p w14:paraId="23F581FD" w14:textId="77777777" w:rsidR="009651E6" w:rsidRDefault="009651E6"/>
    <w:p w14:paraId="23F581FE" w14:textId="77777777" w:rsidR="009651E6" w:rsidRDefault="009651E6"/>
    <w:p w14:paraId="23F581FF" w14:textId="77777777" w:rsidR="009651E6" w:rsidRDefault="009651E6"/>
    <w:p w14:paraId="23F58200" w14:textId="77777777" w:rsidR="009651E6" w:rsidRDefault="009651E6"/>
    <w:p w14:paraId="23F58201" w14:textId="77777777" w:rsidR="009651E6" w:rsidRDefault="009651E6"/>
    <w:p w14:paraId="23F58202" w14:textId="77777777" w:rsidR="009651E6" w:rsidRDefault="009651E6"/>
    <w:p w14:paraId="23F58203" w14:textId="77777777" w:rsidR="009651E6" w:rsidRDefault="009651E6"/>
    <w:p w14:paraId="23F58204" w14:textId="77777777" w:rsidR="009651E6" w:rsidRDefault="009651E6"/>
    <w:p w14:paraId="23F58205" w14:textId="77777777" w:rsidR="009651E6" w:rsidRDefault="009651E6"/>
    <w:p w14:paraId="23F58206" w14:textId="77777777" w:rsidR="009651E6" w:rsidRDefault="009651E6"/>
    <w:p w14:paraId="23F58207" w14:textId="77777777" w:rsidR="009651E6" w:rsidRDefault="009651E6"/>
    <w:p w14:paraId="23F58208" w14:textId="77777777" w:rsidR="009651E6" w:rsidRDefault="009651E6"/>
    <w:p w14:paraId="23F58209" w14:textId="77777777" w:rsidR="009651E6" w:rsidRDefault="009651E6"/>
    <w:p w14:paraId="23F5820A" w14:textId="77777777" w:rsidR="009651E6" w:rsidRDefault="009651E6">
      <w:pPr>
        <w:tabs>
          <w:tab w:val="left" w:pos="1596"/>
        </w:tabs>
      </w:pPr>
    </w:p>
    <w:sectPr w:rsidR="009651E6">
      <w:headerReference w:type="default" r:id="rId8"/>
      <w:footerReference w:type="default" r:id="rId9"/>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6F339" w14:textId="77777777" w:rsidR="00317BF7" w:rsidRDefault="00317BF7">
      <w:pPr>
        <w:spacing w:after="0" w:line="240" w:lineRule="auto"/>
      </w:pPr>
      <w:r>
        <w:separator/>
      </w:r>
    </w:p>
  </w:endnote>
  <w:endnote w:type="continuationSeparator" w:id="0">
    <w:p w14:paraId="79FB8F2A" w14:textId="77777777" w:rsidR="00317BF7" w:rsidRDefault="0031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 Pro">
    <w:panose1 w:val="02040503050201020203"/>
    <w:charset w:val="00"/>
    <w:family w:val="roman"/>
    <w:notTrueType/>
    <w:pitch w:val="variable"/>
    <w:sig w:usb0="6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20F" w14:textId="72A1C911" w:rsidR="009651E6" w:rsidRDefault="0032317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73893">
      <w:rPr>
        <w:noProof/>
        <w:color w:val="000000"/>
      </w:rPr>
      <w:t>1</w:t>
    </w:r>
    <w:r>
      <w:rPr>
        <w:color w:val="000000"/>
      </w:rPr>
      <w:fldChar w:fldCharType="end"/>
    </w:r>
  </w:p>
  <w:p w14:paraId="23F58210" w14:textId="77777777" w:rsidR="009651E6" w:rsidRDefault="009651E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8922B" w14:textId="77777777" w:rsidR="00317BF7" w:rsidRDefault="00317BF7">
      <w:pPr>
        <w:spacing w:after="0" w:line="240" w:lineRule="auto"/>
      </w:pPr>
      <w:r>
        <w:separator/>
      </w:r>
    </w:p>
  </w:footnote>
  <w:footnote w:type="continuationSeparator" w:id="0">
    <w:p w14:paraId="7331212A" w14:textId="77777777" w:rsidR="00317BF7" w:rsidRDefault="00317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20D" w14:textId="77777777" w:rsidR="009651E6" w:rsidRDefault="009651E6">
    <w:pPr>
      <w:pBdr>
        <w:top w:val="nil"/>
        <w:left w:val="nil"/>
        <w:bottom w:val="nil"/>
        <w:right w:val="nil"/>
        <w:between w:val="nil"/>
      </w:pBdr>
      <w:tabs>
        <w:tab w:val="center" w:pos="4513"/>
        <w:tab w:val="right" w:pos="9026"/>
      </w:tabs>
      <w:spacing w:after="0" w:line="240" w:lineRule="auto"/>
      <w:rPr>
        <w:rFonts w:ascii="Arial Black" w:eastAsia="Arial Black" w:hAnsi="Arial Black" w:cs="Arial Black"/>
        <w:color w:val="1F4E79"/>
        <w:sz w:val="28"/>
        <w:szCs w:val="28"/>
      </w:rPr>
    </w:pPr>
  </w:p>
  <w:p w14:paraId="23F5820E" w14:textId="77777777" w:rsidR="009651E6" w:rsidRDefault="009651E6">
    <w:pPr>
      <w:pBdr>
        <w:top w:val="nil"/>
        <w:left w:val="nil"/>
        <w:bottom w:val="nil"/>
        <w:right w:val="nil"/>
        <w:between w:val="nil"/>
      </w:pBdr>
      <w:tabs>
        <w:tab w:val="center" w:pos="4513"/>
        <w:tab w:val="right" w:pos="9026"/>
      </w:tabs>
      <w:spacing w:after="0" w:line="240" w:lineRule="auto"/>
      <w:jc w:val="center"/>
      <w:rPr>
        <w:rFonts w:ascii="Arial Black" w:eastAsia="Arial Black" w:hAnsi="Arial Black" w:cs="Arial Black"/>
        <w:color w:val="1F4E7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3842"/>
    <w:multiLevelType w:val="multilevel"/>
    <w:tmpl w:val="E15AB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9D41E8"/>
    <w:multiLevelType w:val="multilevel"/>
    <w:tmpl w:val="52062298"/>
    <w:lvl w:ilvl="0">
      <w:start w:val="1"/>
      <w:numFmt w:val="decimal"/>
      <w:lvlText w:val="%1"/>
      <w:lvlJc w:val="left"/>
      <w:pPr>
        <w:ind w:left="516" w:hanging="516"/>
      </w:pPr>
    </w:lvl>
    <w:lvl w:ilvl="1">
      <w:start w:val="24"/>
      <w:numFmt w:val="decimal"/>
      <w:lvlText w:val="%1-%2"/>
      <w:lvlJc w:val="left"/>
      <w:pPr>
        <w:ind w:left="516" w:hanging="516"/>
      </w:pPr>
    </w:lvl>
    <w:lvl w:ilvl="2">
      <w:start w:val="1"/>
      <w:numFmt w:val="decimalZero"/>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D3632C8"/>
    <w:multiLevelType w:val="multilevel"/>
    <w:tmpl w:val="BC3E4FE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E6"/>
    <w:rsid w:val="00173893"/>
    <w:rsid w:val="00175C0C"/>
    <w:rsid w:val="00317BF7"/>
    <w:rsid w:val="00323173"/>
    <w:rsid w:val="00590087"/>
    <w:rsid w:val="00680D4E"/>
    <w:rsid w:val="006A4FA6"/>
    <w:rsid w:val="0079657D"/>
    <w:rsid w:val="007B3E23"/>
    <w:rsid w:val="008B6DF9"/>
    <w:rsid w:val="00914121"/>
    <w:rsid w:val="009651E6"/>
    <w:rsid w:val="009F0664"/>
    <w:rsid w:val="00AB45D0"/>
    <w:rsid w:val="00B80FAF"/>
    <w:rsid w:val="00C173A4"/>
    <w:rsid w:val="00DA5B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8134"/>
  <w15:docId w15:val="{769DA951-45F9-4E79-B9FE-FD4DFBA8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customStyle="1" w:styleId="BasicParagraph">
    <w:name w:val="[Basic Paragraph]"/>
    <w:basedOn w:val="Normal"/>
    <w:uiPriority w:val="99"/>
    <w:rsid w:val="00680D4E"/>
    <w:pPr>
      <w:autoSpaceDE w:val="0"/>
      <w:autoSpaceDN w:val="0"/>
      <w:adjustRightInd w:val="0"/>
      <w:spacing w:after="0" w:line="288" w:lineRule="auto"/>
      <w:textAlignment w:val="center"/>
    </w:pPr>
    <w:rPr>
      <w:rFonts w:ascii="Minion Pro" w:hAnsi="Minion Pro" w:cs="Minion Pro"/>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1029</Words>
  <Characters>7102</Characters>
  <Application>Microsoft Office Word</Application>
  <DocSecurity>0</DocSecurity>
  <Lines>59</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Judit Farkas</cp:lastModifiedBy>
  <cp:revision>13</cp:revision>
  <dcterms:created xsi:type="dcterms:W3CDTF">2019-12-18T06:51:00Z</dcterms:created>
  <dcterms:modified xsi:type="dcterms:W3CDTF">2020-01-19T14:50:00Z</dcterms:modified>
</cp:coreProperties>
</file>