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Stock Evaluation Memo</w:t>
      </w:r>
    </w:p>
    <w:p>
      <w:pPr>
        <w:jc w:val="center"/>
      </w:pPr>
      <w:r>
        <w:rPr>
          <w:b/>
          <w:sz w:val="26"/>
        </w:rPr>
        <w:t>Canadian National Railway Company  |  TSX: CNR  |  NYSE: CNI</w:t>
      </w:r>
    </w:p>
    <w:p>
      <w:pPr>
        <w:jc w:val="center"/>
      </w:pPr>
      <w:r>
        <w:rPr>
          <w:i/>
          <w:sz w:val="20"/>
        </w:rPr>
        <w:t>Decision-Grade Memo  |  Horizon: 3–5+ years  |  Reporting currency: CAD  |  May 25, 2026</w:t>
      </w:r>
    </w:p>
    <w:p/>
    <w:p>
      <w:pPr>
        <w:spacing w:before="280" w:after="120"/>
      </w:pPr>
      <w:r>
        <w:rPr>
          <w:b/>
          <w:color w:val="1F3A5F"/>
          <w:sz w:val="32"/>
        </w:rPr>
        <w:t>1. Disclaimer</w:t>
      </w:r>
    </w:p>
    <w:p>
      <w:pPr>
        <w:spacing w:after="80"/>
      </w:pPr>
      <w:r>
        <w:rPr>
          <w:b w:val="0"/>
          <w:i w:val="0"/>
          <w:sz w:val="22"/>
        </w:rPr>
        <w:t>This memo is a structured pre-purchase evaluation framework, not investment advice. The author is not a licensed investment advisor. All figures are sourced from Canadian National Railway Company's primary SEC/SEDAR+ filings and public market data. Readers should perform their own due diligence and consider their personal financial situation, tax position, and risk tolerance before transacting in any security. Past performance is not indicative of future results. Currency: all figures in Canadian dollars (CAD) unless stated otherwise.</w:t>
      </w:r>
    </w:p>
    <w:p>
      <w:pPr>
        <w:spacing w:before="280" w:after="120"/>
      </w:pPr>
      <w:r>
        <w:rPr>
          <w:b/>
          <w:color w:val="1F3A5F"/>
          <w:sz w:val="32"/>
        </w:rPr>
        <w:t>2. Company Snapshot</w:t>
      </w:r>
    </w:p>
    <w:p>
      <w:pPr>
        <w:spacing w:after="80"/>
      </w:pPr>
      <w:r>
        <w:rPr>
          <w:b w:val="0"/>
          <w:i w:val="0"/>
          <w:sz w:val="22"/>
        </w:rPr>
        <w:t>Canadian National Railway Company ("CN") is a Canadian Class I freight railroad headquartered in Montreal, Quebec. CN operates approximately 18,900 route miles of track across Canada and the U.S. Midwest and Gulf coast, making it the only North American Class I with port access on three coasts: Atlantic (Halifax, Nova Scotia), Pacific (Vancouver and Prince Rupert, B.C.), and Gulf of Mexico (New Orleans and Mobile, via the former Illinois Central network). It is one of two Canadian Class I railroads (alongside Canadian Pacific Kansas City Limited) and one of six in North America.</w:t>
      </w:r>
    </w:p>
    <w:tbl>
      <w:tblPr>
        <w:tblStyle w:val="LightGrid-Accent1"/>
        <w:tblW w:type="auto" w:w="0"/>
        <w:tblLook w:firstColumn="1" w:firstRow="1" w:lastColumn="0" w:lastRow="0" w:noHBand="0" w:noVBand="1" w:val="04A0"/>
      </w:tblPr>
      <w:tblGrid>
        <w:gridCol w:w="3216"/>
        <w:gridCol w:w="3216"/>
        <w:gridCol w:w="3216"/>
      </w:tblGrid>
      <w:tr>
        <w:tc>
          <w:tcPr>
            <w:tcW w:type="dxa" w:w="2736"/>
            <w:vAlign w:val="center"/>
          </w:tcPr>
          <w:p>
            <w:r/>
            <w:r>
              <w:rPr>
                <w:b/>
                <w:sz w:val="20"/>
              </w:rPr>
              <w:t>Item</w:t>
            </w:r>
          </w:p>
        </w:tc>
        <w:tc>
          <w:tcPr>
            <w:tcW w:type="dxa" w:w="4176"/>
            <w:vAlign w:val="center"/>
          </w:tcPr>
          <w:p>
            <w:r/>
            <w:r>
              <w:rPr>
                <w:b/>
                <w:sz w:val="20"/>
              </w:rPr>
              <w:t>Value</w:t>
            </w:r>
          </w:p>
        </w:tc>
        <w:tc>
          <w:tcPr>
            <w:tcW w:type="dxa" w:w="3168"/>
            <w:vAlign w:val="center"/>
          </w:tcPr>
          <w:p>
            <w:r/>
            <w:r>
              <w:rPr>
                <w:b/>
                <w:sz w:val="20"/>
              </w:rPr>
              <w:t>Source</w:t>
            </w:r>
          </w:p>
        </w:tc>
      </w:tr>
      <w:tr>
        <w:tc>
          <w:tcPr>
            <w:tcW w:type="dxa" w:w="2736"/>
          </w:tcPr>
          <w:p>
            <w:r/>
            <w:r>
              <w:rPr>
                <w:sz w:val="20"/>
              </w:rPr>
              <w:t>Ticker (primary)</w:t>
            </w:r>
          </w:p>
        </w:tc>
        <w:tc>
          <w:tcPr>
            <w:tcW w:type="dxa" w:w="4176"/>
          </w:tcPr>
          <w:p>
            <w:r/>
            <w:r>
              <w:rPr>
                <w:sz w:val="20"/>
              </w:rPr>
              <w:t>TSX: CNR, NYSE: CNI</w:t>
            </w:r>
          </w:p>
        </w:tc>
        <w:tc>
          <w:tcPr>
            <w:tcW w:type="dxa" w:w="3168"/>
          </w:tcPr>
          <w:p>
            <w:r/>
            <w:r>
              <w:rPr>
                <w:sz w:val="20"/>
              </w:rPr>
              <w:t>Public listing</w:t>
            </w:r>
          </w:p>
        </w:tc>
      </w:tr>
      <w:tr>
        <w:tc>
          <w:tcPr>
            <w:tcW w:type="dxa" w:w="2736"/>
          </w:tcPr>
          <w:p>
            <w:r/>
            <w:r>
              <w:rPr>
                <w:sz w:val="20"/>
              </w:rPr>
              <w:t>Close price (CNR.TO)</w:t>
            </w:r>
          </w:p>
        </w:tc>
        <w:tc>
          <w:tcPr>
            <w:tcW w:type="dxa" w:w="4176"/>
          </w:tcPr>
          <w:p>
            <w:r/>
            <w:r>
              <w:rPr>
                <w:sz w:val="20"/>
              </w:rPr>
              <w:t>C$157.79 (22-May-2026)</w:t>
            </w:r>
          </w:p>
        </w:tc>
        <w:tc>
          <w:tcPr>
            <w:tcW w:type="dxa" w:w="3168"/>
          </w:tcPr>
          <w:p>
            <w:r/>
            <w:r>
              <w:rPr>
                <w:sz w:val="20"/>
              </w:rPr>
              <w:t>Yahoo Finance / TSX</w:t>
            </w:r>
          </w:p>
        </w:tc>
      </w:tr>
      <w:tr>
        <w:tc>
          <w:tcPr>
            <w:tcW w:type="dxa" w:w="2736"/>
          </w:tcPr>
          <w:p>
            <w:r/>
            <w:r>
              <w:rPr>
                <w:sz w:val="20"/>
              </w:rPr>
              <w:t>52-week range</w:t>
            </w:r>
          </w:p>
        </w:tc>
        <w:tc>
          <w:tcPr>
            <w:tcW w:type="dxa" w:w="4176"/>
          </w:tcPr>
          <w:p>
            <w:r/>
            <w:r>
              <w:rPr>
                <w:sz w:val="20"/>
              </w:rPr>
              <w:t>C$126.11 – C$159.08</w:t>
            </w:r>
          </w:p>
        </w:tc>
        <w:tc>
          <w:tcPr>
            <w:tcW w:type="dxa" w:w="3168"/>
          </w:tcPr>
          <w:p>
            <w:r/>
            <w:r>
              <w:rPr>
                <w:sz w:val="20"/>
              </w:rPr>
              <w:t>TSX</w:t>
            </w:r>
          </w:p>
        </w:tc>
      </w:tr>
      <w:tr>
        <w:tc>
          <w:tcPr>
            <w:tcW w:type="dxa" w:w="2736"/>
          </w:tcPr>
          <w:p>
            <w:r/>
            <w:r>
              <w:rPr>
                <w:sz w:val="20"/>
              </w:rPr>
              <w:t>Shares outstanding (basic)</w:t>
            </w:r>
          </w:p>
        </w:tc>
        <w:tc>
          <w:tcPr>
            <w:tcW w:type="dxa" w:w="4176"/>
          </w:tcPr>
          <w:p>
            <w:r/>
            <w:r>
              <w:rPr>
                <w:sz w:val="20"/>
              </w:rPr>
              <w:t>~609M (post-Q1 2026 repurchases)</w:t>
            </w:r>
          </w:p>
        </w:tc>
        <w:tc>
          <w:tcPr>
            <w:tcW w:type="dxa" w:w="3168"/>
          </w:tcPr>
          <w:p>
            <w:r/>
            <w:r>
              <w:rPr>
                <w:sz w:val="20"/>
              </w:rPr>
              <w:t>Q1 2026 6-K</w:t>
            </w:r>
          </w:p>
        </w:tc>
      </w:tr>
      <w:tr>
        <w:tc>
          <w:tcPr>
            <w:tcW w:type="dxa" w:w="2736"/>
          </w:tcPr>
          <w:p>
            <w:r/>
            <w:r>
              <w:rPr>
                <w:sz w:val="20"/>
              </w:rPr>
              <w:t>Market capitalization (approx.)</w:t>
            </w:r>
          </w:p>
        </w:tc>
        <w:tc>
          <w:tcPr>
            <w:tcW w:type="dxa" w:w="4176"/>
          </w:tcPr>
          <w:p>
            <w:r/>
            <w:r>
              <w:rPr>
                <w:sz w:val="20"/>
              </w:rPr>
              <w:t>~C$96.1 B</w:t>
            </w:r>
          </w:p>
        </w:tc>
        <w:tc>
          <w:tcPr>
            <w:tcW w:type="dxa" w:w="3168"/>
          </w:tcPr>
          <w:p>
            <w:r/>
            <w:r>
              <w:rPr>
                <w:sz w:val="20"/>
              </w:rPr>
              <w:t>Calculated</w:t>
            </w:r>
          </w:p>
        </w:tc>
      </w:tr>
      <w:tr>
        <w:tc>
          <w:tcPr>
            <w:tcW w:type="dxa" w:w="2736"/>
          </w:tcPr>
          <w:p>
            <w:r/>
            <w:r>
              <w:rPr>
                <w:sz w:val="20"/>
              </w:rPr>
              <w:t>Enterprise value (approx.)</w:t>
            </w:r>
          </w:p>
        </w:tc>
        <w:tc>
          <w:tcPr>
            <w:tcW w:type="dxa" w:w="4176"/>
          </w:tcPr>
          <w:p>
            <w:r/>
            <w:r>
              <w:rPr>
                <w:sz w:val="20"/>
              </w:rPr>
              <w:t>~C$117.7 B</w:t>
            </w:r>
          </w:p>
        </w:tc>
        <w:tc>
          <w:tcPr>
            <w:tcW w:type="dxa" w:w="3168"/>
          </w:tcPr>
          <w:p>
            <w:r/>
            <w:r>
              <w:rPr>
                <w:sz w:val="20"/>
              </w:rPr>
              <w:t>Calculated</w:t>
            </w:r>
          </w:p>
        </w:tc>
      </w:tr>
      <w:tr>
        <w:tc>
          <w:tcPr>
            <w:tcW w:type="dxa" w:w="2736"/>
          </w:tcPr>
          <w:p>
            <w:r/>
            <w:r>
              <w:rPr>
                <w:sz w:val="20"/>
              </w:rPr>
              <w:t>FY 2025 revenue</w:t>
            </w:r>
          </w:p>
        </w:tc>
        <w:tc>
          <w:tcPr>
            <w:tcW w:type="dxa" w:w="4176"/>
          </w:tcPr>
          <w:p>
            <w:r/>
            <w:r>
              <w:rPr>
                <w:sz w:val="20"/>
              </w:rPr>
              <w:t>C$17,304 M (+2% YoY)</w:t>
            </w:r>
          </w:p>
        </w:tc>
        <w:tc>
          <w:tcPr>
            <w:tcW w:type="dxa" w:w="3168"/>
          </w:tcPr>
          <w:p>
            <w:r/>
            <w:r>
              <w:rPr>
                <w:sz w:val="20"/>
              </w:rPr>
              <w:t>FY 2025 6-K</w:t>
            </w:r>
          </w:p>
        </w:tc>
      </w:tr>
      <w:tr>
        <w:tc>
          <w:tcPr>
            <w:tcW w:type="dxa" w:w="2736"/>
          </w:tcPr>
          <w:p>
            <w:r/>
            <w:r>
              <w:rPr>
                <w:sz w:val="20"/>
              </w:rPr>
              <w:t>FY 2025 net income</w:t>
            </w:r>
          </w:p>
        </w:tc>
        <w:tc>
          <w:tcPr>
            <w:tcW w:type="dxa" w:w="4176"/>
          </w:tcPr>
          <w:p>
            <w:r/>
            <w:r>
              <w:rPr>
                <w:sz w:val="20"/>
              </w:rPr>
              <w:t>C$4,720 M (+6% YoY)</w:t>
            </w:r>
          </w:p>
        </w:tc>
        <w:tc>
          <w:tcPr>
            <w:tcW w:type="dxa" w:w="3168"/>
          </w:tcPr>
          <w:p>
            <w:r/>
            <w:r>
              <w:rPr>
                <w:sz w:val="20"/>
              </w:rPr>
              <w:t>FY 2025 6-K</w:t>
            </w:r>
          </w:p>
        </w:tc>
      </w:tr>
      <w:tr>
        <w:tc>
          <w:tcPr>
            <w:tcW w:type="dxa" w:w="2736"/>
          </w:tcPr>
          <w:p>
            <w:r/>
            <w:r>
              <w:rPr>
                <w:sz w:val="20"/>
              </w:rPr>
              <w:t>FY 2025 diluted EPS</w:t>
            </w:r>
          </w:p>
        </w:tc>
        <w:tc>
          <w:tcPr>
            <w:tcW w:type="dxa" w:w="4176"/>
          </w:tcPr>
          <w:p>
            <w:r/>
            <w:r>
              <w:rPr>
                <w:sz w:val="20"/>
              </w:rPr>
              <w:t>C$7.57 (+8% YoY); adj C$7.63 (+7%)</w:t>
            </w:r>
          </w:p>
        </w:tc>
        <w:tc>
          <w:tcPr>
            <w:tcW w:type="dxa" w:w="3168"/>
          </w:tcPr>
          <w:p>
            <w:r/>
            <w:r>
              <w:rPr>
                <w:sz w:val="20"/>
              </w:rPr>
              <w:t>FY 2025 6-K</w:t>
            </w:r>
          </w:p>
        </w:tc>
      </w:tr>
      <w:tr>
        <w:tc>
          <w:tcPr>
            <w:tcW w:type="dxa" w:w="2736"/>
          </w:tcPr>
          <w:p>
            <w:r/>
            <w:r>
              <w:rPr>
                <w:sz w:val="20"/>
              </w:rPr>
              <w:t>FY 2025 operating ratio</w:t>
            </w:r>
          </w:p>
        </w:tc>
        <w:tc>
          <w:tcPr>
            <w:tcW w:type="dxa" w:w="4176"/>
          </w:tcPr>
          <w:p>
            <w:r/>
            <w:r>
              <w:rPr>
                <w:sz w:val="20"/>
              </w:rPr>
              <w:t>61.9% (adj 61.7%) — improvement of 1.5 pts</w:t>
            </w:r>
          </w:p>
        </w:tc>
        <w:tc>
          <w:tcPr>
            <w:tcW w:type="dxa" w:w="3168"/>
          </w:tcPr>
          <w:p>
            <w:r/>
            <w:r>
              <w:rPr>
                <w:sz w:val="20"/>
              </w:rPr>
              <w:t>FY 2025 6-K</w:t>
            </w:r>
          </w:p>
        </w:tc>
      </w:tr>
      <w:tr>
        <w:tc>
          <w:tcPr>
            <w:tcW w:type="dxa" w:w="2736"/>
          </w:tcPr>
          <w:p>
            <w:r/>
            <w:r>
              <w:rPr>
                <w:sz w:val="20"/>
              </w:rPr>
              <w:t>FY 2025 free cash flow</w:t>
            </w:r>
          </w:p>
        </w:tc>
        <w:tc>
          <w:tcPr>
            <w:tcW w:type="dxa" w:w="4176"/>
          </w:tcPr>
          <w:p>
            <w:r/>
            <w:r>
              <w:rPr>
                <w:sz w:val="20"/>
              </w:rPr>
              <w:t>C$3,336 M (+8% YoY)</w:t>
            </w:r>
          </w:p>
        </w:tc>
        <w:tc>
          <w:tcPr>
            <w:tcW w:type="dxa" w:w="3168"/>
          </w:tcPr>
          <w:p>
            <w:r/>
            <w:r>
              <w:rPr>
                <w:sz w:val="20"/>
              </w:rPr>
              <w:t>FY 2025 6-K</w:t>
            </w:r>
          </w:p>
        </w:tc>
      </w:tr>
      <w:tr>
        <w:tc>
          <w:tcPr>
            <w:tcW w:type="dxa" w:w="2736"/>
          </w:tcPr>
          <w:p>
            <w:r/>
            <w:r>
              <w:rPr>
                <w:sz w:val="20"/>
              </w:rPr>
              <w:t>FY 2025 ROIC</w:t>
            </w:r>
          </w:p>
        </w:tc>
        <w:tc>
          <w:tcPr>
            <w:tcW w:type="dxa" w:w="4176"/>
          </w:tcPr>
          <w:p>
            <w:r/>
            <w:r>
              <w:rPr>
                <w:sz w:val="20"/>
              </w:rPr>
              <w:t>12.9% (adj 13.0%)</w:t>
            </w:r>
          </w:p>
        </w:tc>
        <w:tc>
          <w:tcPr>
            <w:tcW w:type="dxa" w:w="3168"/>
          </w:tcPr>
          <w:p>
            <w:r/>
            <w:r>
              <w:rPr>
                <w:sz w:val="20"/>
              </w:rPr>
              <w:t>FY 2025 6-K</w:t>
            </w:r>
          </w:p>
        </w:tc>
      </w:tr>
      <w:tr>
        <w:tc>
          <w:tcPr>
            <w:tcW w:type="dxa" w:w="2736"/>
          </w:tcPr>
          <w:p>
            <w:r/>
            <w:r>
              <w:rPr>
                <w:sz w:val="20"/>
              </w:rPr>
              <w:t>Q1 2026 revenue</w:t>
            </w:r>
          </w:p>
        </w:tc>
        <w:tc>
          <w:tcPr>
            <w:tcW w:type="dxa" w:w="4176"/>
          </w:tcPr>
          <w:p>
            <w:r/>
            <w:r>
              <w:rPr>
                <w:sz w:val="20"/>
              </w:rPr>
              <w:t>C$4,379 M (–1% YoY; +2% constant currency)</w:t>
            </w:r>
          </w:p>
        </w:tc>
        <w:tc>
          <w:tcPr>
            <w:tcW w:type="dxa" w:w="3168"/>
          </w:tcPr>
          <w:p>
            <w:r/>
            <w:r>
              <w:rPr>
                <w:sz w:val="20"/>
              </w:rPr>
              <w:t>Q1 2026 6-K</w:t>
            </w:r>
          </w:p>
        </w:tc>
      </w:tr>
      <w:tr>
        <w:tc>
          <w:tcPr>
            <w:tcW w:type="dxa" w:w="2736"/>
          </w:tcPr>
          <w:p>
            <w:r/>
            <w:r>
              <w:rPr>
                <w:sz w:val="20"/>
              </w:rPr>
              <w:t>Q1 2026 OR</w:t>
            </w:r>
          </w:p>
        </w:tc>
        <w:tc>
          <w:tcPr>
            <w:tcW w:type="dxa" w:w="4176"/>
          </w:tcPr>
          <w:p>
            <w:r/>
            <w:r>
              <w:rPr>
                <w:sz w:val="20"/>
              </w:rPr>
              <w:t>64.6% (+120 bps unfavorable)</w:t>
            </w:r>
          </w:p>
        </w:tc>
        <w:tc>
          <w:tcPr>
            <w:tcW w:type="dxa" w:w="3168"/>
          </w:tcPr>
          <w:p>
            <w:r/>
            <w:r>
              <w:rPr>
                <w:sz w:val="20"/>
              </w:rPr>
              <w:t>Q1 2026 6-K</w:t>
            </w:r>
          </w:p>
        </w:tc>
      </w:tr>
      <w:tr>
        <w:tc>
          <w:tcPr>
            <w:tcW w:type="dxa" w:w="2736"/>
          </w:tcPr>
          <w:p>
            <w:r/>
            <w:r>
              <w:rPr>
                <w:sz w:val="20"/>
              </w:rPr>
              <w:t>Q1 2026 diluted EPS</w:t>
            </w:r>
          </w:p>
        </w:tc>
        <w:tc>
          <w:tcPr>
            <w:tcW w:type="dxa" w:w="4176"/>
          </w:tcPr>
          <w:p>
            <w:r/>
            <w:r>
              <w:rPr>
                <w:sz w:val="20"/>
              </w:rPr>
              <w:t>C$1.87 (+1%); adj C$1.80 (–3%)</w:t>
            </w:r>
          </w:p>
        </w:tc>
        <w:tc>
          <w:tcPr>
            <w:tcW w:type="dxa" w:w="3168"/>
          </w:tcPr>
          <w:p>
            <w:r/>
            <w:r>
              <w:rPr>
                <w:sz w:val="20"/>
              </w:rPr>
              <w:t>Q1 2026 6-K</w:t>
            </w:r>
          </w:p>
        </w:tc>
      </w:tr>
      <w:tr>
        <w:tc>
          <w:tcPr>
            <w:tcW w:type="dxa" w:w="2736"/>
          </w:tcPr>
          <w:p>
            <w:r/>
            <w:r>
              <w:rPr>
                <w:sz w:val="20"/>
              </w:rPr>
              <w:t>Forward dividend (annualized)</w:t>
            </w:r>
          </w:p>
        </w:tc>
        <w:tc>
          <w:tcPr>
            <w:tcW w:type="dxa" w:w="4176"/>
          </w:tcPr>
          <w:p>
            <w:r/>
            <w:r>
              <w:rPr>
                <w:sz w:val="20"/>
              </w:rPr>
              <w:t>C$3.66 (yield ~2.32%)</w:t>
            </w:r>
          </w:p>
        </w:tc>
        <w:tc>
          <w:tcPr>
            <w:tcW w:type="dxa" w:w="3168"/>
          </w:tcPr>
          <w:p>
            <w:r/>
            <w:r>
              <w:rPr>
                <w:sz w:val="20"/>
              </w:rPr>
              <w:t>Q2 2026 dividend declaration</w:t>
            </w:r>
          </w:p>
        </w:tc>
      </w:tr>
      <w:tr>
        <w:tc>
          <w:tcPr>
            <w:tcW w:type="dxa" w:w="2736"/>
          </w:tcPr>
          <w:p>
            <w:r/>
            <w:r>
              <w:rPr>
                <w:sz w:val="20"/>
              </w:rPr>
              <w:t>CEO</w:t>
            </w:r>
          </w:p>
        </w:tc>
        <w:tc>
          <w:tcPr>
            <w:tcW w:type="dxa" w:w="4176"/>
          </w:tcPr>
          <w:p>
            <w:r/>
            <w:r>
              <w:rPr>
                <w:sz w:val="20"/>
              </w:rPr>
              <w:t>Tracy Robinson (since Feb 2022)</w:t>
            </w:r>
          </w:p>
        </w:tc>
        <w:tc>
          <w:tcPr>
            <w:tcW w:type="dxa" w:w="3168"/>
          </w:tcPr>
          <w:p>
            <w:r/>
            <w:r>
              <w:rPr>
                <w:sz w:val="20"/>
              </w:rPr>
              <w:t>CN proxy</w:t>
            </w:r>
          </w:p>
        </w:tc>
      </w:tr>
    </w:tbl>
    <w:p>
      <w:pPr>
        <w:spacing w:before="280" w:after="120"/>
      </w:pPr>
      <w:r>
        <w:rPr>
          <w:b/>
          <w:color w:val="1F3A5F"/>
          <w:sz w:val="32"/>
        </w:rPr>
        <w:t>2A. Company Archetype Classification</w:t>
      </w:r>
    </w:p>
    <w:p>
      <w:pPr>
        <w:spacing w:after="80"/>
      </w:pPr>
      <w:r>
        <w:rPr>
          <w:b/>
          <w:i w:val="0"/>
          <w:sz w:val="22"/>
        </w:rPr>
        <w:t xml:space="preserve">Primary archetype: </w:t>
      </w:r>
    </w:p>
    <w:p>
      <w:pPr>
        <w:spacing w:after="80"/>
      </w:pPr>
      <w:r>
        <w:rPr>
          <w:b w:val="0"/>
          <w:i w:val="0"/>
          <w:sz w:val="22"/>
        </w:rPr>
        <w:t>Industrial / Cyclical — specifically a regulated, asset-heavy transportation network operator. CN is a duopolist in Canadian long-haul freight rail and a member of a six-firm North American Class I oligopoly. Asset-intensive (gross properties of C$49.1 B vs. C$17.3 B in revenue = 2.84× asset-to-revenue), with capex regularly running 20–22% of revenue. Returns are driven principally by operating ratio (cost control), pricing, fuel efficiency, and volume leverage. Secondary archetype overlays: Industrial cyclical (volume sensitivity to GDP, IP, grain harvest, and trade flows) and Defensive infrastructure (regulated, near-irreplaceable network).</w:t>
      </w:r>
    </w:p>
    <w:p>
      <w:pPr>
        <w:spacing w:after="80"/>
      </w:pPr>
      <w:r>
        <w:rPr>
          <w:b w:val="0"/>
          <w:i/>
          <w:sz w:val="22"/>
        </w:rPr>
        <w:t>KPI library used: Industrial / Cyclical, supplemented with railroad-specific KPIs (operating ratio, RTM growth, freight revenue per RTM, fuel efficiency, train velocity, dwell, train length, employee productivity).</w:t>
      </w:r>
    </w:p>
    <w:p>
      <w:pPr>
        <w:spacing w:before="280" w:after="120"/>
      </w:pPr>
      <w:r>
        <w:rPr>
          <w:b/>
          <w:color w:val="1F3A5F"/>
          <w:sz w:val="32"/>
        </w:rPr>
        <w:t>3. Hard Stop Scan</w:t>
      </w:r>
    </w:p>
    <w:tbl>
      <w:tblPr>
        <w:tblStyle w:val="LightGrid-Accent1"/>
        <w:tblW w:type="auto" w:w="0"/>
        <w:tblLook w:firstColumn="1" w:firstRow="1" w:lastColumn="0" w:lastRow="0" w:noHBand="0" w:noVBand="1" w:val="04A0"/>
      </w:tblPr>
      <w:tblGrid>
        <w:gridCol w:w="3216"/>
        <w:gridCol w:w="3216"/>
        <w:gridCol w:w="3216"/>
      </w:tblGrid>
      <w:tr>
        <w:tc>
          <w:tcPr>
            <w:tcW w:type="dxa" w:w="3312"/>
            <w:vAlign w:val="center"/>
          </w:tcPr>
          <w:p>
            <w:r/>
            <w:r>
              <w:rPr>
                <w:b/>
                <w:sz w:val="20"/>
              </w:rPr>
              <w:t>Hard Stop Test</w:t>
            </w:r>
          </w:p>
        </w:tc>
        <w:tc>
          <w:tcPr>
            <w:tcW w:type="dxa" w:w="1440"/>
            <w:vAlign w:val="center"/>
          </w:tcPr>
          <w:p>
            <w:r/>
            <w:r>
              <w:rPr>
                <w:b/>
                <w:sz w:val="20"/>
              </w:rPr>
              <w:t>Result</w:t>
            </w:r>
          </w:p>
        </w:tc>
        <w:tc>
          <w:tcPr>
            <w:tcW w:type="dxa" w:w="5328"/>
            <w:vAlign w:val="center"/>
          </w:tcPr>
          <w:p>
            <w:r/>
            <w:r>
              <w:rPr>
                <w:b/>
                <w:sz w:val="20"/>
              </w:rPr>
              <w:t>Comment</w:t>
            </w:r>
          </w:p>
        </w:tc>
      </w:tr>
      <w:tr>
        <w:tc>
          <w:tcPr>
            <w:tcW w:type="dxa" w:w="3312"/>
          </w:tcPr>
          <w:p>
            <w:r/>
            <w:r>
              <w:rPr>
                <w:sz w:val="20"/>
              </w:rPr>
              <w:t>Going concern / solvency</w:t>
            </w:r>
          </w:p>
        </w:tc>
        <w:tc>
          <w:tcPr>
            <w:tcW w:type="dxa" w:w="1440"/>
          </w:tcPr>
          <w:p>
            <w:r/>
            <w:r>
              <w:rPr>
                <w:sz w:val="20"/>
              </w:rPr>
              <w:t>PASS</w:t>
            </w:r>
          </w:p>
        </w:tc>
        <w:tc>
          <w:tcPr>
            <w:tcW w:type="dxa" w:w="5328"/>
          </w:tcPr>
          <w:p>
            <w:r/>
            <w:r>
              <w:rPr>
                <w:sz w:val="20"/>
              </w:rPr>
              <w:t>Adjusted debt/EBITDA 2.65× TTM Q1 2026 (2.51× YE 2025). Investment-grade rated.</w:t>
            </w:r>
          </w:p>
        </w:tc>
      </w:tr>
      <w:tr>
        <w:tc>
          <w:tcPr>
            <w:tcW w:type="dxa" w:w="3312"/>
          </w:tcPr>
          <w:p>
            <w:r/>
            <w:r>
              <w:rPr>
                <w:sz w:val="20"/>
              </w:rPr>
              <w:t>Auditor / audit qualification</w:t>
            </w:r>
          </w:p>
        </w:tc>
        <w:tc>
          <w:tcPr>
            <w:tcW w:type="dxa" w:w="1440"/>
          </w:tcPr>
          <w:p>
            <w:r/>
            <w:r>
              <w:rPr>
                <w:sz w:val="20"/>
              </w:rPr>
              <w:t>PASS</w:t>
            </w:r>
          </w:p>
        </w:tc>
        <w:tc>
          <w:tcPr>
            <w:tcW w:type="dxa" w:w="5328"/>
          </w:tcPr>
          <w:p>
            <w:r/>
            <w:r>
              <w:rPr>
                <w:sz w:val="20"/>
              </w:rPr>
              <w:t>Clean opinions; KPMG auditor.</w:t>
            </w:r>
          </w:p>
        </w:tc>
      </w:tr>
      <w:tr>
        <w:tc>
          <w:tcPr>
            <w:tcW w:type="dxa" w:w="3312"/>
          </w:tcPr>
          <w:p>
            <w:r/>
            <w:r>
              <w:rPr>
                <w:sz w:val="20"/>
              </w:rPr>
              <w:t>Material weakness in internal controls</w:t>
            </w:r>
          </w:p>
        </w:tc>
        <w:tc>
          <w:tcPr>
            <w:tcW w:type="dxa" w:w="1440"/>
          </w:tcPr>
          <w:p>
            <w:r/>
            <w:r>
              <w:rPr>
                <w:sz w:val="20"/>
              </w:rPr>
              <w:t>PASS</w:t>
            </w:r>
          </w:p>
        </w:tc>
        <w:tc>
          <w:tcPr>
            <w:tcW w:type="dxa" w:w="5328"/>
          </w:tcPr>
          <w:p>
            <w:r/>
            <w:r>
              <w:rPr>
                <w:sz w:val="20"/>
              </w:rPr>
              <w:t>None disclosed.</w:t>
            </w:r>
          </w:p>
        </w:tc>
      </w:tr>
      <w:tr>
        <w:tc>
          <w:tcPr>
            <w:tcW w:type="dxa" w:w="3312"/>
          </w:tcPr>
          <w:p>
            <w:r/>
            <w:r>
              <w:rPr>
                <w:sz w:val="20"/>
              </w:rPr>
              <w:t>Existential / fraud lawsuit</w:t>
            </w:r>
          </w:p>
        </w:tc>
        <w:tc>
          <w:tcPr>
            <w:tcW w:type="dxa" w:w="1440"/>
          </w:tcPr>
          <w:p>
            <w:r/>
            <w:r>
              <w:rPr>
                <w:sz w:val="20"/>
              </w:rPr>
              <w:t>PASS</w:t>
            </w:r>
          </w:p>
        </w:tc>
        <w:tc>
          <w:tcPr>
            <w:tcW w:type="dxa" w:w="5328"/>
          </w:tcPr>
          <w:p>
            <w:r/>
            <w:r>
              <w:rPr>
                <w:sz w:val="20"/>
              </w:rPr>
              <w:t>No going-concern litigation. Ongoing STB litigation over UP/NS merger is normal advocacy.</w:t>
            </w:r>
          </w:p>
        </w:tc>
      </w:tr>
      <w:tr>
        <w:tc>
          <w:tcPr>
            <w:tcW w:type="dxa" w:w="3312"/>
          </w:tcPr>
          <w:p>
            <w:r/>
            <w:r>
              <w:rPr>
                <w:sz w:val="20"/>
              </w:rPr>
              <w:t>Liquidity crisis / refinancing wall</w:t>
            </w:r>
          </w:p>
        </w:tc>
        <w:tc>
          <w:tcPr>
            <w:tcW w:type="dxa" w:w="1440"/>
          </w:tcPr>
          <w:p>
            <w:r/>
            <w:r>
              <w:rPr>
                <w:sz w:val="20"/>
              </w:rPr>
              <w:t>PASS</w:t>
            </w:r>
          </w:p>
        </w:tc>
        <w:tc>
          <w:tcPr>
            <w:tcW w:type="dxa" w:w="5328"/>
          </w:tcPr>
          <w:p>
            <w:r/>
            <w:r>
              <w:rPr>
                <w:sz w:val="20"/>
              </w:rPr>
              <w:t>Diversified, laddered maturities; access to public debt markets at IG spreads.</w:t>
            </w:r>
          </w:p>
        </w:tc>
      </w:tr>
      <w:tr>
        <w:tc>
          <w:tcPr>
            <w:tcW w:type="dxa" w:w="3312"/>
          </w:tcPr>
          <w:p>
            <w:r/>
            <w:r>
              <w:rPr>
                <w:sz w:val="20"/>
              </w:rPr>
              <w:t>Regulator threatened to revoke license</w:t>
            </w:r>
          </w:p>
        </w:tc>
        <w:tc>
          <w:tcPr>
            <w:tcW w:type="dxa" w:w="1440"/>
          </w:tcPr>
          <w:p>
            <w:r/>
            <w:r>
              <w:rPr>
                <w:sz w:val="20"/>
              </w:rPr>
              <w:t>PASS</w:t>
            </w:r>
          </w:p>
        </w:tc>
        <w:tc>
          <w:tcPr>
            <w:tcW w:type="dxa" w:w="5328"/>
          </w:tcPr>
          <w:p>
            <w:r/>
            <w:r>
              <w:rPr>
                <w:sz w:val="20"/>
              </w:rPr>
              <w:t>Regulated by Canadian Transportation Agency and U.S. STB; no enforcement events.</w:t>
            </w:r>
          </w:p>
        </w:tc>
      </w:tr>
      <w:tr>
        <w:tc>
          <w:tcPr>
            <w:tcW w:type="dxa" w:w="3312"/>
          </w:tcPr>
          <w:p>
            <w:r/>
            <w:r>
              <w:rPr>
                <w:sz w:val="20"/>
              </w:rPr>
              <w:t>Credit-loss thesis-breaker (N/A)</w:t>
            </w:r>
          </w:p>
        </w:tc>
        <w:tc>
          <w:tcPr>
            <w:tcW w:type="dxa" w:w="1440"/>
          </w:tcPr>
          <w:p>
            <w:r/>
            <w:r>
              <w:rPr>
                <w:sz w:val="20"/>
              </w:rPr>
              <w:t>N/A</w:t>
            </w:r>
          </w:p>
        </w:tc>
        <w:tc>
          <w:tcPr>
            <w:tcW w:type="dxa" w:w="5328"/>
          </w:tcPr>
          <w:p>
            <w:r/>
            <w:r>
              <w:rPr>
                <w:sz w:val="20"/>
              </w:rPr>
              <w:t>No lending / merchant-credit exposure; archetype doesn't apply.</w:t>
            </w:r>
          </w:p>
        </w:tc>
      </w:tr>
    </w:tbl>
    <w:p>
      <w:pPr>
        <w:spacing w:after="80"/>
      </w:pPr>
      <w:r>
        <w:rPr>
          <w:b/>
          <w:i w:val="0"/>
          <w:sz w:val="22"/>
        </w:rPr>
        <w:t>Verdict: No hard stops triggered. Proceed with full analysis.</w:t>
      </w:r>
    </w:p>
    <w:p>
      <w:pPr>
        <w:spacing w:before="280" w:after="120"/>
      </w:pPr>
      <w:r>
        <w:rPr>
          <w:b/>
          <w:color w:val="1F3A5F"/>
          <w:sz w:val="32"/>
        </w:rPr>
        <w:t>4. Data Integrity Check</w:t>
      </w:r>
    </w:p>
    <w:tbl>
      <w:tblPr>
        <w:tblStyle w:val="LightGrid-Accent1"/>
        <w:tblW w:type="auto" w:w="0"/>
        <w:tblLook w:firstColumn="1" w:firstRow="1" w:lastColumn="0" w:lastRow="0" w:noHBand="0" w:noVBand="1" w:val="04A0"/>
      </w:tblPr>
      <w:tblGrid>
        <w:gridCol w:w="3216"/>
        <w:gridCol w:w="3216"/>
        <w:gridCol w:w="3216"/>
      </w:tblGrid>
      <w:tr>
        <w:tc>
          <w:tcPr>
            <w:tcW w:type="dxa" w:w="4608"/>
            <w:vAlign w:val="center"/>
          </w:tcPr>
          <w:p>
            <w:r/>
            <w:r>
              <w:rPr>
                <w:b/>
                <w:sz w:val="20"/>
              </w:rPr>
              <w:t>Source</w:t>
            </w:r>
          </w:p>
        </w:tc>
        <w:tc>
          <w:tcPr>
            <w:tcW w:type="dxa" w:w="2304"/>
            <w:vAlign w:val="center"/>
          </w:tcPr>
          <w:p>
            <w:r/>
            <w:r>
              <w:rPr>
                <w:b/>
                <w:sz w:val="20"/>
              </w:rPr>
              <w:t>Period</w:t>
            </w:r>
          </w:p>
        </w:tc>
        <w:tc>
          <w:tcPr>
            <w:tcW w:type="dxa" w:w="3168"/>
            <w:vAlign w:val="center"/>
          </w:tcPr>
          <w:p>
            <w:r/>
            <w:r>
              <w:rPr>
                <w:b/>
                <w:sz w:val="20"/>
              </w:rPr>
              <w:t>Coverage</w:t>
            </w:r>
          </w:p>
        </w:tc>
      </w:tr>
      <w:tr>
        <w:tc>
          <w:tcPr>
            <w:tcW w:type="dxa" w:w="4608"/>
          </w:tcPr>
          <w:p>
            <w:r/>
            <w:r>
              <w:rPr>
                <w:sz w:val="20"/>
              </w:rPr>
              <w:t>CN Form 6-K (Q1 2026 press release, FS notes, MD&amp;A)</w:t>
            </w:r>
          </w:p>
        </w:tc>
        <w:tc>
          <w:tcPr>
            <w:tcW w:type="dxa" w:w="2304"/>
          </w:tcPr>
          <w:p>
            <w:r/>
            <w:r>
              <w:rPr>
                <w:sz w:val="20"/>
              </w:rPr>
              <w:t>Q1 2026 (Mar 31, 2026)</w:t>
            </w:r>
          </w:p>
        </w:tc>
        <w:tc>
          <w:tcPr>
            <w:tcW w:type="dxa" w:w="3168"/>
          </w:tcPr>
          <w:p>
            <w:r/>
            <w:r>
              <w:rPr>
                <w:sz w:val="20"/>
              </w:rPr>
              <w:t>Q1 income statement, balance sheet, KPIs</w:t>
            </w:r>
          </w:p>
        </w:tc>
      </w:tr>
      <w:tr>
        <w:tc>
          <w:tcPr>
            <w:tcW w:type="dxa" w:w="4608"/>
          </w:tcPr>
          <w:p>
            <w:r/>
            <w:r>
              <w:rPr>
                <w:sz w:val="20"/>
              </w:rPr>
              <w:t>CN Form 6-K (Q4 2025 press release, FS notes, MD&amp;A)</w:t>
            </w:r>
          </w:p>
        </w:tc>
        <w:tc>
          <w:tcPr>
            <w:tcW w:type="dxa" w:w="2304"/>
          </w:tcPr>
          <w:p>
            <w:r/>
            <w:r>
              <w:rPr>
                <w:sz w:val="20"/>
              </w:rPr>
              <w:t>FY 2025 (Dec 31, 2025)</w:t>
            </w:r>
          </w:p>
        </w:tc>
        <w:tc>
          <w:tcPr>
            <w:tcW w:type="dxa" w:w="3168"/>
          </w:tcPr>
          <w:p>
            <w:r/>
            <w:r>
              <w:rPr>
                <w:sz w:val="20"/>
              </w:rPr>
              <w:t>Full year IS, BS, CF; equity statement</w:t>
            </w:r>
          </w:p>
        </w:tc>
      </w:tr>
      <w:tr>
        <w:tc>
          <w:tcPr>
            <w:tcW w:type="dxa" w:w="4608"/>
          </w:tcPr>
          <w:p>
            <w:r/>
            <w:r>
              <w:rPr>
                <w:sz w:val="20"/>
              </w:rPr>
              <w:t>CN 2025 Annual Information Form / Form 40-F</w:t>
            </w:r>
          </w:p>
        </w:tc>
        <w:tc>
          <w:tcPr>
            <w:tcW w:type="dxa" w:w="2304"/>
          </w:tcPr>
          <w:p>
            <w:r/>
            <w:r>
              <w:rPr>
                <w:sz w:val="20"/>
              </w:rPr>
              <w:t>FY 2025</w:t>
            </w:r>
          </w:p>
        </w:tc>
        <w:tc>
          <w:tcPr>
            <w:tcW w:type="dxa" w:w="3168"/>
          </w:tcPr>
          <w:p>
            <w:r/>
            <w:r>
              <w:rPr>
                <w:sz w:val="20"/>
              </w:rPr>
              <w:t>Risk factors, segment disclosures</w:t>
            </w:r>
          </w:p>
        </w:tc>
      </w:tr>
      <w:tr>
        <w:tc>
          <w:tcPr>
            <w:tcW w:type="dxa" w:w="4608"/>
          </w:tcPr>
          <w:p>
            <w:r/>
            <w:r>
              <w:rPr>
                <w:sz w:val="20"/>
              </w:rPr>
              <w:t>CPKC Form 8-K</w:t>
            </w:r>
          </w:p>
        </w:tc>
        <w:tc>
          <w:tcPr>
            <w:tcW w:type="dxa" w:w="2304"/>
          </w:tcPr>
          <w:p>
            <w:r/>
            <w:r>
              <w:rPr>
                <w:sz w:val="20"/>
              </w:rPr>
              <w:t>Q1 2026</w:t>
            </w:r>
          </w:p>
        </w:tc>
        <w:tc>
          <w:tcPr>
            <w:tcW w:type="dxa" w:w="3168"/>
          </w:tcPr>
          <w:p>
            <w:r/>
            <w:r>
              <w:rPr>
                <w:sz w:val="20"/>
              </w:rPr>
              <w:t>Competitive context</w:t>
            </w:r>
          </w:p>
        </w:tc>
      </w:tr>
      <w:tr>
        <w:tc>
          <w:tcPr>
            <w:tcW w:type="dxa" w:w="4608"/>
          </w:tcPr>
          <w:p>
            <w:r/>
            <w:r>
              <w:rPr>
                <w:sz w:val="20"/>
              </w:rPr>
              <w:t>UP/NS STB filings</w:t>
            </w:r>
          </w:p>
        </w:tc>
        <w:tc>
          <w:tcPr>
            <w:tcW w:type="dxa" w:w="2304"/>
          </w:tcPr>
          <w:p>
            <w:r/>
            <w:r>
              <w:rPr>
                <w:sz w:val="20"/>
              </w:rPr>
              <w:t>Apr 30, 2026</w:t>
            </w:r>
          </w:p>
        </w:tc>
        <w:tc>
          <w:tcPr>
            <w:tcW w:type="dxa" w:w="3168"/>
          </w:tcPr>
          <w:p>
            <w:r/>
            <w:r>
              <w:rPr>
                <w:sz w:val="20"/>
              </w:rPr>
              <w:t>Regulatory / consolidation context</w:t>
            </w:r>
          </w:p>
        </w:tc>
      </w:tr>
    </w:tbl>
    <w:p>
      <w:pPr>
        <w:spacing w:after="80"/>
      </w:pPr>
      <w:r>
        <w:rPr>
          <w:b/>
          <w:i w:val="0"/>
          <w:sz w:val="22"/>
        </w:rPr>
        <w:t>Period discipline notes:</w:t>
      </w:r>
    </w:p>
    <w:p>
      <w:pPr>
        <w:pStyle w:val="ListBullet"/>
        <w:spacing w:after="40"/>
      </w:pPr>
      <w:r>
        <w:t>"TTM" figures shown explicitly. TTM EPS (diluted GAAP) calculated as FY 2025 (C$7.57) − Q1 2025 (C$1.85) + Q1 2026 (C$1.87) = C$7.59. TTM adjusted diluted EPS = C$7.63 − C$1.85 + C$1.80 = C$7.58.</w:t>
      </w:r>
    </w:p>
    <w:p>
      <w:pPr>
        <w:pStyle w:val="ListBullet"/>
        <w:spacing w:after="40"/>
      </w:pPr>
      <w:r>
        <w:t>Currency: Reported in CAD per CN convention. Constant-currency comparisons drawn from CN's disclosed reconciliations.</w:t>
      </w:r>
    </w:p>
    <w:p>
      <w:pPr>
        <w:pStyle w:val="ListBullet"/>
        <w:spacing w:after="40"/>
      </w:pPr>
      <w:r>
        <w:t>Latest balance sheet used (March 31, 2026) for debt, cash, and share-count metrics.</w:t>
      </w:r>
    </w:p>
    <w:p>
      <w:pPr>
        <w:spacing w:before="280" w:after="120"/>
      </w:pPr>
      <w:r>
        <w:rPr>
          <w:b/>
          <w:color w:val="1F3A5F"/>
          <w:sz w:val="32"/>
        </w:rPr>
        <w:t>5. Dominant-Risk Weighting</w:t>
      </w:r>
    </w:p>
    <w:p>
      <w:pPr>
        <w:spacing w:after="80"/>
      </w:pPr>
      <w:r>
        <w:rPr>
          <w:b w:val="0"/>
          <w:i w:val="0"/>
          <w:sz w:val="22"/>
        </w:rPr>
        <w:t>The single most consequential risk vector over a 3–5 year horizon is North American rail consolidation — specifically, the proposed Union Pacific–Norfolk Southern ("UP/NS") combination. If approved, it would create the first true U.S. transcontinental Class I, potentially marginalizing single-line CN routings into the U.S. interior and forcing CN into either: (a) a defensive merger with a remaining U.S. Class I (CSX or BNSF), (b) a competitive response via interline partnerships, or (c) a slow, structural ROIC compression as customers gain transcontinental alternatives. CN is filing detailed opposition arguing the application is incomplete; STB completeness ruling expected ~May 30, 2026. This is the dominant medium-term risk.</w:t>
      </w:r>
    </w:p>
    <w:p>
      <w:pPr>
        <w:spacing w:after="80"/>
      </w:pPr>
      <w:r>
        <w:rPr>
          <w:b w:val="0"/>
          <w:i w:val="0"/>
          <w:sz w:val="22"/>
        </w:rPr>
        <w:t>Secondary risks (weighted ~30% of risk budget):</w:t>
      </w:r>
    </w:p>
    <w:p>
      <w:pPr>
        <w:pStyle w:val="ListBullet"/>
        <w:spacing w:after="40"/>
      </w:pPr>
      <w:r>
        <w:t>Cyclical volume risk: tariffs / trade tensions (forest products –12%, metals –11%, coal –11% in Q1 2026 vs. PY).</w:t>
      </w:r>
    </w:p>
    <w:p>
      <w:pPr>
        <w:pStyle w:val="ListBullet"/>
        <w:spacing w:after="40"/>
      </w:pPr>
      <w:r>
        <w:t>Labor &amp; operational risk: March 2026 labor dispute resolved, but service catch-up costs and post-dispute network normalization remain.</w:t>
      </w:r>
    </w:p>
    <w:p>
      <w:pPr>
        <w:pStyle w:val="ListBullet"/>
        <w:spacing w:after="40"/>
      </w:pPr>
      <w:r>
        <w:t>Capex inflation: 20%+ of revenue is captive to maintenance and growth capex, leaving FCF sensitive to inflation of steel, fuel, and labor.</w:t>
      </w:r>
    </w:p>
    <w:p>
      <w:pPr>
        <w:spacing w:before="280" w:after="120"/>
      </w:pPr>
      <w:r>
        <w:rPr>
          <w:b/>
          <w:color w:val="1F3A5F"/>
          <w:sz w:val="32"/>
        </w:rPr>
        <w:t>6. Business-Model-Specific Risk Check (Industrial / Cyclical + Class I Rail)</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3168"/>
            <w:vAlign w:val="center"/>
          </w:tcPr>
          <w:p>
            <w:r/>
            <w:r>
              <w:rPr>
                <w:b/>
                <w:sz w:val="20"/>
              </w:rPr>
              <w:t>KPI</w:t>
            </w:r>
          </w:p>
        </w:tc>
        <w:tc>
          <w:tcPr>
            <w:tcW w:type="dxa" w:w="1296"/>
            <w:vAlign w:val="center"/>
          </w:tcPr>
          <w:p>
            <w:r/>
            <w:r>
              <w:rPr>
                <w:b/>
                <w:sz w:val="20"/>
              </w:rPr>
              <w:t>Q1 2026</w:t>
            </w:r>
          </w:p>
        </w:tc>
        <w:tc>
          <w:tcPr>
            <w:tcW w:type="dxa" w:w="1296"/>
            <w:vAlign w:val="center"/>
          </w:tcPr>
          <w:p>
            <w:r/>
            <w:r>
              <w:rPr>
                <w:b/>
                <w:sz w:val="20"/>
              </w:rPr>
              <w:t>Q1 2025</w:t>
            </w:r>
          </w:p>
        </w:tc>
        <w:tc>
          <w:tcPr>
            <w:tcW w:type="dxa" w:w="1440"/>
            <w:vAlign w:val="center"/>
          </w:tcPr>
          <w:p>
            <w:r/>
            <w:r>
              <w:rPr>
                <w:b/>
                <w:sz w:val="20"/>
              </w:rPr>
              <w:t>FY 2025</w:t>
            </w:r>
          </w:p>
        </w:tc>
        <w:tc>
          <w:tcPr>
            <w:tcW w:type="dxa" w:w="2592"/>
            <w:vAlign w:val="center"/>
          </w:tcPr>
          <w:p>
            <w:r/>
            <w:r>
              <w:rPr>
                <w:b/>
                <w:sz w:val="20"/>
              </w:rPr>
              <w:t>Direction</w:t>
            </w:r>
          </w:p>
        </w:tc>
      </w:tr>
      <w:tr>
        <w:tc>
          <w:tcPr>
            <w:tcW w:type="dxa" w:w="3168"/>
          </w:tcPr>
          <w:p>
            <w:r/>
            <w:r>
              <w:rPr>
                <w:sz w:val="20"/>
              </w:rPr>
              <w:t>Revenue ton-miles (RTMs, M)</w:t>
            </w:r>
          </w:p>
        </w:tc>
        <w:tc>
          <w:tcPr>
            <w:tcW w:type="dxa" w:w="1296"/>
          </w:tcPr>
          <w:p>
            <w:r/>
            <w:r>
              <w:rPr>
                <w:sz w:val="20"/>
              </w:rPr>
              <w:t>61,834</w:t>
            </w:r>
          </w:p>
        </w:tc>
        <w:tc>
          <w:tcPr>
            <w:tcW w:type="dxa" w:w="1296"/>
          </w:tcPr>
          <w:p>
            <w:r/>
            <w:r>
              <w:rPr>
                <w:sz w:val="20"/>
              </w:rPr>
              <w:t>60,049</w:t>
            </w:r>
          </w:p>
        </w:tc>
        <w:tc>
          <w:tcPr>
            <w:tcW w:type="dxa" w:w="1440"/>
          </w:tcPr>
          <w:p>
            <w:r/>
            <w:r>
              <w:rPr>
                <w:sz w:val="20"/>
              </w:rPr>
              <w:t>238,159</w:t>
            </w:r>
          </w:p>
        </w:tc>
        <w:tc>
          <w:tcPr>
            <w:tcW w:type="dxa" w:w="2592"/>
          </w:tcPr>
          <w:p>
            <w:r/>
            <w:r>
              <w:rPr>
                <w:sz w:val="20"/>
              </w:rPr>
              <w:t>+3% YoY Q; +1% YoY FY</w:t>
            </w:r>
          </w:p>
        </w:tc>
      </w:tr>
      <w:tr>
        <w:tc>
          <w:tcPr>
            <w:tcW w:type="dxa" w:w="3168"/>
          </w:tcPr>
          <w:p>
            <w:r/>
            <w:r>
              <w:rPr>
                <w:sz w:val="20"/>
              </w:rPr>
              <w:t>Carloads (000s)</w:t>
            </w:r>
          </w:p>
        </w:tc>
        <w:tc>
          <w:tcPr>
            <w:tcW w:type="dxa" w:w="1296"/>
          </w:tcPr>
          <w:p>
            <w:r/>
            <w:r>
              <w:rPr>
                <w:sz w:val="20"/>
              </w:rPr>
              <w:t>1,336</w:t>
            </w:r>
          </w:p>
        </w:tc>
        <w:tc>
          <w:tcPr>
            <w:tcW w:type="dxa" w:w="1296"/>
          </w:tcPr>
          <w:p>
            <w:r/>
            <w:r>
              <w:rPr>
                <w:sz w:val="20"/>
              </w:rPr>
              <w:t>1,313</w:t>
            </w:r>
          </w:p>
        </w:tc>
        <w:tc>
          <w:tcPr>
            <w:tcW w:type="dxa" w:w="1440"/>
          </w:tcPr>
          <w:p>
            <w:r/>
            <w:r>
              <w:rPr>
                <w:sz w:val="20"/>
              </w:rPr>
              <w:t>5,458</w:t>
            </w:r>
          </w:p>
        </w:tc>
        <w:tc>
          <w:tcPr>
            <w:tcW w:type="dxa" w:w="2592"/>
          </w:tcPr>
          <w:p>
            <w:r/>
            <w:r>
              <w:rPr>
                <w:sz w:val="20"/>
              </w:rPr>
              <w:t>+2% YoY Q; +1% YoY FY</w:t>
            </w:r>
          </w:p>
        </w:tc>
      </w:tr>
      <w:tr>
        <w:tc>
          <w:tcPr>
            <w:tcW w:type="dxa" w:w="3168"/>
          </w:tcPr>
          <w:p>
            <w:r/>
            <w:r>
              <w:rPr>
                <w:sz w:val="20"/>
              </w:rPr>
              <w:t>Freight revenue / RTM (cents)</w:t>
            </w:r>
          </w:p>
        </w:tc>
        <w:tc>
          <w:tcPr>
            <w:tcW w:type="dxa" w:w="1296"/>
          </w:tcPr>
          <w:p>
            <w:r/>
            <w:r>
              <w:rPr>
                <w:sz w:val="20"/>
              </w:rPr>
              <w:t>6.90</w:t>
            </w:r>
          </w:p>
        </w:tc>
        <w:tc>
          <w:tcPr>
            <w:tcW w:type="dxa" w:w="1296"/>
          </w:tcPr>
          <w:p>
            <w:r/>
            <w:r>
              <w:rPr>
                <w:sz w:val="20"/>
              </w:rPr>
              <w:t>7.14</w:t>
            </w:r>
          </w:p>
        </w:tc>
        <w:tc>
          <w:tcPr>
            <w:tcW w:type="dxa" w:w="1440"/>
          </w:tcPr>
          <w:p>
            <w:r/>
            <w:r>
              <w:rPr>
                <w:sz w:val="20"/>
              </w:rPr>
              <w:t>7.00</w:t>
            </w:r>
          </w:p>
        </w:tc>
        <w:tc>
          <w:tcPr>
            <w:tcW w:type="dxa" w:w="2592"/>
          </w:tcPr>
          <w:p>
            <w:r/>
            <w:r>
              <w:rPr>
                <w:sz w:val="20"/>
              </w:rPr>
              <w:t>–3% YoY Q (–1% c/c); +1% YoY FY</w:t>
            </w:r>
          </w:p>
        </w:tc>
      </w:tr>
      <w:tr>
        <w:tc>
          <w:tcPr>
            <w:tcW w:type="dxa" w:w="3168"/>
          </w:tcPr>
          <w:p>
            <w:r/>
            <w:r>
              <w:rPr>
                <w:sz w:val="20"/>
              </w:rPr>
              <w:t>Operating ratio (reported)</w:t>
            </w:r>
          </w:p>
        </w:tc>
        <w:tc>
          <w:tcPr>
            <w:tcW w:type="dxa" w:w="1296"/>
          </w:tcPr>
          <w:p>
            <w:r/>
            <w:r>
              <w:rPr>
                <w:sz w:val="20"/>
              </w:rPr>
              <w:t>64.6%</w:t>
            </w:r>
          </w:p>
        </w:tc>
        <w:tc>
          <w:tcPr>
            <w:tcW w:type="dxa" w:w="1296"/>
          </w:tcPr>
          <w:p>
            <w:r/>
            <w:r>
              <w:rPr>
                <w:sz w:val="20"/>
              </w:rPr>
              <w:t>63.4%</w:t>
            </w:r>
          </w:p>
        </w:tc>
        <w:tc>
          <w:tcPr>
            <w:tcW w:type="dxa" w:w="1440"/>
          </w:tcPr>
          <w:p>
            <w:r/>
            <w:r>
              <w:rPr>
                <w:sz w:val="20"/>
              </w:rPr>
              <w:t>61.9%</w:t>
            </w:r>
          </w:p>
        </w:tc>
        <w:tc>
          <w:tcPr>
            <w:tcW w:type="dxa" w:w="2592"/>
          </w:tcPr>
          <w:p>
            <w:r/>
            <w:r>
              <w:rPr>
                <w:sz w:val="20"/>
              </w:rPr>
              <w:t>+120 bps Q (unfav); –150 bps FY (fav)</w:t>
            </w:r>
          </w:p>
        </w:tc>
      </w:tr>
      <w:tr>
        <w:tc>
          <w:tcPr>
            <w:tcW w:type="dxa" w:w="3168"/>
          </w:tcPr>
          <w:p>
            <w:r/>
            <w:r>
              <w:rPr>
                <w:sz w:val="20"/>
              </w:rPr>
              <w:t>Adjusted operating ratio</w:t>
            </w:r>
          </w:p>
        </w:tc>
        <w:tc>
          <w:tcPr>
            <w:tcW w:type="dxa" w:w="1296"/>
          </w:tcPr>
          <w:p>
            <w:r/>
            <w:r>
              <w:rPr>
                <w:sz w:val="20"/>
              </w:rPr>
              <w:t>64.2%</w:t>
            </w:r>
          </w:p>
        </w:tc>
        <w:tc>
          <w:tcPr>
            <w:tcW w:type="dxa" w:w="1296"/>
          </w:tcPr>
          <w:p>
            <w:r/>
            <w:r>
              <w:rPr>
                <w:sz w:val="20"/>
              </w:rPr>
              <w:t>63.4%</w:t>
            </w:r>
          </w:p>
        </w:tc>
        <w:tc>
          <w:tcPr>
            <w:tcW w:type="dxa" w:w="1440"/>
          </w:tcPr>
          <w:p>
            <w:r/>
            <w:r>
              <w:rPr>
                <w:sz w:val="20"/>
              </w:rPr>
              <w:t>61.7%</w:t>
            </w:r>
          </w:p>
        </w:tc>
        <w:tc>
          <w:tcPr>
            <w:tcW w:type="dxa" w:w="2592"/>
          </w:tcPr>
          <w:p>
            <w:r/>
            <w:r>
              <w:rPr>
                <w:sz w:val="20"/>
              </w:rPr>
              <w:t>+80 bps Q (unfav); –120 bps FY (fav)</w:t>
            </w:r>
          </w:p>
        </w:tc>
      </w:tr>
      <w:tr>
        <w:tc>
          <w:tcPr>
            <w:tcW w:type="dxa" w:w="3168"/>
          </w:tcPr>
          <w:p>
            <w:r/>
            <w:r>
              <w:rPr>
                <w:sz w:val="20"/>
              </w:rPr>
              <w:t>Fuel efficiency (gal/1k GTM)</w:t>
            </w:r>
          </w:p>
        </w:tc>
        <w:tc>
          <w:tcPr>
            <w:tcW w:type="dxa" w:w="1296"/>
          </w:tcPr>
          <w:p>
            <w:r/>
            <w:r>
              <w:rPr>
                <w:sz w:val="20"/>
              </w:rPr>
              <w:t>0.892</w:t>
            </w:r>
          </w:p>
        </w:tc>
        <w:tc>
          <w:tcPr>
            <w:tcW w:type="dxa" w:w="1296"/>
          </w:tcPr>
          <w:p>
            <w:r/>
            <w:r>
              <w:rPr>
                <w:sz w:val="20"/>
              </w:rPr>
              <w:t>0.917</w:t>
            </w:r>
          </w:p>
        </w:tc>
        <w:tc>
          <w:tcPr>
            <w:tcW w:type="dxa" w:w="1440"/>
          </w:tcPr>
          <w:p>
            <w:r/>
            <w:r>
              <w:rPr>
                <w:sz w:val="20"/>
              </w:rPr>
              <w:t>0.873</w:t>
            </w:r>
          </w:p>
        </w:tc>
        <w:tc>
          <w:tcPr>
            <w:tcW w:type="dxa" w:w="2592"/>
          </w:tcPr>
          <w:p>
            <w:r/>
            <w:r>
              <w:rPr>
                <w:sz w:val="20"/>
              </w:rPr>
              <w:t>Q1 record (–3% / 3% better)</w:t>
            </w:r>
          </w:p>
        </w:tc>
      </w:tr>
      <w:tr>
        <w:tc>
          <w:tcPr>
            <w:tcW w:type="dxa" w:w="3168"/>
          </w:tcPr>
          <w:p>
            <w:r/>
            <w:r>
              <w:rPr>
                <w:sz w:val="20"/>
              </w:rPr>
              <w:t>Train speed (mph)</w:t>
            </w:r>
          </w:p>
        </w:tc>
        <w:tc>
          <w:tcPr>
            <w:tcW w:type="dxa" w:w="1296"/>
          </w:tcPr>
          <w:p>
            <w:r/>
            <w:r>
              <w:rPr>
                <w:sz w:val="20"/>
              </w:rPr>
              <w:t>18.7</w:t>
            </w:r>
          </w:p>
        </w:tc>
        <w:tc>
          <w:tcPr>
            <w:tcW w:type="dxa" w:w="1296"/>
          </w:tcPr>
          <w:p>
            <w:r/>
            <w:r>
              <w:rPr>
                <w:sz w:val="20"/>
              </w:rPr>
              <w:t>17.7</w:t>
            </w:r>
          </w:p>
        </w:tc>
        <w:tc>
          <w:tcPr>
            <w:tcW w:type="dxa" w:w="1440"/>
          </w:tcPr>
          <w:p>
            <w:r/>
            <w:r>
              <w:rPr>
                <w:sz w:val="20"/>
              </w:rPr>
              <w:t>18.8</w:t>
            </w:r>
          </w:p>
        </w:tc>
        <w:tc>
          <w:tcPr>
            <w:tcW w:type="dxa" w:w="2592"/>
          </w:tcPr>
          <w:p>
            <w:r/>
            <w:r>
              <w:rPr>
                <w:sz w:val="20"/>
              </w:rPr>
              <w:t>+6% YoY Q</w:t>
            </w:r>
          </w:p>
        </w:tc>
      </w:tr>
      <w:tr>
        <w:tc>
          <w:tcPr>
            <w:tcW w:type="dxa" w:w="3168"/>
          </w:tcPr>
          <w:p>
            <w:r/>
            <w:r>
              <w:rPr>
                <w:sz w:val="20"/>
              </w:rPr>
              <w:t>Through dwell (hrs)</w:t>
            </w:r>
          </w:p>
        </w:tc>
        <w:tc>
          <w:tcPr>
            <w:tcW w:type="dxa" w:w="1296"/>
          </w:tcPr>
          <w:p>
            <w:r/>
            <w:r>
              <w:rPr>
                <w:sz w:val="20"/>
              </w:rPr>
              <w:t>7.5</w:t>
            </w:r>
          </w:p>
        </w:tc>
        <w:tc>
          <w:tcPr>
            <w:tcW w:type="dxa" w:w="1296"/>
          </w:tcPr>
          <w:p>
            <w:r/>
            <w:r>
              <w:rPr>
                <w:sz w:val="20"/>
              </w:rPr>
              <w:t>7.8</w:t>
            </w:r>
          </w:p>
        </w:tc>
        <w:tc>
          <w:tcPr>
            <w:tcW w:type="dxa" w:w="1440"/>
          </w:tcPr>
          <w:p>
            <w:r/>
            <w:r>
              <w:rPr>
                <w:sz w:val="20"/>
              </w:rPr>
              <w:t>7.1</w:t>
            </w:r>
          </w:p>
        </w:tc>
        <w:tc>
          <w:tcPr>
            <w:tcW w:type="dxa" w:w="2592"/>
          </w:tcPr>
          <w:p>
            <w:r/>
            <w:r>
              <w:rPr>
                <w:sz w:val="20"/>
              </w:rPr>
              <w:t>–4% YoY Q (favorable)</w:t>
            </w:r>
          </w:p>
        </w:tc>
      </w:tr>
      <w:tr>
        <w:tc>
          <w:tcPr>
            <w:tcW w:type="dxa" w:w="3168"/>
          </w:tcPr>
          <w:p>
            <w:r/>
            <w:r>
              <w:rPr>
                <w:sz w:val="20"/>
              </w:rPr>
              <w:t>Employees (avg)</w:t>
            </w:r>
          </w:p>
        </w:tc>
        <w:tc>
          <w:tcPr>
            <w:tcW w:type="dxa" w:w="1296"/>
          </w:tcPr>
          <w:p>
            <w:r/>
            <w:r>
              <w:rPr>
                <w:sz w:val="20"/>
              </w:rPr>
              <w:t>23,554</w:t>
            </w:r>
          </w:p>
        </w:tc>
        <w:tc>
          <w:tcPr>
            <w:tcW w:type="dxa" w:w="1296"/>
          </w:tcPr>
          <w:p>
            <w:r/>
            <w:r>
              <w:rPr>
                <w:sz w:val="20"/>
              </w:rPr>
              <w:t>24,627</w:t>
            </w:r>
          </w:p>
        </w:tc>
        <w:tc>
          <w:tcPr>
            <w:tcW w:type="dxa" w:w="1440"/>
          </w:tcPr>
          <w:p>
            <w:r/>
            <w:r>
              <w:rPr>
                <w:sz w:val="20"/>
              </w:rPr>
              <w:t>24,507</w:t>
            </w:r>
          </w:p>
        </w:tc>
        <w:tc>
          <w:tcPr>
            <w:tcW w:type="dxa" w:w="2592"/>
          </w:tcPr>
          <w:p>
            <w:r/>
            <w:r>
              <w:rPr>
                <w:sz w:val="20"/>
              </w:rPr>
              <w:t>–4% YoY Q (productivity gains)</w:t>
            </w:r>
          </w:p>
        </w:tc>
      </w:tr>
      <w:tr>
        <w:tc>
          <w:tcPr>
            <w:tcW w:type="dxa" w:w="3168"/>
          </w:tcPr>
          <w:p>
            <w:r/>
            <w:r>
              <w:rPr>
                <w:sz w:val="20"/>
              </w:rPr>
              <w:t>GTMs per avg employee (k)</w:t>
            </w:r>
          </w:p>
        </w:tc>
        <w:tc>
          <w:tcPr>
            <w:tcW w:type="dxa" w:w="1296"/>
          </w:tcPr>
          <w:p>
            <w:r/>
            <w:r>
              <w:rPr>
                <w:sz w:val="20"/>
              </w:rPr>
              <w:t>5,026</w:t>
            </w:r>
          </w:p>
        </w:tc>
        <w:tc>
          <w:tcPr>
            <w:tcW w:type="dxa" w:w="1296"/>
          </w:tcPr>
          <w:p>
            <w:r/>
            <w:r>
              <w:rPr>
                <w:sz w:val="20"/>
              </w:rPr>
              <w:t>4,663</w:t>
            </w:r>
          </w:p>
        </w:tc>
        <w:tc>
          <w:tcPr>
            <w:tcW w:type="dxa" w:w="1440"/>
          </w:tcPr>
          <w:p>
            <w:r/>
            <w:r>
              <w:rPr>
                <w:sz w:val="20"/>
              </w:rPr>
              <w:t>18,893</w:t>
            </w:r>
          </w:p>
        </w:tc>
        <w:tc>
          <w:tcPr>
            <w:tcW w:type="dxa" w:w="2592"/>
          </w:tcPr>
          <w:p>
            <w:r/>
            <w:r>
              <w:rPr>
                <w:sz w:val="20"/>
              </w:rPr>
              <w:t>+8% YoY Q (best in 5 yrs)</w:t>
            </w:r>
          </w:p>
        </w:tc>
      </w:tr>
    </w:tbl>
    <w:p>
      <w:pPr>
        <w:spacing w:after="80"/>
      </w:pPr>
      <w:r>
        <w:rPr>
          <w:b/>
          <w:i w:val="0"/>
          <w:sz w:val="22"/>
        </w:rPr>
        <w:t>Segment revenue split (FY 2025):</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2880"/>
            <w:vAlign w:val="center"/>
          </w:tcPr>
          <w:p>
            <w:r/>
            <w:r>
              <w:rPr>
                <w:b/>
                <w:sz w:val="20"/>
              </w:rPr>
              <w:t>Segment</w:t>
            </w:r>
          </w:p>
        </w:tc>
        <w:tc>
          <w:tcPr>
            <w:tcW w:type="dxa" w:w="1728"/>
            <w:vAlign w:val="center"/>
          </w:tcPr>
          <w:p>
            <w:r/>
            <w:r>
              <w:rPr>
                <w:b/>
                <w:sz w:val="20"/>
              </w:rPr>
              <w:t>FY 2025 (C$M)</w:t>
            </w:r>
          </w:p>
        </w:tc>
        <w:tc>
          <w:tcPr>
            <w:tcW w:type="dxa" w:w="1584"/>
            <w:vAlign w:val="center"/>
          </w:tcPr>
          <w:p>
            <w:r/>
            <w:r>
              <w:rPr>
                <w:b/>
                <w:sz w:val="20"/>
              </w:rPr>
              <w:t>% of freight</w:t>
            </w:r>
          </w:p>
        </w:tc>
        <w:tc>
          <w:tcPr>
            <w:tcW w:type="dxa" w:w="1728"/>
            <w:vAlign w:val="center"/>
          </w:tcPr>
          <w:p>
            <w:r/>
            <w:r>
              <w:rPr>
                <w:b/>
                <w:sz w:val="20"/>
              </w:rPr>
              <w:t>FY 2025 YoY</w:t>
            </w:r>
          </w:p>
        </w:tc>
        <w:tc>
          <w:tcPr>
            <w:tcW w:type="dxa" w:w="1728"/>
            <w:vAlign w:val="center"/>
          </w:tcPr>
          <w:p>
            <w:r/>
            <w:r>
              <w:rPr>
                <w:b/>
                <w:sz w:val="20"/>
              </w:rPr>
              <w:t>Q1 2026 YoY</w:t>
            </w:r>
          </w:p>
        </w:tc>
      </w:tr>
      <w:tr>
        <w:tc>
          <w:tcPr>
            <w:tcW w:type="dxa" w:w="2880"/>
          </w:tcPr>
          <w:p>
            <w:r/>
            <w:r>
              <w:rPr>
                <w:sz w:val="20"/>
              </w:rPr>
              <w:t>Grain &amp; fertilizers</w:t>
            </w:r>
          </w:p>
        </w:tc>
        <w:tc>
          <w:tcPr>
            <w:tcW w:type="dxa" w:w="1728"/>
          </w:tcPr>
          <w:p>
            <w:r/>
            <w:r>
              <w:rPr>
                <w:sz w:val="20"/>
              </w:rPr>
              <w:t>3,658</w:t>
            </w:r>
          </w:p>
        </w:tc>
        <w:tc>
          <w:tcPr>
            <w:tcW w:type="dxa" w:w="1584"/>
          </w:tcPr>
          <w:p>
            <w:r/>
            <w:r>
              <w:rPr>
                <w:sz w:val="20"/>
              </w:rPr>
              <w:t>21.9%</w:t>
            </w:r>
          </w:p>
        </w:tc>
        <w:tc>
          <w:tcPr>
            <w:tcW w:type="dxa" w:w="1728"/>
          </w:tcPr>
          <w:p>
            <w:r/>
            <w:r>
              <w:rPr>
                <w:sz w:val="20"/>
              </w:rPr>
              <w:t>+7%</w:t>
            </w:r>
          </w:p>
        </w:tc>
        <w:tc>
          <w:tcPr>
            <w:tcW w:type="dxa" w:w="1728"/>
          </w:tcPr>
          <w:p>
            <w:r/>
            <w:r>
              <w:rPr>
                <w:sz w:val="20"/>
              </w:rPr>
              <w:t>+10%</w:t>
            </w:r>
          </w:p>
        </w:tc>
      </w:tr>
      <w:tr>
        <w:tc>
          <w:tcPr>
            <w:tcW w:type="dxa" w:w="2880"/>
          </w:tcPr>
          <w:p>
            <w:r/>
            <w:r>
              <w:rPr>
                <w:sz w:val="20"/>
              </w:rPr>
              <w:t>Intermodal</w:t>
            </w:r>
          </w:p>
        </w:tc>
        <w:tc>
          <w:tcPr>
            <w:tcW w:type="dxa" w:w="1728"/>
          </w:tcPr>
          <w:p>
            <w:r/>
            <w:r>
              <w:rPr>
                <w:sz w:val="20"/>
              </w:rPr>
              <w:t>3,892</w:t>
            </w:r>
          </w:p>
        </w:tc>
        <w:tc>
          <w:tcPr>
            <w:tcW w:type="dxa" w:w="1584"/>
          </w:tcPr>
          <w:p>
            <w:r/>
            <w:r>
              <w:rPr>
                <w:sz w:val="20"/>
              </w:rPr>
              <w:t>23.3%</w:t>
            </w:r>
          </w:p>
        </w:tc>
        <w:tc>
          <w:tcPr>
            <w:tcW w:type="dxa" w:w="1728"/>
          </w:tcPr>
          <w:p>
            <w:r/>
            <w:r>
              <w:rPr>
                <w:sz w:val="20"/>
              </w:rPr>
              <w:t>+4%</w:t>
            </w:r>
          </w:p>
        </w:tc>
        <w:tc>
          <w:tcPr>
            <w:tcW w:type="dxa" w:w="1728"/>
          </w:tcPr>
          <w:p>
            <w:r/>
            <w:r>
              <w:rPr>
                <w:sz w:val="20"/>
              </w:rPr>
              <w:t>+2%</w:t>
            </w:r>
          </w:p>
        </w:tc>
      </w:tr>
      <w:tr>
        <w:tc>
          <w:tcPr>
            <w:tcW w:type="dxa" w:w="2880"/>
          </w:tcPr>
          <w:p>
            <w:r/>
            <w:r>
              <w:rPr>
                <w:sz w:val="20"/>
              </w:rPr>
              <w:t>Petroleum &amp; chemicals</w:t>
            </w:r>
          </w:p>
        </w:tc>
        <w:tc>
          <w:tcPr>
            <w:tcW w:type="dxa" w:w="1728"/>
          </w:tcPr>
          <w:p>
            <w:r/>
            <w:r>
              <w:rPr>
                <w:sz w:val="20"/>
              </w:rPr>
              <w:t>3,478</w:t>
            </w:r>
          </w:p>
        </w:tc>
        <w:tc>
          <w:tcPr>
            <w:tcW w:type="dxa" w:w="1584"/>
          </w:tcPr>
          <w:p>
            <w:r/>
            <w:r>
              <w:rPr>
                <w:sz w:val="20"/>
              </w:rPr>
              <w:t>20.8%</w:t>
            </w:r>
          </w:p>
        </w:tc>
        <w:tc>
          <w:tcPr>
            <w:tcW w:type="dxa" w:w="1728"/>
          </w:tcPr>
          <w:p>
            <w:r/>
            <w:r>
              <w:rPr>
                <w:sz w:val="20"/>
              </w:rPr>
              <w:t>+2%</w:t>
            </w:r>
          </w:p>
        </w:tc>
        <w:tc>
          <w:tcPr>
            <w:tcW w:type="dxa" w:w="1728"/>
          </w:tcPr>
          <w:p>
            <w:r/>
            <w:r>
              <w:rPr>
                <w:sz w:val="20"/>
              </w:rPr>
              <w:t>+1%</w:t>
            </w:r>
          </w:p>
        </w:tc>
      </w:tr>
      <w:tr>
        <w:tc>
          <w:tcPr>
            <w:tcW w:type="dxa" w:w="2880"/>
          </w:tcPr>
          <w:p>
            <w:r/>
            <w:r>
              <w:rPr>
                <w:sz w:val="20"/>
              </w:rPr>
              <w:t>Metals &amp; minerals</w:t>
            </w:r>
          </w:p>
        </w:tc>
        <w:tc>
          <w:tcPr>
            <w:tcW w:type="dxa" w:w="1728"/>
          </w:tcPr>
          <w:p>
            <w:r/>
            <w:r>
              <w:rPr>
                <w:sz w:val="20"/>
              </w:rPr>
              <w:t>1,962</w:t>
            </w:r>
          </w:p>
        </w:tc>
        <w:tc>
          <w:tcPr>
            <w:tcW w:type="dxa" w:w="1584"/>
          </w:tcPr>
          <w:p>
            <w:r/>
            <w:r>
              <w:rPr>
                <w:sz w:val="20"/>
              </w:rPr>
              <w:t>11.8%</w:t>
            </w:r>
          </w:p>
        </w:tc>
        <w:tc>
          <w:tcPr>
            <w:tcW w:type="dxa" w:w="1728"/>
          </w:tcPr>
          <w:p>
            <w:r/>
            <w:r>
              <w:rPr>
                <w:sz w:val="20"/>
              </w:rPr>
              <w:t>–4%</w:t>
            </w:r>
          </w:p>
        </w:tc>
        <w:tc>
          <w:tcPr>
            <w:tcW w:type="dxa" w:w="1728"/>
          </w:tcPr>
          <w:p>
            <w:r/>
            <w:r>
              <w:rPr>
                <w:sz w:val="20"/>
              </w:rPr>
              <w:t>–11%</w:t>
            </w:r>
          </w:p>
        </w:tc>
      </w:tr>
      <w:tr>
        <w:tc>
          <w:tcPr>
            <w:tcW w:type="dxa" w:w="2880"/>
          </w:tcPr>
          <w:p>
            <w:r/>
            <w:r>
              <w:rPr>
                <w:sz w:val="20"/>
              </w:rPr>
              <w:t>Forest products</w:t>
            </w:r>
          </w:p>
        </w:tc>
        <w:tc>
          <w:tcPr>
            <w:tcW w:type="dxa" w:w="1728"/>
          </w:tcPr>
          <w:p>
            <w:r/>
            <w:r>
              <w:rPr>
                <w:sz w:val="20"/>
              </w:rPr>
              <w:t>1,839</w:t>
            </w:r>
          </w:p>
        </w:tc>
        <w:tc>
          <w:tcPr>
            <w:tcW w:type="dxa" w:w="1584"/>
          </w:tcPr>
          <w:p>
            <w:r/>
            <w:r>
              <w:rPr>
                <w:sz w:val="20"/>
              </w:rPr>
              <w:t>11.0%</w:t>
            </w:r>
          </w:p>
        </w:tc>
        <w:tc>
          <w:tcPr>
            <w:tcW w:type="dxa" w:w="1728"/>
          </w:tcPr>
          <w:p>
            <w:r/>
            <w:r>
              <w:rPr>
                <w:sz w:val="20"/>
              </w:rPr>
              <w:t>–5%</w:t>
            </w:r>
          </w:p>
        </w:tc>
        <w:tc>
          <w:tcPr>
            <w:tcW w:type="dxa" w:w="1728"/>
          </w:tcPr>
          <w:p>
            <w:r/>
            <w:r>
              <w:rPr>
                <w:sz w:val="20"/>
              </w:rPr>
              <w:t>–12%</w:t>
            </w:r>
          </w:p>
        </w:tc>
      </w:tr>
      <w:tr>
        <w:tc>
          <w:tcPr>
            <w:tcW w:type="dxa" w:w="2880"/>
          </w:tcPr>
          <w:p>
            <w:r/>
            <w:r>
              <w:rPr>
                <w:sz w:val="20"/>
              </w:rPr>
              <w:t>Coal</w:t>
            </w:r>
          </w:p>
        </w:tc>
        <w:tc>
          <w:tcPr>
            <w:tcW w:type="dxa" w:w="1728"/>
          </w:tcPr>
          <w:p>
            <w:r/>
            <w:r>
              <w:rPr>
                <w:sz w:val="20"/>
              </w:rPr>
              <w:t>960</w:t>
            </w:r>
          </w:p>
        </w:tc>
        <w:tc>
          <w:tcPr>
            <w:tcW w:type="dxa" w:w="1584"/>
          </w:tcPr>
          <w:p>
            <w:r/>
            <w:r>
              <w:rPr>
                <w:sz w:val="20"/>
              </w:rPr>
              <w:t>5.8%</w:t>
            </w:r>
          </w:p>
        </w:tc>
        <w:tc>
          <w:tcPr>
            <w:tcW w:type="dxa" w:w="1728"/>
          </w:tcPr>
          <w:p>
            <w:r/>
            <w:r>
              <w:rPr>
                <w:sz w:val="20"/>
              </w:rPr>
              <w:t>+3%</w:t>
            </w:r>
          </w:p>
        </w:tc>
        <w:tc>
          <w:tcPr>
            <w:tcW w:type="dxa" w:w="1728"/>
          </w:tcPr>
          <w:p>
            <w:r/>
            <w:r>
              <w:rPr>
                <w:sz w:val="20"/>
              </w:rPr>
              <w:t>–11%</w:t>
            </w:r>
          </w:p>
        </w:tc>
      </w:tr>
      <w:tr>
        <w:tc>
          <w:tcPr>
            <w:tcW w:type="dxa" w:w="2880"/>
          </w:tcPr>
          <w:p>
            <w:r/>
            <w:r>
              <w:rPr>
                <w:sz w:val="20"/>
              </w:rPr>
              <w:t>Automotive</w:t>
            </w:r>
          </w:p>
        </w:tc>
        <w:tc>
          <w:tcPr>
            <w:tcW w:type="dxa" w:w="1728"/>
          </w:tcPr>
          <w:p>
            <w:r/>
            <w:r>
              <w:rPr>
                <w:sz w:val="20"/>
              </w:rPr>
              <w:t>892</w:t>
            </w:r>
          </w:p>
        </w:tc>
        <w:tc>
          <w:tcPr>
            <w:tcW w:type="dxa" w:w="1584"/>
          </w:tcPr>
          <w:p>
            <w:r/>
            <w:r>
              <w:rPr>
                <w:sz w:val="20"/>
              </w:rPr>
              <w:t>5.3%</w:t>
            </w:r>
          </w:p>
        </w:tc>
        <w:tc>
          <w:tcPr>
            <w:tcW w:type="dxa" w:w="1728"/>
          </w:tcPr>
          <w:p>
            <w:r/>
            <w:r>
              <w:rPr>
                <w:sz w:val="20"/>
              </w:rPr>
              <w:t>—</w:t>
            </w:r>
          </w:p>
        </w:tc>
        <w:tc>
          <w:tcPr>
            <w:tcW w:type="dxa" w:w="1728"/>
          </w:tcPr>
          <w:p>
            <w:r/>
            <w:r>
              <w:rPr>
                <w:sz w:val="20"/>
              </w:rPr>
              <w:t>–5%</w:t>
            </w:r>
          </w:p>
        </w:tc>
      </w:tr>
      <w:tr>
        <w:tc>
          <w:tcPr>
            <w:tcW w:type="dxa" w:w="2880"/>
          </w:tcPr>
          <w:p>
            <w:r/>
            <w:r>
              <w:rPr>
                <w:sz w:val="20"/>
              </w:rPr>
              <w:t>Total freight</w:t>
            </w:r>
          </w:p>
        </w:tc>
        <w:tc>
          <w:tcPr>
            <w:tcW w:type="dxa" w:w="1728"/>
          </w:tcPr>
          <w:p>
            <w:r/>
            <w:r>
              <w:rPr>
                <w:sz w:val="20"/>
              </w:rPr>
              <w:t>16,681</w:t>
            </w:r>
          </w:p>
        </w:tc>
        <w:tc>
          <w:tcPr>
            <w:tcW w:type="dxa" w:w="1584"/>
          </w:tcPr>
          <w:p>
            <w:r/>
            <w:r>
              <w:rPr>
                <w:sz w:val="20"/>
              </w:rPr>
              <w:t>100%</w:t>
            </w:r>
          </w:p>
        </w:tc>
        <w:tc>
          <w:tcPr>
            <w:tcW w:type="dxa" w:w="1728"/>
          </w:tcPr>
          <w:p>
            <w:r/>
            <w:r>
              <w:rPr>
                <w:sz w:val="20"/>
              </w:rPr>
              <w:t>+2%</w:t>
            </w:r>
          </w:p>
        </w:tc>
        <w:tc>
          <w:tcPr>
            <w:tcW w:type="dxa" w:w="1728"/>
          </w:tcPr>
          <w:p>
            <w:r/>
            <w:r>
              <w:rPr>
                <w:sz w:val="20"/>
              </w:rPr>
              <w:t>—</w:t>
            </w:r>
          </w:p>
        </w:tc>
      </w:tr>
    </w:tbl>
    <w:p>
      <w:pPr>
        <w:spacing w:after="80"/>
      </w:pPr>
      <w:r>
        <w:rPr>
          <w:b/>
          <w:i w:val="0"/>
          <w:sz w:val="22"/>
        </w:rPr>
        <w:t>Read-through:</w:t>
      </w:r>
    </w:p>
    <w:p>
      <w:pPr>
        <w:pStyle w:val="ListBullet"/>
        <w:spacing w:after="40"/>
      </w:pPr>
      <w:r>
        <w:t>Grain has been the engine: bumper Canadian crops + record Q1 RTMs in grain (+13%) and intermodal (+4%). Management flagged grain car cycle times improved 15% YoY.</w:t>
      </w:r>
    </w:p>
    <w:p>
      <w:pPr>
        <w:pStyle w:val="ListBullet"/>
        <w:spacing w:after="40"/>
      </w:pPr>
      <w:r>
        <w:t>Tariff-exposed franchises (forest, metals, coal, autos) are in clear contraction — a U.S. trade-policy story more than a CN-specific one.</w:t>
      </w:r>
    </w:p>
    <w:p>
      <w:pPr>
        <w:pStyle w:val="ListBullet"/>
        <w:spacing w:after="40"/>
      </w:pPr>
      <w:r>
        <w:t>Yields (freight revenue / RTM) declined 3% YoY in Q1 — but only 1% on a constant-currency basis. Underlying pricing power is intact; the optical decline reflects CAD strengthening and mix shift toward lower-yield grain.</w:t>
      </w:r>
    </w:p>
    <w:p>
      <w:pPr>
        <w:pStyle w:val="ListBullet"/>
        <w:spacing w:after="40"/>
      </w:pPr>
      <w:r>
        <w:t>Operating ratio worsened 120 bps in Q1 due to winter weather, incidents, and labor catch-up. FY 2025 OR of 61.9% (adj 61.7%) is the best in three years and back to the historical CN "sub-60-aspirational" zone.</w:t>
      </w:r>
    </w:p>
    <w:p>
      <w:pPr>
        <w:spacing w:before="280" w:after="120"/>
      </w:pPr>
      <w:r>
        <w:rPr>
          <w:b/>
          <w:color w:val="1F3A5F"/>
          <w:sz w:val="32"/>
        </w:rPr>
        <w:t>7. P&amp;L Health</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2448"/>
            <w:vAlign w:val="center"/>
          </w:tcPr>
          <w:p>
            <w:r/>
            <w:r>
              <w:rPr>
                <w:b/>
                <w:sz w:val="20"/>
              </w:rPr>
              <w:t>Metric (C$M)</w:t>
            </w:r>
          </w:p>
        </w:tc>
        <w:tc>
          <w:tcPr>
            <w:tcW w:type="dxa" w:w="1440"/>
            <w:vAlign w:val="center"/>
          </w:tcPr>
          <w:p>
            <w:r/>
            <w:r>
              <w:rPr>
                <w:b/>
                <w:sz w:val="20"/>
              </w:rPr>
              <w:t>FY 2025</w:t>
            </w:r>
          </w:p>
        </w:tc>
        <w:tc>
          <w:tcPr>
            <w:tcW w:type="dxa" w:w="1440"/>
            <w:vAlign w:val="center"/>
          </w:tcPr>
          <w:p>
            <w:r/>
            <w:r>
              <w:rPr>
                <w:b/>
                <w:sz w:val="20"/>
              </w:rPr>
              <w:t>FY 2024</w:t>
            </w:r>
          </w:p>
        </w:tc>
        <w:tc>
          <w:tcPr>
            <w:tcW w:type="dxa" w:w="1008"/>
            <w:vAlign w:val="center"/>
          </w:tcPr>
          <w:p>
            <w:r/>
            <w:r>
              <w:rPr>
                <w:b/>
                <w:sz w:val="20"/>
              </w:rPr>
              <w:t>YoY</w:t>
            </w:r>
          </w:p>
        </w:tc>
        <w:tc>
          <w:tcPr>
            <w:tcW w:type="dxa" w:w="1440"/>
            <w:vAlign w:val="center"/>
          </w:tcPr>
          <w:p>
            <w:r/>
            <w:r>
              <w:rPr>
                <w:b/>
                <w:sz w:val="20"/>
              </w:rPr>
              <w:t>Q1 2026</w:t>
            </w:r>
          </w:p>
        </w:tc>
        <w:tc>
          <w:tcPr>
            <w:tcW w:type="dxa" w:w="1440"/>
            <w:vAlign w:val="center"/>
          </w:tcPr>
          <w:p>
            <w:r/>
            <w:r>
              <w:rPr>
                <w:b/>
                <w:sz w:val="20"/>
              </w:rPr>
              <w:t>Q1 2025</w:t>
            </w:r>
          </w:p>
        </w:tc>
      </w:tr>
      <w:tr>
        <w:tc>
          <w:tcPr>
            <w:tcW w:type="dxa" w:w="2448"/>
          </w:tcPr>
          <w:p>
            <w:r/>
            <w:r>
              <w:rPr>
                <w:sz w:val="20"/>
              </w:rPr>
              <w:t>Revenue</w:t>
            </w:r>
          </w:p>
        </w:tc>
        <w:tc>
          <w:tcPr>
            <w:tcW w:type="dxa" w:w="1440"/>
          </w:tcPr>
          <w:p>
            <w:r/>
            <w:r>
              <w:rPr>
                <w:sz w:val="20"/>
              </w:rPr>
              <w:t>17,304</w:t>
            </w:r>
          </w:p>
        </w:tc>
        <w:tc>
          <w:tcPr>
            <w:tcW w:type="dxa" w:w="1440"/>
          </w:tcPr>
          <w:p>
            <w:r/>
            <w:r>
              <w:rPr>
                <w:sz w:val="20"/>
              </w:rPr>
              <w:t>17,046</w:t>
            </w:r>
          </w:p>
        </w:tc>
        <w:tc>
          <w:tcPr>
            <w:tcW w:type="dxa" w:w="1008"/>
          </w:tcPr>
          <w:p>
            <w:r/>
            <w:r>
              <w:rPr>
                <w:sz w:val="20"/>
              </w:rPr>
              <w:t>+2%</w:t>
            </w:r>
          </w:p>
        </w:tc>
        <w:tc>
          <w:tcPr>
            <w:tcW w:type="dxa" w:w="1440"/>
          </w:tcPr>
          <w:p>
            <w:r/>
            <w:r>
              <w:rPr>
                <w:sz w:val="20"/>
              </w:rPr>
              <w:t>4,379</w:t>
            </w:r>
          </w:p>
        </w:tc>
        <w:tc>
          <w:tcPr>
            <w:tcW w:type="dxa" w:w="1440"/>
          </w:tcPr>
          <w:p>
            <w:r/>
            <w:r>
              <w:rPr>
                <w:sz w:val="20"/>
              </w:rPr>
              <w:t>4,403</w:t>
            </w:r>
          </w:p>
        </w:tc>
      </w:tr>
      <w:tr>
        <w:tc>
          <w:tcPr>
            <w:tcW w:type="dxa" w:w="2448"/>
          </w:tcPr>
          <w:p>
            <w:r/>
            <w:r>
              <w:rPr>
                <w:sz w:val="20"/>
              </w:rPr>
              <w:t>Operating expenses</w:t>
            </w:r>
          </w:p>
        </w:tc>
        <w:tc>
          <w:tcPr>
            <w:tcW w:type="dxa" w:w="1440"/>
          </w:tcPr>
          <w:p>
            <w:r/>
            <w:r>
              <w:rPr>
                <w:sz w:val="20"/>
              </w:rPr>
              <w:t>10,717</w:t>
            </w:r>
          </w:p>
        </w:tc>
        <w:tc>
          <w:tcPr>
            <w:tcW w:type="dxa" w:w="1440"/>
          </w:tcPr>
          <w:p>
            <w:r/>
            <w:r>
              <w:rPr>
                <w:sz w:val="20"/>
              </w:rPr>
              <w:t>10,799</w:t>
            </w:r>
          </w:p>
        </w:tc>
        <w:tc>
          <w:tcPr>
            <w:tcW w:type="dxa" w:w="1008"/>
          </w:tcPr>
          <w:p>
            <w:r/>
            <w:r>
              <w:rPr>
                <w:sz w:val="20"/>
              </w:rPr>
              <w:t>–1%</w:t>
            </w:r>
          </w:p>
        </w:tc>
        <w:tc>
          <w:tcPr>
            <w:tcW w:type="dxa" w:w="1440"/>
          </w:tcPr>
          <w:p>
            <w:r/>
            <w:r>
              <w:rPr>
                <w:sz w:val="20"/>
              </w:rPr>
              <w:t>2,830</w:t>
            </w:r>
          </w:p>
        </w:tc>
        <w:tc>
          <w:tcPr>
            <w:tcW w:type="dxa" w:w="1440"/>
          </w:tcPr>
          <w:p>
            <w:r/>
            <w:r>
              <w:rPr>
                <w:sz w:val="20"/>
              </w:rPr>
              <w:t>2,793</w:t>
            </w:r>
          </w:p>
        </w:tc>
      </w:tr>
      <w:tr>
        <w:tc>
          <w:tcPr>
            <w:tcW w:type="dxa" w:w="2448"/>
          </w:tcPr>
          <w:p>
            <w:r/>
            <w:r>
              <w:rPr>
                <w:sz w:val="20"/>
              </w:rPr>
              <w:t>Operating income</w:t>
            </w:r>
          </w:p>
        </w:tc>
        <w:tc>
          <w:tcPr>
            <w:tcW w:type="dxa" w:w="1440"/>
          </w:tcPr>
          <w:p>
            <w:r/>
            <w:r>
              <w:rPr>
                <w:sz w:val="20"/>
              </w:rPr>
              <w:t>6,587</w:t>
            </w:r>
          </w:p>
        </w:tc>
        <w:tc>
          <w:tcPr>
            <w:tcW w:type="dxa" w:w="1440"/>
          </w:tcPr>
          <w:p>
            <w:r/>
            <w:r>
              <w:rPr>
                <w:sz w:val="20"/>
              </w:rPr>
              <w:t>6,247</w:t>
            </w:r>
          </w:p>
        </w:tc>
        <w:tc>
          <w:tcPr>
            <w:tcW w:type="dxa" w:w="1008"/>
          </w:tcPr>
          <w:p>
            <w:r/>
            <w:r>
              <w:rPr>
                <w:sz w:val="20"/>
              </w:rPr>
              <w:t>+5%</w:t>
            </w:r>
          </w:p>
        </w:tc>
        <w:tc>
          <w:tcPr>
            <w:tcW w:type="dxa" w:w="1440"/>
          </w:tcPr>
          <w:p>
            <w:r/>
            <w:r>
              <w:rPr>
                <w:sz w:val="20"/>
              </w:rPr>
              <w:t>1,549</w:t>
            </w:r>
          </w:p>
        </w:tc>
        <w:tc>
          <w:tcPr>
            <w:tcW w:type="dxa" w:w="1440"/>
          </w:tcPr>
          <w:p>
            <w:r/>
            <w:r>
              <w:rPr>
                <w:sz w:val="20"/>
              </w:rPr>
              <w:t>1,610</w:t>
            </w:r>
          </w:p>
        </w:tc>
      </w:tr>
      <w:tr>
        <w:tc>
          <w:tcPr>
            <w:tcW w:type="dxa" w:w="2448"/>
          </w:tcPr>
          <w:p>
            <w:r/>
            <w:r>
              <w:rPr>
                <w:sz w:val="20"/>
              </w:rPr>
              <w:t>Adj. operating income</w:t>
            </w:r>
          </w:p>
        </w:tc>
        <w:tc>
          <w:tcPr>
            <w:tcW w:type="dxa" w:w="1440"/>
          </w:tcPr>
          <w:p>
            <w:r/>
            <w:r>
              <w:rPr>
                <w:sz w:val="20"/>
              </w:rPr>
              <w:t>6,636</w:t>
            </w:r>
          </w:p>
        </w:tc>
        <w:tc>
          <w:tcPr>
            <w:tcW w:type="dxa" w:w="1440"/>
          </w:tcPr>
          <w:p>
            <w:r/>
            <w:r>
              <w:rPr>
                <w:sz w:val="20"/>
              </w:rPr>
              <w:t>6,325</w:t>
            </w:r>
          </w:p>
        </w:tc>
        <w:tc>
          <w:tcPr>
            <w:tcW w:type="dxa" w:w="1008"/>
          </w:tcPr>
          <w:p>
            <w:r/>
            <w:r>
              <w:rPr>
                <w:sz w:val="20"/>
              </w:rPr>
              <w:t>+5%</w:t>
            </w:r>
          </w:p>
        </w:tc>
        <w:tc>
          <w:tcPr>
            <w:tcW w:type="dxa" w:w="1440"/>
          </w:tcPr>
          <w:p>
            <w:r/>
            <w:r>
              <w:rPr>
                <w:sz w:val="20"/>
              </w:rPr>
              <w:t>1,566</w:t>
            </w:r>
          </w:p>
        </w:tc>
        <w:tc>
          <w:tcPr>
            <w:tcW w:type="dxa" w:w="1440"/>
          </w:tcPr>
          <w:p>
            <w:r/>
            <w:r>
              <w:rPr>
                <w:sz w:val="20"/>
              </w:rPr>
              <w:t>1,610</w:t>
            </w:r>
          </w:p>
        </w:tc>
      </w:tr>
      <w:tr>
        <w:tc>
          <w:tcPr>
            <w:tcW w:type="dxa" w:w="2448"/>
          </w:tcPr>
          <w:p>
            <w:r/>
            <w:r>
              <w:rPr>
                <w:sz w:val="20"/>
              </w:rPr>
              <w:t>Operating margin</w:t>
            </w:r>
          </w:p>
        </w:tc>
        <w:tc>
          <w:tcPr>
            <w:tcW w:type="dxa" w:w="1440"/>
          </w:tcPr>
          <w:p>
            <w:r/>
            <w:r>
              <w:rPr>
                <w:sz w:val="20"/>
              </w:rPr>
              <w:t>38.1%</w:t>
            </w:r>
          </w:p>
        </w:tc>
        <w:tc>
          <w:tcPr>
            <w:tcW w:type="dxa" w:w="1440"/>
          </w:tcPr>
          <w:p>
            <w:r/>
            <w:r>
              <w:rPr>
                <w:sz w:val="20"/>
              </w:rPr>
              <w:t>36.6%</w:t>
            </w:r>
          </w:p>
        </w:tc>
        <w:tc>
          <w:tcPr>
            <w:tcW w:type="dxa" w:w="1008"/>
          </w:tcPr>
          <w:p>
            <w:r/>
            <w:r>
              <w:rPr>
                <w:sz w:val="20"/>
              </w:rPr>
              <w:t>+150 bps</w:t>
            </w:r>
          </w:p>
        </w:tc>
        <w:tc>
          <w:tcPr>
            <w:tcW w:type="dxa" w:w="1440"/>
          </w:tcPr>
          <w:p>
            <w:r/>
            <w:r>
              <w:rPr>
                <w:sz w:val="20"/>
              </w:rPr>
              <w:t>35.4%</w:t>
            </w:r>
          </w:p>
        </w:tc>
        <w:tc>
          <w:tcPr>
            <w:tcW w:type="dxa" w:w="1440"/>
          </w:tcPr>
          <w:p>
            <w:r/>
            <w:r>
              <w:rPr>
                <w:sz w:val="20"/>
              </w:rPr>
              <w:t>36.6%</w:t>
            </w:r>
          </w:p>
        </w:tc>
      </w:tr>
      <w:tr>
        <w:tc>
          <w:tcPr>
            <w:tcW w:type="dxa" w:w="2448"/>
          </w:tcPr>
          <w:p>
            <w:r/>
            <w:r>
              <w:rPr>
                <w:sz w:val="20"/>
              </w:rPr>
              <w:t>Interest expense</w:t>
            </w:r>
          </w:p>
        </w:tc>
        <w:tc>
          <w:tcPr>
            <w:tcW w:type="dxa" w:w="1440"/>
          </w:tcPr>
          <w:p>
            <w:r/>
            <w:r>
              <w:rPr>
                <w:sz w:val="20"/>
              </w:rPr>
              <w:t>(913)</w:t>
            </w:r>
          </w:p>
        </w:tc>
        <w:tc>
          <w:tcPr>
            <w:tcW w:type="dxa" w:w="1440"/>
          </w:tcPr>
          <w:p>
            <w:r/>
            <w:r>
              <w:rPr>
                <w:sz w:val="20"/>
              </w:rPr>
              <w:t>(891)</w:t>
            </w:r>
          </w:p>
        </w:tc>
        <w:tc>
          <w:tcPr>
            <w:tcW w:type="dxa" w:w="1008"/>
          </w:tcPr>
          <w:p>
            <w:r/>
            <w:r>
              <w:rPr>
                <w:sz w:val="20"/>
              </w:rPr>
              <w:t>+2%</w:t>
            </w:r>
          </w:p>
        </w:tc>
        <w:tc>
          <w:tcPr>
            <w:tcW w:type="dxa" w:w="1440"/>
          </w:tcPr>
          <w:p>
            <w:r/>
            <w:r>
              <w:rPr>
                <w:sz w:val="20"/>
              </w:rPr>
              <w:t>(234)</w:t>
            </w:r>
          </w:p>
        </w:tc>
        <w:tc>
          <w:tcPr>
            <w:tcW w:type="dxa" w:w="1440"/>
          </w:tcPr>
          <w:p>
            <w:r/>
            <w:r>
              <w:rPr>
                <w:sz w:val="20"/>
              </w:rPr>
              <w:t>(233)</w:t>
            </w:r>
          </w:p>
        </w:tc>
      </w:tr>
      <w:tr>
        <w:tc>
          <w:tcPr>
            <w:tcW w:type="dxa" w:w="2448"/>
          </w:tcPr>
          <w:p>
            <w:r/>
            <w:r>
              <w:rPr>
                <w:sz w:val="20"/>
              </w:rPr>
              <w:t>Net income</w:t>
            </w:r>
          </w:p>
        </w:tc>
        <w:tc>
          <w:tcPr>
            <w:tcW w:type="dxa" w:w="1440"/>
          </w:tcPr>
          <w:p>
            <w:r/>
            <w:r>
              <w:rPr>
                <w:sz w:val="20"/>
              </w:rPr>
              <w:t>4,720</w:t>
            </w:r>
          </w:p>
        </w:tc>
        <w:tc>
          <w:tcPr>
            <w:tcW w:type="dxa" w:w="1440"/>
          </w:tcPr>
          <w:p>
            <w:r/>
            <w:r>
              <w:rPr>
                <w:sz w:val="20"/>
              </w:rPr>
              <w:t>4,448</w:t>
            </w:r>
          </w:p>
        </w:tc>
        <w:tc>
          <w:tcPr>
            <w:tcW w:type="dxa" w:w="1008"/>
          </w:tcPr>
          <w:p>
            <w:r/>
            <w:r>
              <w:rPr>
                <w:sz w:val="20"/>
              </w:rPr>
              <w:t>+6%</w:t>
            </w:r>
          </w:p>
        </w:tc>
        <w:tc>
          <w:tcPr>
            <w:tcW w:type="dxa" w:w="1440"/>
          </w:tcPr>
          <w:p>
            <w:r/>
            <w:r>
              <w:rPr>
                <w:sz w:val="20"/>
              </w:rPr>
              <w:t>1,146</w:t>
            </w:r>
          </w:p>
        </w:tc>
        <w:tc>
          <w:tcPr>
            <w:tcW w:type="dxa" w:w="1440"/>
          </w:tcPr>
          <w:p>
            <w:r/>
            <w:r>
              <w:rPr>
                <w:sz w:val="20"/>
              </w:rPr>
              <w:t>1,161</w:t>
            </w:r>
          </w:p>
        </w:tc>
      </w:tr>
      <w:tr>
        <w:tc>
          <w:tcPr>
            <w:tcW w:type="dxa" w:w="2448"/>
          </w:tcPr>
          <w:p>
            <w:r/>
            <w:r>
              <w:rPr>
                <w:sz w:val="20"/>
              </w:rPr>
              <w:t>Diluted EPS (C$)</w:t>
            </w:r>
          </w:p>
        </w:tc>
        <w:tc>
          <w:tcPr>
            <w:tcW w:type="dxa" w:w="1440"/>
          </w:tcPr>
          <w:p>
            <w:r/>
            <w:r>
              <w:rPr>
                <w:sz w:val="20"/>
              </w:rPr>
              <w:t>7.57</w:t>
            </w:r>
          </w:p>
        </w:tc>
        <w:tc>
          <w:tcPr>
            <w:tcW w:type="dxa" w:w="1440"/>
          </w:tcPr>
          <w:p>
            <w:r/>
            <w:r>
              <w:rPr>
                <w:sz w:val="20"/>
              </w:rPr>
              <w:t>7.01</w:t>
            </w:r>
          </w:p>
        </w:tc>
        <w:tc>
          <w:tcPr>
            <w:tcW w:type="dxa" w:w="1008"/>
          </w:tcPr>
          <w:p>
            <w:r/>
            <w:r>
              <w:rPr>
                <w:sz w:val="20"/>
              </w:rPr>
              <w:t>+8%</w:t>
            </w:r>
          </w:p>
        </w:tc>
        <w:tc>
          <w:tcPr>
            <w:tcW w:type="dxa" w:w="1440"/>
          </w:tcPr>
          <w:p>
            <w:r/>
            <w:r>
              <w:rPr>
                <w:sz w:val="20"/>
              </w:rPr>
              <w:t>1.87</w:t>
            </w:r>
          </w:p>
        </w:tc>
        <w:tc>
          <w:tcPr>
            <w:tcW w:type="dxa" w:w="1440"/>
          </w:tcPr>
          <w:p>
            <w:r/>
            <w:r>
              <w:rPr>
                <w:sz w:val="20"/>
              </w:rPr>
              <w:t>1.85</w:t>
            </w:r>
          </w:p>
        </w:tc>
      </w:tr>
      <w:tr>
        <w:tc>
          <w:tcPr>
            <w:tcW w:type="dxa" w:w="2448"/>
          </w:tcPr>
          <w:p>
            <w:r/>
            <w:r>
              <w:rPr>
                <w:sz w:val="20"/>
              </w:rPr>
              <w:t>Adj. diluted EPS (C$)</w:t>
            </w:r>
          </w:p>
        </w:tc>
        <w:tc>
          <w:tcPr>
            <w:tcW w:type="dxa" w:w="1440"/>
          </w:tcPr>
          <w:p>
            <w:r/>
            <w:r>
              <w:rPr>
                <w:sz w:val="20"/>
              </w:rPr>
              <w:t>7.63</w:t>
            </w:r>
          </w:p>
        </w:tc>
        <w:tc>
          <w:tcPr>
            <w:tcW w:type="dxa" w:w="1440"/>
          </w:tcPr>
          <w:p>
            <w:r/>
            <w:r>
              <w:rPr>
                <w:sz w:val="20"/>
              </w:rPr>
              <w:t>7.10</w:t>
            </w:r>
          </w:p>
        </w:tc>
        <w:tc>
          <w:tcPr>
            <w:tcW w:type="dxa" w:w="1008"/>
          </w:tcPr>
          <w:p>
            <w:r/>
            <w:r>
              <w:rPr>
                <w:sz w:val="20"/>
              </w:rPr>
              <w:t>+7%</w:t>
            </w:r>
          </w:p>
        </w:tc>
        <w:tc>
          <w:tcPr>
            <w:tcW w:type="dxa" w:w="1440"/>
          </w:tcPr>
          <w:p>
            <w:r/>
            <w:r>
              <w:rPr>
                <w:sz w:val="20"/>
              </w:rPr>
              <w:t>1.80</w:t>
            </w:r>
          </w:p>
        </w:tc>
        <w:tc>
          <w:tcPr>
            <w:tcW w:type="dxa" w:w="1440"/>
          </w:tcPr>
          <w:p>
            <w:r/>
            <w:r>
              <w:rPr>
                <w:sz w:val="20"/>
              </w:rPr>
              <w:t>1.85</w:t>
            </w:r>
          </w:p>
        </w:tc>
      </w:tr>
    </w:tbl>
    <w:p>
      <w:pPr>
        <w:spacing w:after="80"/>
      </w:pPr>
      <w:r>
        <w:rPr>
          <w:b/>
          <w:i w:val="0"/>
          <w:sz w:val="22"/>
        </w:rPr>
        <w:t>Notes on P&amp;L:</w:t>
      </w:r>
    </w:p>
    <w:p>
      <w:pPr>
        <w:pStyle w:val="ListBullet"/>
        <w:spacing w:after="40"/>
      </w:pPr>
      <w:r>
        <w:t>FY 2025 revenue growth was a modest 2%, but operating leverage drove 5% adj. operating-income growth and 8% diluted EPS growth, amplified by buybacks (15M shares retired in FY 2025).</w:t>
      </w:r>
    </w:p>
    <w:p>
      <w:pPr>
        <w:pStyle w:val="ListBullet"/>
        <w:spacing w:after="40"/>
      </w:pPr>
      <w:r>
        <w:t>Q1 2026 OR worsened despite RTM growth — winter operating costs, incident-related expenses, and a higher effective tax rate. Management explicitly attributed the miss to one-offs and reiterated full-year guidance.</w:t>
      </w:r>
    </w:p>
    <w:p>
      <w:pPr>
        <w:pStyle w:val="ListBullet"/>
        <w:spacing w:after="40"/>
      </w:pPr>
      <w:r>
        <w:t>Interest expense is rising modestly with debt issuance to fund buybacks (+5% YoY in FY 2025; +0.4% in Q1 2026). Interest coverage still healthy at ~7.2× operating income / interest.</w:t>
      </w:r>
    </w:p>
    <w:p>
      <w:pPr>
        <w:spacing w:before="280" w:after="120"/>
      </w:pPr>
      <w:r>
        <w:rPr>
          <w:b/>
          <w:color w:val="1F3A5F"/>
          <w:sz w:val="32"/>
        </w:rPr>
        <w:t>8. Cash-Flow Quality &amp; Owner Earnings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3168"/>
            <w:vAlign w:val="center"/>
          </w:tcPr>
          <w:p>
            <w:r/>
            <w:r>
              <w:rPr>
                <w:b/>
                <w:sz w:val="20"/>
              </w:rPr>
              <w:t>Metric (C$M)</w:t>
            </w:r>
          </w:p>
        </w:tc>
        <w:tc>
          <w:tcPr>
            <w:tcW w:type="dxa" w:w="1440"/>
            <w:vAlign w:val="center"/>
          </w:tcPr>
          <w:p>
            <w:r/>
            <w:r>
              <w:rPr>
                <w:b/>
                <w:sz w:val="20"/>
              </w:rPr>
              <w:t>FY 2025</w:t>
            </w:r>
          </w:p>
        </w:tc>
        <w:tc>
          <w:tcPr>
            <w:tcW w:type="dxa" w:w="1440"/>
            <w:vAlign w:val="center"/>
          </w:tcPr>
          <w:p>
            <w:r/>
            <w:r>
              <w:rPr>
                <w:b/>
                <w:sz w:val="20"/>
              </w:rPr>
              <w:t>FY 2024</w:t>
            </w:r>
          </w:p>
        </w:tc>
        <w:tc>
          <w:tcPr>
            <w:tcW w:type="dxa" w:w="1440"/>
            <w:vAlign w:val="center"/>
          </w:tcPr>
          <w:p>
            <w:r/>
            <w:r>
              <w:rPr>
                <w:b/>
                <w:sz w:val="20"/>
              </w:rPr>
              <w:t>Q1 2026</w:t>
            </w:r>
          </w:p>
        </w:tc>
        <w:tc>
          <w:tcPr>
            <w:tcW w:type="dxa" w:w="1440"/>
            <w:vAlign w:val="center"/>
          </w:tcPr>
          <w:p>
            <w:r/>
            <w:r>
              <w:rPr>
                <w:b/>
                <w:sz w:val="20"/>
              </w:rPr>
              <w:t>Q1 2025</w:t>
            </w:r>
          </w:p>
        </w:tc>
      </w:tr>
      <w:tr>
        <w:tc>
          <w:tcPr>
            <w:tcW w:type="dxa" w:w="3168"/>
          </w:tcPr>
          <w:p>
            <w:r/>
            <w:r>
              <w:rPr>
                <w:sz w:val="20"/>
              </w:rPr>
              <w:t>Operating cash flow (OCF)</w:t>
            </w:r>
          </w:p>
        </w:tc>
        <w:tc>
          <w:tcPr>
            <w:tcW w:type="dxa" w:w="1440"/>
          </w:tcPr>
          <w:p>
            <w:r/>
            <w:r>
              <w:rPr>
                <w:sz w:val="20"/>
              </w:rPr>
              <w:t>7,049</w:t>
            </w:r>
          </w:p>
        </w:tc>
        <w:tc>
          <w:tcPr>
            <w:tcW w:type="dxa" w:w="1440"/>
          </w:tcPr>
          <w:p>
            <w:r/>
            <w:r>
              <w:rPr>
                <w:sz w:val="20"/>
              </w:rPr>
              <w:t>6,699</w:t>
            </w:r>
          </w:p>
        </w:tc>
        <w:tc>
          <w:tcPr>
            <w:tcW w:type="dxa" w:w="1440"/>
          </w:tcPr>
          <w:p>
            <w:r/>
            <w:r>
              <w:rPr>
                <w:sz w:val="20"/>
              </w:rPr>
              <w:t>1,265</w:t>
            </w:r>
          </w:p>
        </w:tc>
        <w:tc>
          <w:tcPr>
            <w:tcW w:type="dxa" w:w="1440"/>
          </w:tcPr>
          <w:p>
            <w:r/>
            <w:r>
              <w:rPr>
                <w:sz w:val="20"/>
              </w:rPr>
              <w:t>1,164</w:t>
            </w:r>
          </w:p>
        </w:tc>
      </w:tr>
      <w:tr>
        <w:tc>
          <w:tcPr>
            <w:tcW w:type="dxa" w:w="3168"/>
          </w:tcPr>
          <w:p>
            <w:r/>
            <w:r>
              <w:rPr>
                <w:sz w:val="20"/>
              </w:rPr>
              <w:t>Net cash used in investing</w:t>
            </w:r>
          </w:p>
        </w:tc>
        <w:tc>
          <w:tcPr>
            <w:tcW w:type="dxa" w:w="1440"/>
          </w:tcPr>
          <w:p>
            <w:r/>
            <w:r>
              <w:rPr>
                <w:sz w:val="20"/>
              </w:rPr>
              <w:t>(3,713)</w:t>
            </w:r>
          </w:p>
        </w:tc>
        <w:tc>
          <w:tcPr>
            <w:tcW w:type="dxa" w:w="1440"/>
          </w:tcPr>
          <w:p>
            <w:r/>
            <w:r>
              <w:rPr>
                <w:sz w:val="20"/>
              </w:rPr>
              <w:t>(3,607)</w:t>
            </w:r>
          </w:p>
        </w:tc>
        <w:tc>
          <w:tcPr>
            <w:tcW w:type="dxa" w:w="1440"/>
          </w:tcPr>
          <w:p>
            <w:r/>
            <w:r>
              <w:rPr>
                <w:sz w:val="20"/>
              </w:rPr>
              <w:t>(365)</w:t>
            </w:r>
          </w:p>
        </w:tc>
        <w:tc>
          <w:tcPr>
            <w:tcW w:type="dxa" w:w="1440"/>
          </w:tcPr>
          <w:p>
            <w:r/>
            <w:r>
              <w:rPr>
                <w:sz w:val="20"/>
              </w:rPr>
              <w:t>(538)</w:t>
            </w:r>
          </w:p>
        </w:tc>
      </w:tr>
      <w:tr>
        <w:tc>
          <w:tcPr>
            <w:tcW w:type="dxa" w:w="3168"/>
          </w:tcPr>
          <w:p>
            <w:r/>
            <w:r>
              <w:rPr>
                <w:sz w:val="20"/>
              </w:rPr>
              <w:t>Gross property additions (capex)</w:t>
            </w:r>
          </w:p>
        </w:tc>
        <w:tc>
          <w:tcPr>
            <w:tcW w:type="dxa" w:w="1440"/>
          </w:tcPr>
          <w:p>
            <w:r/>
            <w:r>
              <w:rPr>
                <w:sz w:val="20"/>
              </w:rPr>
              <w:t>3,658</w:t>
            </w:r>
          </w:p>
        </w:tc>
        <w:tc>
          <w:tcPr>
            <w:tcW w:type="dxa" w:w="1440"/>
          </w:tcPr>
          <w:p>
            <w:r/>
            <w:r>
              <w:rPr>
                <w:sz w:val="20"/>
              </w:rPr>
              <w:t>3,549</w:t>
            </w:r>
          </w:p>
        </w:tc>
        <w:tc>
          <w:tcPr>
            <w:tcW w:type="dxa" w:w="1440"/>
          </w:tcPr>
          <w:p>
            <w:r/>
            <w:r>
              <w:rPr>
                <w:sz w:val="20"/>
              </w:rPr>
              <w:t>439</w:t>
            </w:r>
          </w:p>
        </w:tc>
        <w:tc>
          <w:tcPr>
            <w:tcW w:type="dxa" w:w="1440"/>
          </w:tcPr>
          <w:p>
            <w:r/>
            <w:r>
              <w:rPr>
                <w:sz w:val="20"/>
              </w:rPr>
              <w:t>519</w:t>
            </w:r>
          </w:p>
        </w:tc>
      </w:tr>
      <w:tr>
        <w:tc>
          <w:tcPr>
            <w:tcW w:type="dxa" w:w="3168"/>
          </w:tcPr>
          <w:p>
            <w:r/>
            <w:r>
              <w:rPr>
                <w:sz w:val="20"/>
              </w:rPr>
              <w:t>Free cash flow (CN definition)</w:t>
            </w:r>
          </w:p>
        </w:tc>
        <w:tc>
          <w:tcPr>
            <w:tcW w:type="dxa" w:w="1440"/>
          </w:tcPr>
          <w:p>
            <w:r/>
            <w:r>
              <w:rPr>
                <w:sz w:val="20"/>
              </w:rPr>
              <w:t>3,336</w:t>
            </w:r>
          </w:p>
        </w:tc>
        <w:tc>
          <w:tcPr>
            <w:tcW w:type="dxa" w:w="1440"/>
          </w:tcPr>
          <w:p>
            <w:r/>
            <w:r>
              <w:rPr>
                <w:sz w:val="20"/>
              </w:rPr>
              <w:t>3,092</w:t>
            </w:r>
          </w:p>
        </w:tc>
        <w:tc>
          <w:tcPr>
            <w:tcW w:type="dxa" w:w="1440"/>
          </w:tcPr>
          <w:p>
            <w:r/>
            <w:r>
              <w:rPr>
                <w:sz w:val="20"/>
              </w:rPr>
              <w:t>900</w:t>
            </w:r>
          </w:p>
        </w:tc>
        <w:tc>
          <w:tcPr>
            <w:tcW w:type="dxa" w:w="1440"/>
          </w:tcPr>
          <w:p>
            <w:r/>
            <w:r>
              <w:rPr>
                <w:sz w:val="20"/>
              </w:rPr>
              <w:t>626</w:t>
            </w:r>
          </w:p>
        </w:tc>
      </w:tr>
      <w:tr>
        <w:tc>
          <w:tcPr>
            <w:tcW w:type="dxa" w:w="3168"/>
          </w:tcPr>
          <w:p>
            <w:r/>
            <w:r>
              <w:rPr>
                <w:sz w:val="20"/>
              </w:rPr>
              <w:t>FCF conversion (FCF / NI)</w:t>
            </w:r>
          </w:p>
        </w:tc>
        <w:tc>
          <w:tcPr>
            <w:tcW w:type="dxa" w:w="1440"/>
          </w:tcPr>
          <w:p>
            <w:r/>
            <w:r>
              <w:rPr>
                <w:sz w:val="20"/>
              </w:rPr>
              <w:t>70.7%</w:t>
            </w:r>
          </w:p>
        </w:tc>
        <w:tc>
          <w:tcPr>
            <w:tcW w:type="dxa" w:w="1440"/>
          </w:tcPr>
          <w:p>
            <w:r/>
            <w:r>
              <w:rPr>
                <w:sz w:val="20"/>
              </w:rPr>
              <w:t>69.5%</w:t>
            </w:r>
          </w:p>
        </w:tc>
        <w:tc>
          <w:tcPr>
            <w:tcW w:type="dxa" w:w="1440"/>
          </w:tcPr>
          <w:p>
            <w:r/>
            <w:r>
              <w:rPr>
                <w:sz w:val="20"/>
              </w:rPr>
              <w:t>78.5%</w:t>
            </w:r>
          </w:p>
        </w:tc>
        <w:tc>
          <w:tcPr>
            <w:tcW w:type="dxa" w:w="1440"/>
          </w:tcPr>
          <w:p>
            <w:r/>
            <w:r>
              <w:rPr>
                <w:sz w:val="20"/>
              </w:rPr>
              <w:t>53.9%</w:t>
            </w:r>
          </w:p>
        </w:tc>
      </w:tr>
      <w:tr>
        <w:tc>
          <w:tcPr>
            <w:tcW w:type="dxa" w:w="3168"/>
          </w:tcPr>
          <w:p>
            <w:r/>
            <w:r>
              <w:rPr>
                <w:sz w:val="20"/>
              </w:rPr>
              <w:t>Capex as % of revenue</w:t>
            </w:r>
          </w:p>
        </w:tc>
        <w:tc>
          <w:tcPr>
            <w:tcW w:type="dxa" w:w="1440"/>
          </w:tcPr>
          <w:p>
            <w:r/>
            <w:r>
              <w:rPr>
                <w:sz w:val="20"/>
              </w:rPr>
              <w:t>21.1%</w:t>
            </w:r>
          </w:p>
        </w:tc>
        <w:tc>
          <w:tcPr>
            <w:tcW w:type="dxa" w:w="1440"/>
          </w:tcPr>
          <w:p>
            <w:r/>
            <w:r>
              <w:rPr>
                <w:sz w:val="20"/>
              </w:rPr>
              <w:t>20.8%</w:t>
            </w:r>
          </w:p>
        </w:tc>
        <w:tc>
          <w:tcPr>
            <w:tcW w:type="dxa" w:w="1440"/>
          </w:tcPr>
          <w:p>
            <w:r/>
            <w:r>
              <w:rPr>
                <w:sz w:val="20"/>
              </w:rPr>
              <w:t>10.0%</w:t>
            </w:r>
          </w:p>
        </w:tc>
        <w:tc>
          <w:tcPr>
            <w:tcW w:type="dxa" w:w="1440"/>
          </w:tcPr>
          <w:p>
            <w:r/>
            <w:r>
              <w:rPr>
                <w:sz w:val="20"/>
              </w:rPr>
              <w:t>11.8%</w:t>
            </w:r>
          </w:p>
        </w:tc>
      </w:tr>
      <w:tr>
        <w:tc>
          <w:tcPr>
            <w:tcW w:type="dxa" w:w="3168"/>
          </w:tcPr>
          <w:p>
            <w:r/>
            <w:r>
              <w:rPr>
                <w:sz w:val="20"/>
              </w:rPr>
              <w:t>Dividends paid</w:t>
            </w:r>
          </w:p>
        </w:tc>
        <w:tc>
          <w:tcPr>
            <w:tcW w:type="dxa" w:w="1440"/>
          </w:tcPr>
          <w:p>
            <w:r/>
            <w:r>
              <w:rPr>
                <w:sz w:val="20"/>
              </w:rPr>
              <w:t>2,208</w:t>
            </w:r>
          </w:p>
        </w:tc>
        <w:tc>
          <w:tcPr>
            <w:tcW w:type="dxa" w:w="1440"/>
          </w:tcPr>
          <w:p>
            <w:r/>
            <w:r>
              <w:rPr>
                <w:sz w:val="20"/>
              </w:rPr>
              <w:t>2,138</w:t>
            </w:r>
          </w:p>
        </w:tc>
        <w:tc>
          <w:tcPr>
            <w:tcW w:type="dxa" w:w="1440"/>
          </w:tcPr>
          <w:p>
            <w:r/>
            <w:r>
              <w:rPr>
                <w:sz w:val="20"/>
              </w:rPr>
              <w:t>545 (Q4'25)</w:t>
            </w:r>
          </w:p>
        </w:tc>
        <w:tc>
          <w:tcPr>
            <w:tcW w:type="dxa" w:w="1440"/>
          </w:tcPr>
          <w:p>
            <w:r/>
            <w:r>
              <w:rPr>
                <w:sz w:val="20"/>
              </w:rPr>
              <w:t>—</w:t>
            </w:r>
          </w:p>
        </w:tc>
      </w:tr>
      <w:tr>
        <w:tc>
          <w:tcPr>
            <w:tcW w:type="dxa" w:w="3168"/>
          </w:tcPr>
          <w:p>
            <w:r/>
            <w:r>
              <w:rPr>
                <w:sz w:val="20"/>
              </w:rPr>
              <w:t>Share repurchases (cash)</w:t>
            </w:r>
          </w:p>
        </w:tc>
        <w:tc>
          <w:tcPr>
            <w:tcW w:type="dxa" w:w="1440"/>
          </w:tcPr>
          <w:p>
            <w:r/>
            <w:r>
              <w:rPr>
                <w:sz w:val="20"/>
              </w:rPr>
              <w:t>2,047</w:t>
            </w:r>
          </w:p>
        </w:tc>
        <w:tc>
          <w:tcPr>
            <w:tcW w:type="dxa" w:w="1440"/>
          </w:tcPr>
          <w:p>
            <w:r/>
            <w:r>
              <w:rPr>
                <w:sz w:val="20"/>
              </w:rPr>
              <w:t>2,651</w:t>
            </w:r>
          </w:p>
        </w:tc>
        <w:tc>
          <w:tcPr>
            <w:tcW w:type="dxa" w:w="1440"/>
          </w:tcPr>
          <w:p>
            <w:r/>
            <w:r>
              <w:rPr>
                <w:sz w:val="20"/>
              </w:rPr>
              <w:t>869</w:t>
            </w:r>
          </w:p>
        </w:tc>
        <w:tc>
          <w:tcPr>
            <w:tcW w:type="dxa" w:w="1440"/>
          </w:tcPr>
          <w:p>
            <w:r/>
            <w:r>
              <w:rPr>
                <w:sz w:val="20"/>
              </w:rPr>
              <w:t>101</w:t>
            </w:r>
          </w:p>
        </w:tc>
      </w:tr>
    </w:tbl>
    <w:p>
      <w:pPr>
        <w:spacing w:after="80"/>
      </w:pPr>
      <w:r>
        <w:rPr>
          <w:b/>
          <w:i w:val="0"/>
          <w:sz w:val="22"/>
        </w:rPr>
        <w:t>Stock-based compensation (SBC):</w:t>
      </w:r>
    </w:p>
    <w:p>
      <w:pPr>
        <w:pStyle w:val="ListBullet"/>
        <w:spacing w:after="40"/>
      </w:pPr>
      <w:r>
        <w:t>FY 2025 SBC and other equity-settled compensation (per equity statement): ~C$118M added to additional paid-in capital (less C$5M shareholders' equity adjustment, net C$113M). FY 2024 comparison: C$82M.</w:t>
      </w:r>
    </w:p>
    <w:p>
      <w:pPr>
        <w:pStyle w:val="ListBullet"/>
        <w:spacing w:after="40"/>
      </w:pPr>
      <w:r>
        <w:t>FY 2025 SBC as % of revenue: 0.65% — LOW SBC BURDEN.</w:t>
      </w:r>
    </w:p>
    <w:p>
      <w:pPr>
        <w:pStyle w:val="ListBullet"/>
        <w:spacing w:after="40"/>
      </w:pPr>
      <w:r>
        <w:t>FY 2025 SBC as % of FCF: ~3.4% — immaterial impact on owner earnings.</w:t>
      </w:r>
    </w:p>
    <w:p>
      <w:pPr>
        <w:pStyle w:val="ListBullet"/>
        <w:spacing w:after="40"/>
      </w:pPr>
      <w:r>
        <w:t>TTM SBC estimate (FY 2025 + Q1 SBC differential, immaterial): ~C$115M.</w:t>
      </w:r>
    </w:p>
    <w:p>
      <w:pPr>
        <w:spacing w:after="80"/>
      </w:pPr>
      <w:r>
        <w:rPr>
          <w:b w:val="0"/>
          <w:i w:val="0"/>
          <w:sz w:val="22"/>
        </w:rPr>
        <w:t>Owner earnings (FCF − SBC, TTM Mar 31, 2026): ~C$3,336M + ~C$0M YoY Q1 SBC adjustment − ~C$115M ≈ C$3,220M, or ~C$5.28 / share on ~610M diluted. This is a clean, transparent cash-flow profile with no material gap between reported and economic FCF.</w:t>
      </w:r>
    </w:p>
    <w:p>
      <w:pPr>
        <w:spacing w:after="80"/>
      </w:pPr>
      <w:r>
        <w:rPr>
          <w:b w:val="0"/>
          <w:i w:val="0"/>
          <w:sz w:val="22"/>
        </w:rPr>
        <w:t>Cash-flow comparability: no announced reclassifications between operating, investing, and financing activities in 2025 or Q1 2026 filings.</w:t>
      </w:r>
    </w:p>
    <w:p>
      <w:pPr>
        <w:spacing w:before="280" w:after="120"/>
      </w:pPr>
      <w:r>
        <w:rPr>
          <w:b/>
          <w:color w:val="1F3A5F"/>
          <w:sz w:val="32"/>
        </w:rPr>
        <w:t>9. Balance Sheet &amp; Liquidity</w:t>
      </w:r>
    </w:p>
    <w:tbl>
      <w:tblPr>
        <w:tblStyle w:val="LightGrid-Accent1"/>
        <w:tblW w:type="auto" w:w="0"/>
        <w:tblLook w:firstColumn="1" w:firstRow="1" w:lastColumn="0" w:lastRow="0" w:noHBand="0" w:noVBand="1" w:val="04A0"/>
      </w:tblPr>
      <w:tblGrid>
        <w:gridCol w:w="2412"/>
        <w:gridCol w:w="2412"/>
        <w:gridCol w:w="2412"/>
        <w:gridCol w:w="2412"/>
      </w:tblGrid>
      <w:tr>
        <w:tc>
          <w:tcPr>
            <w:tcW w:type="dxa" w:w="3456"/>
            <w:vAlign w:val="center"/>
          </w:tcPr>
          <w:p>
            <w:r/>
            <w:r>
              <w:rPr>
                <w:b/>
                <w:sz w:val="20"/>
              </w:rPr>
              <w:t>Item (C$M)</w:t>
            </w:r>
          </w:p>
        </w:tc>
        <w:tc>
          <w:tcPr>
            <w:tcW w:type="dxa" w:w="1872"/>
            <w:vAlign w:val="center"/>
          </w:tcPr>
          <w:p>
            <w:r/>
            <w:r>
              <w:rPr>
                <w:b/>
                <w:sz w:val="20"/>
              </w:rPr>
              <w:t>Mar 31, 2026</w:t>
            </w:r>
          </w:p>
        </w:tc>
        <w:tc>
          <w:tcPr>
            <w:tcW w:type="dxa" w:w="1872"/>
            <w:vAlign w:val="center"/>
          </w:tcPr>
          <w:p>
            <w:r/>
            <w:r>
              <w:rPr>
                <w:b/>
                <w:sz w:val="20"/>
              </w:rPr>
              <w:t>Dec 31, 2025</w:t>
            </w:r>
          </w:p>
        </w:tc>
        <w:tc>
          <w:tcPr>
            <w:tcW w:type="dxa" w:w="1872"/>
            <w:vAlign w:val="center"/>
          </w:tcPr>
          <w:p>
            <w:r/>
            <w:r>
              <w:rPr>
                <w:b/>
                <w:sz w:val="20"/>
              </w:rPr>
              <w:t>Dec 31, 2024</w:t>
            </w:r>
          </w:p>
        </w:tc>
      </w:tr>
      <w:tr>
        <w:tc>
          <w:tcPr>
            <w:tcW w:type="dxa" w:w="3456"/>
          </w:tcPr>
          <w:p>
            <w:r/>
            <w:r>
              <w:rPr>
                <w:sz w:val="20"/>
              </w:rPr>
              <w:t>Cash and equivalents</w:t>
            </w:r>
          </w:p>
        </w:tc>
        <w:tc>
          <w:tcPr>
            <w:tcW w:type="dxa" w:w="1872"/>
          </w:tcPr>
          <w:p>
            <w:r/>
            <w:r>
              <w:rPr>
                <w:sz w:val="20"/>
              </w:rPr>
              <w:t>573</w:t>
            </w:r>
          </w:p>
        </w:tc>
        <w:tc>
          <w:tcPr>
            <w:tcW w:type="dxa" w:w="1872"/>
          </w:tcPr>
          <w:p>
            <w:r/>
            <w:r>
              <w:rPr>
                <w:sz w:val="20"/>
              </w:rPr>
              <w:t>350</w:t>
            </w:r>
          </w:p>
        </w:tc>
        <w:tc>
          <w:tcPr>
            <w:tcW w:type="dxa" w:w="1872"/>
          </w:tcPr>
          <w:p>
            <w:r/>
            <w:r>
              <w:rPr>
                <w:sz w:val="20"/>
              </w:rPr>
              <w:t>389</w:t>
            </w:r>
          </w:p>
        </w:tc>
      </w:tr>
      <w:tr>
        <w:tc>
          <w:tcPr>
            <w:tcW w:type="dxa" w:w="3456"/>
          </w:tcPr>
          <w:p>
            <w:r/>
            <w:r>
              <w:rPr>
                <w:sz w:val="20"/>
              </w:rPr>
              <w:t>Restricted cash</w:t>
            </w:r>
          </w:p>
        </w:tc>
        <w:tc>
          <w:tcPr>
            <w:tcW w:type="dxa" w:w="1872"/>
          </w:tcPr>
          <w:p>
            <w:r/>
            <w:r>
              <w:rPr>
                <w:sz w:val="20"/>
              </w:rPr>
              <w:t>—</w:t>
            </w:r>
          </w:p>
        </w:tc>
        <w:tc>
          <w:tcPr>
            <w:tcW w:type="dxa" w:w="1872"/>
          </w:tcPr>
          <w:p>
            <w:r/>
            <w:r>
              <w:rPr>
                <w:sz w:val="20"/>
              </w:rPr>
              <w:t>13</w:t>
            </w:r>
          </w:p>
        </w:tc>
        <w:tc>
          <w:tcPr>
            <w:tcW w:type="dxa" w:w="1872"/>
          </w:tcPr>
          <w:p>
            <w:r/>
            <w:r>
              <w:rPr>
                <w:sz w:val="20"/>
              </w:rPr>
              <w:t>12</w:t>
            </w:r>
          </w:p>
        </w:tc>
      </w:tr>
      <w:tr>
        <w:tc>
          <w:tcPr>
            <w:tcW w:type="dxa" w:w="3456"/>
          </w:tcPr>
          <w:p>
            <w:r/>
            <w:r>
              <w:rPr>
                <w:sz w:val="20"/>
              </w:rPr>
              <w:t>Total current assets</w:t>
            </w:r>
          </w:p>
        </w:tc>
        <w:tc>
          <w:tcPr>
            <w:tcW w:type="dxa" w:w="1872"/>
          </w:tcPr>
          <w:p>
            <w:r/>
            <w:r>
              <w:rPr>
                <w:sz w:val="20"/>
              </w:rPr>
              <w:t>—</w:t>
            </w:r>
          </w:p>
        </w:tc>
        <w:tc>
          <w:tcPr>
            <w:tcW w:type="dxa" w:w="1872"/>
          </w:tcPr>
          <w:p>
            <w:r/>
            <w:r>
              <w:rPr>
                <w:sz w:val="20"/>
              </w:rPr>
              <w:t>2,471</w:t>
            </w:r>
          </w:p>
        </w:tc>
        <w:tc>
          <w:tcPr>
            <w:tcW w:type="dxa" w:w="1872"/>
          </w:tcPr>
          <w:p>
            <w:r/>
            <w:r>
              <w:rPr>
                <w:sz w:val="20"/>
              </w:rPr>
              <w:t>2,619</w:t>
            </w:r>
          </w:p>
        </w:tc>
      </w:tr>
      <w:tr>
        <w:tc>
          <w:tcPr>
            <w:tcW w:type="dxa" w:w="3456"/>
          </w:tcPr>
          <w:p>
            <w:r/>
            <w:r>
              <w:rPr>
                <w:sz w:val="20"/>
              </w:rPr>
              <w:t>Properties (PP&amp;E)</w:t>
            </w:r>
          </w:p>
        </w:tc>
        <w:tc>
          <w:tcPr>
            <w:tcW w:type="dxa" w:w="1872"/>
          </w:tcPr>
          <w:p>
            <w:r/>
            <w:r>
              <w:rPr>
                <w:sz w:val="20"/>
              </w:rPr>
              <w:t>—</w:t>
            </w:r>
          </w:p>
        </w:tc>
        <w:tc>
          <w:tcPr>
            <w:tcW w:type="dxa" w:w="1872"/>
          </w:tcPr>
          <w:p>
            <w:r/>
            <w:r>
              <w:rPr>
                <w:sz w:val="20"/>
              </w:rPr>
              <w:t>49,148</w:t>
            </w:r>
          </w:p>
        </w:tc>
        <w:tc>
          <w:tcPr>
            <w:tcW w:type="dxa" w:w="1872"/>
          </w:tcPr>
          <w:p>
            <w:r/>
            <w:r>
              <w:rPr>
                <w:sz w:val="20"/>
              </w:rPr>
              <w:t>47,960</w:t>
            </w:r>
          </w:p>
        </w:tc>
      </w:tr>
      <w:tr>
        <w:tc>
          <w:tcPr>
            <w:tcW w:type="dxa" w:w="3456"/>
          </w:tcPr>
          <w:p>
            <w:r/>
            <w:r>
              <w:rPr>
                <w:sz w:val="20"/>
              </w:rPr>
              <w:t>Total assets</w:t>
            </w:r>
          </w:p>
        </w:tc>
        <w:tc>
          <w:tcPr>
            <w:tcW w:type="dxa" w:w="1872"/>
          </w:tcPr>
          <w:p>
            <w:r/>
            <w:r>
              <w:rPr>
                <w:sz w:val="20"/>
              </w:rPr>
              <w:t>—</w:t>
            </w:r>
          </w:p>
        </w:tc>
        <w:tc>
          <w:tcPr>
            <w:tcW w:type="dxa" w:w="1872"/>
          </w:tcPr>
          <w:p>
            <w:r/>
            <w:r>
              <w:rPr>
                <w:sz w:val="20"/>
              </w:rPr>
              <w:t>58,555</w:t>
            </w:r>
          </w:p>
        </w:tc>
        <w:tc>
          <w:tcPr>
            <w:tcW w:type="dxa" w:w="1872"/>
          </w:tcPr>
          <w:p>
            <w:r/>
            <w:r>
              <w:rPr>
                <w:sz w:val="20"/>
              </w:rPr>
              <w:t>57,067</w:t>
            </w:r>
          </w:p>
        </w:tc>
      </w:tr>
      <w:tr>
        <w:tc>
          <w:tcPr>
            <w:tcW w:type="dxa" w:w="3456"/>
          </w:tcPr>
          <w:p>
            <w:r/>
            <w:r>
              <w:rPr>
                <w:sz w:val="20"/>
              </w:rPr>
              <w:t>Current portion of LT debt</w:t>
            </w:r>
          </w:p>
        </w:tc>
        <w:tc>
          <w:tcPr>
            <w:tcW w:type="dxa" w:w="1872"/>
          </w:tcPr>
          <w:p>
            <w:r/>
            <w:r>
              <w:rPr>
                <w:sz w:val="20"/>
              </w:rPr>
              <w:t>1,751</w:t>
            </w:r>
          </w:p>
        </w:tc>
        <w:tc>
          <w:tcPr>
            <w:tcW w:type="dxa" w:w="1872"/>
          </w:tcPr>
          <w:p>
            <w:r/>
            <w:r>
              <w:rPr>
                <w:sz w:val="20"/>
              </w:rPr>
              <w:t>906</w:t>
            </w:r>
          </w:p>
        </w:tc>
        <w:tc>
          <w:tcPr>
            <w:tcW w:type="dxa" w:w="1872"/>
          </w:tcPr>
          <w:p>
            <w:r/>
            <w:r>
              <w:rPr>
                <w:sz w:val="20"/>
              </w:rPr>
              <w:t>1,166</w:t>
            </w:r>
          </w:p>
        </w:tc>
      </w:tr>
      <w:tr>
        <w:tc>
          <w:tcPr>
            <w:tcW w:type="dxa" w:w="3456"/>
          </w:tcPr>
          <w:p>
            <w:r/>
            <w:r>
              <w:rPr>
                <w:sz w:val="20"/>
              </w:rPr>
              <w:t>Long-term debt</w:t>
            </w:r>
          </w:p>
        </w:tc>
        <w:tc>
          <w:tcPr>
            <w:tcW w:type="dxa" w:w="1872"/>
          </w:tcPr>
          <w:p>
            <w:r/>
            <w:r>
              <w:rPr>
                <w:sz w:val="20"/>
              </w:rPr>
              <w:t>20,448</w:t>
            </w:r>
          </w:p>
        </w:tc>
        <w:tc>
          <w:tcPr>
            <w:tcW w:type="dxa" w:w="1872"/>
          </w:tcPr>
          <w:p>
            <w:r/>
            <w:r>
              <w:rPr>
                <w:sz w:val="20"/>
              </w:rPr>
              <w:t>20,300</w:t>
            </w:r>
          </w:p>
        </w:tc>
        <w:tc>
          <w:tcPr>
            <w:tcW w:type="dxa" w:w="1872"/>
          </w:tcPr>
          <w:p>
            <w:r/>
            <w:r>
              <w:rPr>
                <w:sz w:val="20"/>
              </w:rPr>
              <w:t>19,728</w:t>
            </w:r>
          </w:p>
        </w:tc>
      </w:tr>
      <w:tr>
        <w:tc>
          <w:tcPr>
            <w:tcW w:type="dxa" w:w="3456"/>
          </w:tcPr>
          <w:p>
            <w:r/>
            <w:r>
              <w:rPr>
                <w:sz w:val="20"/>
              </w:rPr>
              <w:t>Total debt</w:t>
            </w:r>
          </w:p>
        </w:tc>
        <w:tc>
          <w:tcPr>
            <w:tcW w:type="dxa" w:w="1872"/>
          </w:tcPr>
          <w:p>
            <w:r/>
            <w:r>
              <w:rPr>
                <w:sz w:val="20"/>
              </w:rPr>
              <w:t>22,199</w:t>
            </w:r>
          </w:p>
        </w:tc>
        <w:tc>
          <w:tcPr>
            <w:tcW w:type="dxa" w:w="1872"/>
          </w:tcPr>
          <w:p>
            <w:r/>
            <w:r>
              <w:rPr>
                <w:sz w:val="20"/>
              </w:rPr>
              <w:t>21,206</w:t>
            </w:r>
          </w:p>
        </w:tc>
        <w:tc>
          <w:tcPr>
            <w:tcW w:type="dxa" w:w="1872"/>
          </w:tcPr>
          <w:p>
            <w:r/>
            <w:r>
              <w:rPr>
                <w:sz w:val="20"/>
              </w:rPr>
              <w:t>20,894</w:t>
            </w:r>
          </w:p>
        </w:tc>
      </w:tr>
      <w:tr>
        <w:tc>
          <w:tcPr>
            <w:tcW w:type="dxa" w:w="3456"/>
          </w:tcPr>
          <w:p>
            <w:r/>
            <w:r>
              <w:rPr>
                <w:sz w:val="20"/>
              </w:rPr>
              <w:t>Total liabilities</w:t>
            </w:r>
          </w:p>
        </w:tc>
        <w:tc>
          <w:tcPr>
            <w:tcW w:type="dxa" w:w="1872"/>
          </w:tcPr>
          <w:p>
            <w:r/>
            <w:r>
              <w:rPr>
                <w:sz w:val="20"/>
              </w:rPr>
              <w:t>—</w:t>
            </w:r>
          </w:p>
        </w:tc>
        <w:tc>
          <w:tcPr>
            <w:tcW w:type="dxa" w:w="1872"/>
          </w:tcPr>
          <w:p>
            <w:r/>
            <w:r>
              <w:rPr>
                <w:sz w:val="20"/>
              </w:rPr>
              <w:t>36,987</w:t>
            </w:r>
          </w:p>
        </w:tc>
        <w:tc>
          <w:tcPr>
            <w:tcW w:type="dxa" w:w="1872"/>
          </w:tcPr>
          <w:p>
            <w:r/>
            <w:r>
              <w:rPr>
                <w:sz w:val="20"/>
              </w:rPr>
              <w:t>36,016</w:t>
            </w:r>
          </w:p>
        </w:tc>
      </w:tr>
      <w:tr>
        <w:tc>
          <w:tcPr>
            <w:tcW w:type="dxa" w:w="3456"/>
          </w:tcPr>
          <w:p>
            <w:r/>
            <w:r>
              <w:rPr>
                <w:sz w:val="20"/>
              </w:rPr>
              <w:t>Operating lease liabilities</w:t>
            </w:r>
          </w:p>
        </w:tc>
        <w:tc>
          <w:tcPr>
            <w:tcW w:type="dxa" w:w="1872"/>
          </w:tcPr>
          <w:p>
            <w:r/>
            <w:r>
              <w:rPr>
                <w:sz w:val="20"/>
              </w:rPr>
              <w:t>—</w:t>
            </w:r>
          </w:p>
        </w:tc>
        <w:tc>
          <w:tcPr>
            <w:tcW w:type="dxa" w:w="1872"/>
          </w:tcPr>
          <w:p>
            <w:r/>
            <w:r>
              <w:rPr>
                <w:sz w:val="20"/>
              </w:rPr>
              <w:t>316 + curr.</w:t>
            </w:r>
          </w:p>
        </w:tc>
        <w:tc>
          <w:tcPr>
            <w:tcW w:type="dxa" w:w="1872"/>
          </w:tcPr>
          <w:p>
            <w:r/>
            <w:r>
              <w:rPr>
                <w:sz w:val="20"/>
              </w:rPr>
              <w:t>343 + curr.</w:t>
            </w:r>
          </w:p>
        </w:tc>
      </w:tr>
      <w:tr>
        <w:tc>
          <w:tcPr>
            <w:tcW w:type="dxa" w:w="3456"/>
          </w:tcPr>
          <w:p>
            <w:r/>
            <w:r>
              <w:rPr>
                <w:sz w:val="20"/>
              </w:rPr>
              <w:t>Total shareholders' equity</w:t>
            </w:r>
          </w:p>
        </w:tc>
        <w:tc>
          <w:tcPr>
            <w:tcW w:type="dxa" w:w="1872"/>
          </w:tcPr>
          <w:p>
            <w:r/>
            <w:r>
              <w:rPr>
                <w:sz w:val="20"/>
              </w:rPr>
              <w:t>—</w:t>
            </w:r>
          </w:p>
        </w:tc>
        <w:tc>
          <w:tcPr>
            <w:tcW w:type="dxa" w:w="1872"/>
          </w:tcPr>
          <w:p>
            <w:r/>
            <w:r>
              <w:rPr>
                <w:sz w:val="20"/>
              </w:rPr>
              <w:t>21,568</w:t>
            </w:r>
          </w:p>
        </w:tc>
        <w:tc>
          <w:tcPr>
            <w:tcW w:type="dxa" w:w="1872"/>
          </w:tcPr>
          <w:p>
            <w:r/>
            <w:r>
              <w:rPr>
                <w:sz w:val="20"/>
              </w:rPr>
              <w:t>21,051</w:t>
            </w:r>
          </w:p>
        </w:tc>
      </w:tr>
      <w:tr>
        <w:tc>
          <w:tcPr>
            <w:tcW w:type="dxa" w:w="3456"/>
          </w:tcPr>
          <w:p>
            <w:r/>
            <w:r>
              <w:rPr>
                <w:sz w:val="20"/>
              </w:rPr>
              <w:t>Net debt</w:t>
            </w:r>
          </w:p>
        </w:tc>
        <w:tc>
          <w:tcPr>
            <w:tcW w:type="dxa" w:w="1872"/>
          </w:tcPr>
          <w:p>
            <w:r/>
            <w:r>
              <w:rPr>
                <w:sz w:val="20"/>
              </w:rPr>
              <w:t>21,626</w:t>
            </w:r>
          </w:p>
        </w:tc>
        <w:tc>
          <w:tcPr>
            <w:tcW w:type="dxa" w:w="1872"/>
          </w:tcPr>
          <w:p>
            <w:r/>
            <w:r>
              <w:rPr>
                <w:sz w:val="20"/>
              </w:rPr>
              <w:t>20,843</w:t>
            </w:r>
          </w:p>
        </w:tc>
        <w:tc>
          <w:tcPr>
            <w:tcW w:type="dxa" w:w="1872"/>
          </w:tcPr>
          <w:p>
            <w:r/>
            <w:r>
              <w:rPr>
                <w:sz w:val="20"/>
              </w:rPr>
              <w:t>20,493</w:t>
            </w:r>
          </w:p>
        </w:tc>
      </w:tr>
      <w:tr>
        <w:tc>
          <w:tcPr>
            <w:tcW w:type="dxa" w:w="3456"/>
          </w:tcPr>
          <w:p>
            <w:r/>
            <w:r>
              <w:rPr>
                <w:sz w:val="20"/>
              </w:rPr>
              <w:t>Adj. debt / adj. EBITDA (TTM)</w:t>
            </w:r>
          </w:p>
        </w:tc>
        <w:tc>
          <w:tcPr>
            <w:tcW w:type="dxa" w:w="1872"/>
          </w:tcPr>
          <w:p>
            <w:r/>
            <w:r>
              <w:rPr>
                <w:sz w:val="20"/>
              </w:rPr>
              <w:t>2.65×</w:t>
            </w:r>
          </w:p>
        </w:tc>
        <w:tc>
          <w:tcPr>
            <w:tcW w:type="dxa" w:w="1872"/>
          </w:tcPr>
          <w:p>
            <w:r/>
            <w:r>
              <w:rPr>
                <w:sz w:val="20"/>
              </w:rPr>
              <w:t>2.51×</w:t>
            </w:r>
          </w:p>
        </w:tc>
        <w:tc>
          <w:tcPr>
            <w:tcW w:type="dxa" w:w="1872"/>
          </w:tcPr>
          <w:p>
            <w:r/>
            <w:r>
              <w:rPr>
                <w:sz w:val="20"/>
              </w:rPr>
              <w:t>—</w:t>
            </w:r>
          </w:p>
        </w:tc>
      </w:tr>
    </w:tbl>
    <w:p>
      <w:pPr>
        <w:spacing w:after="80"/>
      </w:pPr>
      <w:r>
        <w:rPr>
          <w:b/>
          <w:i w:val="0"/>
          <w:sz w:val="22"/>
        </w:rPr>
        <w:t>Liquidity &amp; capital structure observations:</w:t>
      </w:r>
    </w:p>
    <w:p>
      <w:pPr>
        <w:pStyle w:val="ListBullet"/>
        <w:spacing w:after="40"/>
      </w:pPr>
      <w:r>
        <w:t>CN is NOT debt-free — total debt of C$22.2B at Q1 2026 vs. just C$0.6B cash. The financial-debt-to-EBITDA stack is moderate (2.65×) but not conservative; the company is comfortable levering shareholder returns at the cost of pure-play balance-sheet strength.</w:t>
      </w:r>
    </w:p>
    <w:p>
      <w:pPr>
        <w:pStyle w:val="ListBullet"/>
        <w:spacing w:after="40"/>
      </w:pPr>
      <w:r>
        <w:t>Pension is in a net-asset position of C$5,362M (Dec 31, 2025) — a meaningful hidden asset that supports lower contributions in coming years.</w:t>
      </w:r>
    </w:p>
    <w:p>
      <w:pPr>
        <w:pStyle w:val="ListBullet"/>
        <w:spacing w:after="40"/>
      </w:pPr>
      <w:r>
        <w:t>Operating lease liabilities of C$425M (Dec 31, 2025) are modest in context; not a material off-balance-sheet driver.</w:t>
      </w:r>
    </w:p>
    <w:p>
      <w:pPr>
        <w:pStyle w:val="ListBullet"/>
        <w:spacing w:after="40"/>
      </w:pPr>
      <w:r>
        <w:t>Interest coverage (FY 2025 op. income / interest): ~7.2×. Adequate but not strong. Rate exposure is moderate given the long-dated, mostly fixed-rate maturity profile typical of rails.</w:t>
      </w:r>
    </w:p>
    <w:p>
      <w:pPr>
        <w:pStyle w:val="ListBullet"/>
        <w:spacing w:after="40"/>
      </w:pPr>
      <w:r>
        <w:t>Leverage trajectory: net debt has crept up over 12 months as CN funds buybacks beyond FCF + dividends. Watch leverage drift toward 3× as a flag.</w:t>
      </w:r>
    </w:p>
    <w:p>
      <w:pPr>
        <w:spacing w:before="280" w:after="120"/>
      </w:pPr>
      <w:r>
        <w:rPr>
          <w:b/>
          <w:color w:val="1F3A5F"/>
          <w:sz w:val="32"/>
        </w:rPr>
        <w:t>10. Growth Durability</w:t>
      </w:r>
    </w:p>
    <w:p>
      <w:pPr>
        <w:spacing w:after="80"/>
      </w:pPr>
      <w:r>
        <w:rPr>
          <w:b w:val="0"/>
          <w:i w:val="0"/>
          <w:sz w:val="22"/>
        </w:rPr>
        <w:t>CN's structural growth algorithm over a 3–5 year horizon:</w:t>
      </w:r>
    </w:p>
    <w:p>
      <w:pPr>
        <w:pStyle w:val="ListBullet"/>
        <w:spacing w:after="40"/>
      </w:pPr>
      <w:r>
        <w:t>Volume (RTMs): GDP-plus over cycle; 2026 guidance is flattish (vs. +1% delivered in FY 2025 and +3% in Q1 2026).</w:t>
      </w:r>
    </w:p>
    <w:p>
      <w:pPr>
        <w:pStyle w:val="ListBullet"/>
        <w:spacing w:after="40"/>
      </w:pPr>
      <w:r>
        <w:t>Yield: 1–3% pricing power historically (in line with rail price index); FY 2025 yield was +1% with mix headwinds.</w:t>
      </w:r>
    </w:p>
    <w:p>
      <w:pPr>
        <w:pStyle w:val="ListBullet"/>
        <w:spacing w:after="40"/>
      </w:pPr>
      <w:r>
        <w:t>Operating leverage: 50–100 bps OR improvement per year achievable; OR of 61.9% FY 2025 has room toward ~58% LT target.</w:t>
      </w:r>
    </w:p>
    <w:p>
      <w:pPr>
        <w:pStyle w:val="ListBullet"/>
        <w:spacing w:after="40"/>
      </w:pPr>
      <w:r>
        <w:t>Buybacks: 2–3% net share-count reduction per year; FY 2025 retired ~2.4% of shares; new NCIB authorizes up to ~4% over 12 months.</w:t>
      </w:r>
    </w:p>
    <w:p>
      <w:pPr>
        <w:spacing w:after="80"/>
      </w:pPr>
      <w:r>
        <w:rPr>
          <w:b w:val="0"/>
          <w:i w:val="0"/>
          <w:sz w:val="22"/>
        </w:rPr>
        <w:t>Implied steady-state EPS growth: ~5–8% per year (1–3% revenue + 1–2% margin + 2–3% buyback). Management's own 2026 guidance ("adj. diluted EPS growth slightly above flattish volume") is consistent with low-mid single-digit EPS growth in the near term, with upside if cyclical / trade headwinds reverse.</w:t>
      </w:r>
    </w:p>
    <w:p>
      <w:pPr>
        <w:spacing w:after="80"/>
      </w:pPr>
      <w:r>
        <w:rPr>
          <w:b/>
          <w:i w:val="0"/>
          <w:sz w:val="22"/>
        </w:rPr>
        <w:t>Durability risks to growth:</w:t>
      </w:r>
    </w:p>
    <w:p>
      <w:pPr>
        <w:pStyle w:val="ListBullet"/>
        <w:spacing w:after="40"/>
      </w:pPr>
      <w:r>
        <w:t>UP/NS combination could reshape competitive dynamics structurally (negative).</w:t>
      </w:r>
    </w:p>
    <w:p>
      <w:pPr>
        <w:pStyle w:val="ListBullet"/>
        <w:spacing w:after="40"/>
      </w:pPr>
      <w:r>
        <w:t>Continued tariff regime suppresses forest, metals, coal, auto volumes; CN cannot control the trade environment.</w:t>
      </w:r>
    </w:p>
    <w:p>
      <w:pPr>
        <w:pStyle w:val="ListBullet"/>
        <w:spacing w:after="40"/>
      </w:pPr>
      <w:r>
        <w:t>Limited M&amp;A optionality post-CPKC merger: CN's last cross-border M&amp;A attempt (Kansas City Southern, 2021) was blocked by STB.</w:t>
      </w:r>
    </w:p>
    <w:p>
      <w:pPr>
        <w:spacing w:before="280" w:after="120"/>
      </w:pPr>
      <w:r>
        <w:rPr>
          <w:b/>
          <w:color w:val="1F3A5F"/>
          <w:sz w:val="32"/>
        </w:rPr>
        <w:t>11. Competitive Position / Moat</w:t>
      </w:r>
    </w:p>
    <w:p>
      <w:pPr>
        <w:spacing w:after="80"/>
      </w:pPr>
      <w:r>
        <w:rPr>
          <w:b/>
          <w:i w:val="0"/>
          <w:sz w:val="22"/>
        </w:rPr>
        <w:t>CN's moat is among the most durable in any sector — wide and stable.</w:t>
      </w:r>
    </w:p>
    <w:p>
      <w:pPr>
        <w:pStyle w:val="ListBullet"/>
        <w:spacing w:after="40"/>
      </w:pPr>
      <w:r>
        <w:t>Geographic moat: tri-coastal (Atlantic, Pacific, Gulf) routing is unique in Canada and rare globally. Single-line service Vancouver-Prince Rupert-Halifax-New Orleans cannot be replicated.</w:t>
      </w:r>
    </w:p>
    <w:p>
      <w:pPr>
        <w:pStyle w:val="ListBullet"/>
        <w:spacing w:after="40"/>
      </w:pPr>
      <w:r>
        <w:t>Replacement-cost moat: gross PP&amp;E of ~C$49B on the books, with replacement cost vastly higher. Right-of-way is irreplaceable.</w:t>
      </w:r>
    </w:p>
    <w:p>
      <w:pPr>
        <w:pStyle w:val="ListBullet"/>
        <w:spacing w:after="40"/>
      </w:pPr>
      <w:r>
        <w:t>Regulatory moat: STB and CTA gate any new entry; the last greenfield Class I franchise was issued in the 19th century. The CPKC merger (2023) was the first in a generation and is unlikely to be repeated soon ex-UP/NS.</w:t>
      </w:r>
    </w:p>
    <w:p>
      <w:pPr>
        <w:pStyle w:val="ListBullet"/>
        <w:spacing w:after="40"/>
      </w:pPr>
      <w:r>
        <w:t>Switching-cost moat: most customers are captive — bulk shippers (grain, coal, ore, lumber, chemicals) cannot economically truck their freight; intermodal customers are tied to corridor / port pairings.</w:t>
      </w:r>
    </w:p>
    <w:p>
      <w:pPr>
        <w:pStyle w:val="ListBullet"/>
        <w:spacing w:after="40"/>
      </w:pPr>
      <w:r>
        <w:t>Cost-advantage moat: rail fuel efficiency is ~4× truck on long-haul; LT 0.873 gal/1k GTM in 2025 is industry-competitive.</w:t>
      </w:r>
    </w:p>
    <w:p>
      <w:pPr>
        <w:spacing w:after="80"/>
      </w:pPr>
      <w:r>
        <w:rPr>
          <w:b/>
          <w:i w:val="0"/>
          <w:sz w:val="22"/>
        </w:rPr>
        <w:t>Threats to the moat:</w:t>
      </w:r>
    </w:p>
    <w:p>
      <w:pPr>
        <w:pStyle w:val="ListBullet"/>
        <w:spacing w:after="40"/>
      </w:pPr>
      <w:r>
        <w:t>UP/NS combined would create a single-line transcontinental network that erodes CN's interline-handoff position with U.S. carriers.</w:t>
      </w:r>
    </w:p>
    <w:p>
      <w:pPr>
        <w:pStyle w:val="ListBullet"/>
        <w:spacing w:after="40"/>
      </w:pPr>
      <w:r>
        <w:t>Auto-trucking and electric trucks may erode short-haul economics, but &gt;500-mile lanes remain rail-favored.</w:t>
      </w:r>
    </w:p>
    <w:p>
      <w:pPr>
        <w:pStyle w:val="ListBullet"/>
        <w:spacing w:after="40"/>
      </w:pPr>
      <w:r>
        <w:t>ROIC pressure already showing: CN "used to lead the pack on ROIC; now UP is the singular leader" per industry trackers. CN remains in the 12–13% band but no longer at the top of the Class I pack.</w:t>
      </w:r>
    </w:p>
    <w:p>
      <w:pPr>
        <w:spacing w:before="280" w:after="120"/>
      </w:pPr>
      <w:r>
        <w:rPr>
          <w:b/>
          <w:color w:val="1F3A5F"/>
          <w:sz w:val="32"/>
        </w:rPr>
        <w:t>12. Management, Governance &amp; Capital Allocation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48"/>
            <w:vAlign w:val="center"/>
          </w:tcPr>
          <w:p>
            <w:r/>
            <w:r>
              <w:rPr>
                <w:b/>
                <w:sz w:val="20"/>
              </w:rPr>
              <w:t>Capital Action</w:t>
            </w:r>
          </w:p>
        </w:tc>
        <w:tc>
          <w:tcPr>
            <w:tcW w:type="dxa" w:w="2160"/>
            <w:vAlign w:val="center"/>
          </w:tcPr>
          <w:p>
            <w:r/>
            <w:r>
              <w:rPr>
                <w:b/>
                <w:sz w:val="20"/>
              </w:rPr>
              <w:t>FY 2025</w:t>
            </w:r>
          </w:p>
        </w:tc>
        <w:tc>
          <w:tcPr>
            <w:tcW w:type="dxa" w:w="2448"/>
            <w:vAlign w:val="center"/>
          </w:tcPr>
          <w:p>
            <w:r/>
            <w:r>
              <w:rPr>
                <w:b/>
                <w:sz w:val="20"/>
              </w:rPr>
              <w:t>Q1 2026</w:t>
            </w:r>
          </w:p>
        </w:tc>
        <w:tc>
          <w:tcPr>
            <w:tcW w:type="dxa" w:w="2880"/>
            <w:vAlign w:val="center"/>
          </w:tcPr>
          <w:p>
            <w:r/>
            <w:r>
              <w:rPr>
                <w:b/>
                <w:sz w:val="20"/>
              </w:rPr>
              <w:t>Context</w:t>
            </w:r>
          </w:p>
        </w:tc>
      </w:tr>
      <w:tr>
        <w:tc>
          <w:tcPr>
            <w:tcW w:type="dxa" w:w="2448"/>
          </w:tcPr>
          <w:p>
            <w:r/>
            <w:r>
              <w:rPr>
                <w:sz w:val="20"/>
              </w:rPr>
              <w:t>Dividends paid</w:t>
            </w:r>
          </w:p>
        </w:tc>
        <w:tc>
          <w:tcPr>
            <w:tcW w:type="dxa" w:w="2160"/>
          </w:tcPr>
          <w:p>
            <w:r/>
            <w:r>
              <w:rPr>
                <w:sz w:val="20"/>
              </w:rPr>
              <w:t>C$2,208M</w:t>
            </w:r>
          </w:p>
        </w:tc>
        <w:tc>
          <w:tcPr>
            <w:tcW w:type="dxa" w:w="2448"/>
          </w:tcPr>
          <w:p>
            <w:r/>
            <w:r>
              <w:rPr>
                <w:sz w:val="20"/>
              </w:rPr>
              <w:t>C$545M (Q4'25 declared)</w:t>
            </w:r>
          </w:p>
        </w:tc>
        <w:tc>
          <w:tcPr>
            <w:tcW w:type="dxa" w:w="2880"/>
          </w:tcPr>
          <w:p>
            <w:r/>
            <w:r>
              <w:rPr>
                <w:sz w:val="20"/>
              </w:rPr>
              <w:t>30th consecutive annual dividend increase (3% for 2026 to C$0.915 / qtr)</w:t>
            </w:r>
          </w:p>
        </w:tc>
      </w:tr>
      <w:tr>
        <w:tc>
          <w:tcPr>
            <w:tcW w:type="dxa" w:w="2448"/>
          </w:tcPr>
          <w:p>
            <w:r/>
            <w:r>
              <w:rPr>
                <w:sz w:val="20"/>
              </w:rPr>
              <w:t>Shares repurchased</w:t>
            </w:r>
          </w:p>
        </w:tc>
        <w:tc>
          <w:tcPr>
            <w:tcW w:type="dxa" w:w="2160"/>
          </w:tcPr>
          <w:p>
            <w:r/>
            <w:r>
              <w:rPr>
                <w:sz w:val="20"/>
              </w:rPr>
              <w:t>14.9M / C$2,047M</w:t>
            </w:r>
          </w:p>
        </w:tc>
        <w:tc>
          <w:tcPr>
            <w:tcW w:type="dxa" w:w="2448"/>
          </w:tcPr>
          <w:p>
            <w:r/>
            <w:r>
              <w:rPr>
                <w:sz w:val="20"/>
              </w:rPr>
              <w:t>5.9M / C$869M</w:t>
            </w:r>
          </w:p>
        </w:tc>
        <w:tc>
          <w:tcPr>
            <w:tcW w:type="dxa" w:w="2880"/>
          </w:tcPr>
          <w:p>
            <w:r/>
            <w:r>
              <w:rPr>
                <w:sz w:val="20"/>
              </w:rPr>
              <w:t>Avg price ~C$137 (FY '25), ~C$147 (Q1 '26)</w:t>
            </w:r>
          </w:p>
        </w:tc>
      </w:tr>
      <w:tr>
        <w:tc>
          <w:tcPr>
            <w:tcW w:type="dxa" w:w="2448"/>
          </w:tcPr>
          <w:p>
            <w:r/>
            <w:r>
              <w:rPr>
                <w:sz w:val="20"/>
              </w:rPr>
              <w:t>NCIB authorization</w:t>
            </w:r>
          </w:p>
        </w:tc>
        <w:tc>
          <w:tcPr>
            <w:tcW w:type="dxa" w:w="2160"/>
          </w:tcPr>
          <w:p>
            <w:r/>
            <w:r>
              <w:rPr>
                <w:sz w:val="20"/>
              </w:rPr>
              <w:t>—</w:t>
            </w:r>
          </w:p>
        </w:tc>
        <w:tc>
          <w:tcPr>
            <w:tcW w:type="dxa" w:w="2448"/>
          </w:tcPr>
          <w:p>
            <w:r/>
            <w:r>
              <w:rPr>
                <w:sz w:val="20"/>
              </w:rPr>
              <w:t>Up to 24M shares (Feb '26 – Feb '27)</w:t>
            </w:r>
          </w:p>
        </w:tc>
        <w:tc>
          <w:tcPr>
            <w:tcW w:type="dxa" w:w="2880"/>
          </w:tcPr>
          <w:p>
            <w:r/>
            <w:r>
              <w:rPr>
                <w:sz w:val="20"/>
              </w:rPr>
              <w:t>~4% of float; second consecutive large NCIB</w:t>
            </w:r>
          </w:p>
        </w:tc>
      </w:tr>
      <w:tr>
        <w:tc>
          <w:tcPr>
            <w:tcW w:type="dxa" w:w="2448"/>
          </w:tcPr>
          <w:p>
            <w:r/>
            <w:r>
              <w:rPr>
                <w:sz w:val="20"/>
              </w:rPr>
              <w:t>Capex</w:t>
            </w:r>
          </w:p>
        </w:tc>
        <w:tc>
          <w:tcPr>
            <w:tcW w:type="dxa" w:w="2160"/>
          </w:tcPr>
          <w:p>
            <w:r/>
            <w:r>
              <w:rPr>
                <w:sz w:val="20"/>
              </w:rPr>
              <w:t>C$3,658M (21% of revenue)</w:t>
            </w:r>
          </w:p>
        </w:tc>
        <w:tc>
          <w:tcPr>
            <w:tcW w:type="dxa" w:w="2448"/>
          </w:tcPr>
          <w:p>
            <w:r/>
            <w:r>
              <w:rPr>
                <w:sz w:val="20"/>
              </w:rPr>
              <w:t>C$439M</w:t>
            </w:r>
          </w:p>
        </w:tc>
        <w:tc>
          <w:tcPr>
            <w:tcW w:type="dxa" w:w="2880"/>
          </w:tcPr>
          <w:p>
            <w:r/>
            <w:r>
              <w:rPr>
                <w:sz w:val="20"/>
              </w:rPr>
              <w:t>FY 2026 guide C$2.8B (–C$500M from FY 2025) — material capex reduction</w:t>
            </w:r>
          </w:p>
        </w:tc>
      </w:tr>
      <w:tr>
        <w:tc>
          <w:tcPr>
            <w:tcW w:type="dxa" w:w="2448"/>
          </w:tcPr>
          <w:p>
            <w:r/>
            <w:r>
              <w:rPr>
                <w:sz w:val="20"/>
              </w:rPr>
              <w:t>M&amp;A</w:t>
            </w:r>
          </w:p>
        </w:tc>
        <w:tc>
          <w:tcPr>
            <w:tcW w:type="dxa" w:w="2160"/>
          </w:tcPr>
          <w:p>
            <w:r/>
            <w:r>
              <w:rPr>
                <w:sz w:val="20"/>
              </w:rPr>
              <w:t>—</w:t>
            </w:r>
          </w:p>
        </w:tc>
        <w:tc>
          <w:tcPr>
            <w:tcW w:type="dxa" w:w="2448"/>
          </w:tcPr>
          <w:p>
            <w:r/>
            <w:r>
              <w:rPr>
                <w:sz w:val="20"/>
              </w:rPr>
              <w:t>—</w:t>
            </w:r>
          </w:p>
        </w:tc>
        <w:tc>
          <w:tcPr>
            <w:tcW w:type="dxa" w:w="2880"/>
          </w:tcPr>
          <w:p>
            <w:r/>
            <w:r>
              <w:rPr>
                <w:sz w:val="20"/>
              </w:rPr>
              <w:t>None pending; CN actively opposing UP/NS</w:t>
            </w:r>
          </w:p>
        </w:tc>
      </w:tr>
    </w:tbl>
    <w:p>
      <w:pPr>
        <w:spacing w:after="80"/>
      </w:pPr>
      <w:r>
        <w:rPr>
          <w:b w:val="0"/>
          <w:i w:val="0"/>
          <w:sz w:val="22"/>
        </w:rPr>
        <w:t>CEO: Tracy Robinson (appointed Feb 2022), formerly TC Energy executive — operations-focused, hands-on. The post-2023 era has been characterized by cost discipline, productivity gains (best Q1 employee productivity in five years), and shareholder-friendly capital allocation. The workforce reduction program booked in Q4 2025 (C$34M severance) signals a willingness to right-size in a softer volume environment.</w:t>
      </w:r>
    </w:p>
    <w:p>
      <w:pPr>
        <w:spacing w:after="80"/>
      </w:pPr>
      <w:r>
        <w:rPr>
          <w:b/>
          <w:i w:val="0"/>
          <w:sz w:val="22"/>
        </w:rPr>
        <w:t>Governance flags:</w:t>
      </w:r>
    </w:p>
    <w:p>
      <w:pPr>
        <w:pStyle w:val="ListBullet"/>
        <w:spacing w:after="40"/>
      </w:pPr>
      <w:r>
        <w:t>Capital allocation is consistent and shareholder-aligned: dividends (modest growth), buybacks (large), capex (declining moderately).</w:t>
      </w:r>
    </w:p>
    <w:p>
      <w:pPr>
        <w:pStyle w:val="ListBullet"/>
        <w:spacing w:after="40"/>
      </w:pPr>
      <w:r>
        <w:t>Buybacks at C$137–147 averages vs. current C$158 — slightly value-accretive on a backward look, but Q1 2026 repurchases at average of C$147 are NOT a deep-value entry. Risk: continued large buybacks at premium valuations dilute shareholder ROIC.</w:t>
      </w:r>
    </w:p>
    <w:p>
      <w:pPr>
        <w:pStyle w:val="ListBullet"/>
        <w:spacing w:after="40"/>
      </w:pPr>
      <w:r>
        <w:t>No evidence of poor governance — no related-party transactions, related-issuer concerns, or auditor changes.</w:t>
      </w:r>
    </w:p>
    <w:p>
      <w:pPr>
        <w:spacing w:before="280" w:after="120"/>
      </w:pPr>
      <w:r>
        <w:rPr>
          <w:b/>
          <w:color w:val="1F3A5F"/>
          <w:sz w:val="32"/>
        </w:rPr>
        <w:t>13. Earnings Quality &amp; Forensic Accounting</w:t>
      </w:r>
    </w:p>
    <w:p>
      <w:pPr>
        <w:spacing w:after="80"/>
      </w:pPr>
      <w:r>
        <w:rPr>
          <w:b w:val="0"/>
          <w:i w:val="0"/>
          <w:sz w:val="22"/>
        </w:rPr>
        <w:t>Quality of earnings is high, with several positive indicators:</w:t>
      </w:r>
    </w:p>
    <w:p>
      <w:pPr>
        <w:pStyle w:val="ListBullet"/>
        <w:spacing w:after="40"/>
      </w:pPr>
      <w:r>
        <w:t>GAAP vs. adjusted EPS converge: FY 2025 GAAP C$7.57 vs. adjusted C$7.63 — a 1% gap, well within normal range.</w:t>
      </w:r>
    </w:p>
    <w:p>
      <w:pPr>
        <w:pStyle w:val="ListBullet"/>
        <w:spacing w:after="40"/>
      </w:pPr>
      <w:r>
        <w:t>Adjustments are clean, narrowly defined, and disclosed: workforce reduction (C$34M), advisory costs related to UP/NS opposition (C$15M), loss on disposal of Quebec Bridge transfer (FY 2024 only).</w:t>
      </w:r>
    </w:p>
    <w:p>
      <w:pPr>
        <w:pStyle w:val="ListBullet"/>
        <w:spacing w:after="40"/>
      </w:pPr>
      <w:r>
        <w:t>Cash conversion (FCF / NI) of 70.7% in FY 2025 is reasonable for a capex-heavy infrastructure business.</w:t>
      </w:r>
    </w:p>
    <w:p>
      <w:pPr>
        <w:pStyle w:val="ListBullet"/>
        <w:spacing w:after="40"/>
      </w:pPr>
      <w:r>
        <w:t>Accruals quality: no material increase in DSO (accounts receivable down YoY to C$1,117M); no inventory build (materials &amp; supplies stable at C$734M).</w:t>
      </w:r>
    </w:p>
    <w:p>
      <w:pPr>
        <w:pStyle w:val="ListBullet"/>
        <w:spacing w:after="40"/>
      </w:pPr>
      <w:r>
        <w:t>Tax rate: FY 2025 effective rate ~24.6%, consistent with prior years; no unusual tax-benefit games.</w:t>
      </w:r>
    </w:p>
    <w:p>
      <w:pPr>
        <w:pStyle w:val="ListBullet"/>
        <w:spacing w:after="40"/>
      </w:pPr>
      <w:r>
        <w:t>Pension is in a net-asset position (C$5,362M) — net periodic benefit income of C$502M FY 2025 (a non-cash P&amp;L tailwind) is sizable but not unusual for the industry; track if pension discount rates fall and this benefit narrows.</w:t>
      </w:r>
    </w:p>
    <w:p>
      <w:pPr>
        <w:spacing w:after="80"/>
      </w:pPr>
      <w:r>
        <w:rPr>
          <w:b/>
          <w:i w:val="0"/>
          <w:sz w:val="22"/>
        </w:rPr>
        <w:t>Forensic notes:</w:t>
      </w:r>
    </w:p>
    <w:p>
      <w:pPr>
        <w:pStyle w:val="ListBullet"/>
        <w:spacing w:after="40"/>
      </w:pPr>
      <w:r>
        <w:t>No revenue-recognition aggressiveness (railroad revenue is transactional / volumetric).</w:t>
      </w:r>
    </w:p>
    <w:p>
      <w:pPr>
        <w:pStyle w:val="ListBullet"/>
        <w:spacing w:after="40"/>
      </w:pPr>
      <w:r>
        <w:t>No goodwill impairment risk — intangibles, goodwill, and other of just C$523M (Dec 31, 2025).</w:t>
      </w:r>
    </w:p>
    <w:p>
      <w:pPr>
        <w:pStyle w:val="ListBullet"/>
        <w:spacing w:after="40"/>
      </w:pPr>
      <w:r>
        <w:t>No off-balance-sheet financing of material size.</w:t>
      </w:r>
    </w:p>
    <w:p>
      <w:pPr>
        <w:spacing w:before="280" w:after="120"/>
      </w:pPr>
      <w:r>
        <w:rPr>
          <w:b/>
          <w:color w:val="1F3A5F"/>
          <w:sz w:val="32"/>
        </w:rPr>
        <w:t>14. Macro, Sector &amp; External Risks</w:t>
      </w:r>
    </w:p>
    <w:p>
      <w:pPr>
        <w:pStyle w:val="ListBullet"/>
        <w:spacing w:after="40"/>
      </w:pPr>
      <w:r>
        <w:t>Trade &amp; tariffs: The single largest near-term external risk. Tariffs and trade tensions (US/Canada, US/China, US/Mexico) directly hit forest products, metals, coal, and automotive volumes. Management explicitly cites "heightened demand risk as a result of volatile macroeconomic conditions and global trade tensions."</w:t>
      </w:r>
    </w:p>
    <w:p>
      <w:pPr>
        <w:pStyle w:val="ListBullet"/>
        <w:spacing w:after="40"/>
      </w:pPr>
      <w:r>
        <w:t>Rail consolidation: STB ruling on UP/NS merger completeness expected ~May 30, 2026. A full merits review (12–18 months) follows. Outcome shapes 2027+ structural competitive landscape.</w:t>
      </w:r>
    </w:p>
    <w:p>
      <w:pPr>
        <w:pStyle w:val="ListBullet"/>
        <w:spacing w:after="40"/>
      </w:pPr>
      <w:r>
        <w:t>Fuel: WTI assumption raised to US$80–110 in Q1 2026 guidance (from US$60–70 in January). Higher fuel cost ultimately passes through via surcharges with a lag.</w:t>
      </w:r>
    </w:p>
    <w:p>
      <w:pPr>
        <w:pStyle w:val="ListBullet"/>
        <w:spacing w:after="40"/>
      </w:pPr>
      <w:r>
        <w:t>FX: CN now assumes USD/CAD of 0.73 (vs. 0.715 in January). A weaker CAD = tailwind on USD-denominated revenue (~30% of total).</w:t>
      </w:r>
    </w:p>
    <w:p>
      <w:pPr>
        <w:pStyle w:val="ListBullet"/>
        <w:spacing w:after="40"/>
      </w:pPr>
      <w:r>
        <w:t>Industrial production / housing: Weak North American IP and housing starts → soft intermodal and forest demand. CN signaled 2026 outlook for limited volume growth.</w:t>
      </w:r>
    </w:p>
    <w:p>
      <w:pPr>
        <w:pStyle w:val="ListBullet"/>
        <w:spacing w:after="40"/>
      </w:pPr>
      <w:r>
        <w:t>Labor: A labor dispute resolved in mid-March 2026 leaves residual catch-up costs and service-metric concerns. Longer term, labor cost inflation remains a structural pressure.</w:t>
      </w:r>
    </w:p>
    <w:p>
      <w:pPr>
        <w:pStyle w:val="ListBullet"/>
        <w:spacing w:after="40"/>
      </w:pPr>
      <w:r>
        <w:t>Climate / weather: Winter conditions hurt Q1 2026 OR. Climate-related disruptions (wildfires, flooding) are episodic but recurring.</w:t>
      </w:r>
    </w:p>
    <w:p>
      <w:pPr>
        <w:pStyle w:val="ListBullet"/>
        <w:spacing w:after="40"/>
      </w:pPr>
      <w:r>
        <w:t>Regulation: Canadian rail policy (extended interswitching, level-of-service complaints) and U.S. STB rulings are continual policy risks.</w:t>
      </w:r>
    </w:p>
    <w:p>
      <w:pPr>
        <w:spacing w:before="280" w:after="120"/>
      </w:pPr>
      <w:r>
        <w:rPr>
          <w:b/>
          <w:color w:val="1F3A5F"/>
          <w:sz w:val="32"/>
        </w:rPr>
        <w:t>15. Historical Price &amp; Volatility</w:t>
      </w:r>
    </w:p>
    <w:p>
      <w:pPr>
        <w:pStyle w:val="ListBullet"/>
        <w:spacing w:after="40"/>
      </w:pPr>
      <w:r>
        <w:t>52-week range: C$126.11 – C$159.08; current C$157.79 — trading within 1% of 52-week high.</w:t>
      </w:r>
    </w:p>
    <w:p>
      <w:pPr>
        <w:pStyle w:val="ListBullet"/>
        <w:spacing w:after="40"/>
      </w:pPr>
      <w:r>
        <w:t>Long-term: CNR.TO has historically compounded ~10–12% annually (price + dividend) over multi-decade periods.</w:t>
      </w:r>
    </w:p>
    <w:p>
      <w:pPr>
        <w:pStyle w:val="ListBullet"/>
        <w:spacing w:after="40"/>
      </w:pPr>
      <w:r>
        <w:t>Beta: ~0.8–0.9 (defensive vs. TSX broad).</w:t>
      </w:r>
    </w:p>
    <w:p>
      <w:pPr>
        <w:pStyle w:val="ListBullet"/>
        <w:spacing w:after="40"/>
      </w:pPr>
      <w:r>
        <w:t>Drawdown profile: cyclical drawdowns of 20–30% in 2008, 2015–16, 2020, and 2022 — recoveries within 12–24 months given the franchise quality.</w:t>
      </w:r>
    </w:p>
    <w:p>
      <w:pPr>
        <w:pStyle w:val="ListBullet"/>
        <w:spacing w:after="40"/>
      </w:pPr>
      <w:r>
        <w:t>Recent context: Stock rebounded sharply from sub-C$130 trough (late 2024) on tariff de-escalation hopes, grain strength, and continued buybacks.</w:t>
      </w:r>
    </w:p>
    <w:p>
      <w:pPr>
        <w:spacing w:before="280" w:after="120"/>
      </w:pPr>
      <w:r>
        <w:rPr>
          <w:b/>
          <w:color w:val="1F3A5F"/>
          <w:sz w:val="32"/>
        </w:rPr>
        <w:t>16. Trading / Timing Context</w:t>
      </w:r>
    </w:p>
    <w:p>
      <w:pPr>
        <w:spacing w:after="80"/>
      </w:pPr>
      <w:r>
        <w:rPr>
          <w:b w:val="0"/>
          <w:i/>
          <w:sz w:val="22"/>
        </w:rPr>
        <w:t>(Note: weight in final verdict ≤5%, per framework rules — timing must not override fundamentals.)</w:t>
      </w:r>
    </w:p>
    <w:p>
      <w:pPr>
        <w:pStyle w:val="ListBullet"/>
        <w:spacing w:after="40"/>
      </w:pPr>
      <w:r>
        <w:t>Technical: trading within 1% of 52-week high; momentum is positive but stretched.</w:t>
      </w:r>
    </w:p>
    <w:p>
      <w:pPr>
        <w:pStyle w:val="ListBullet"/>
        <w:spacing w:after="40"/>
      </w:pPr>
      <w:r>
        <w:t>Sentiment: analyst consensus is "Moderate Buy" with TSX targets ~C$157–164 (median); some range up to C$296 (outlier) and down to C$132.</w:t>
      </w:r>
    </w:p>
    <w:p>
      <w:pPr>
        <w:pStyle w:val="ListBullet"/>
        <w:spacing w:after="40"/>
      </w:pPr>
      <w:r>
        <w:t>Catalysts pending: STB ruling on UP/NS merger application completeness (~May 30, 2026); Q2 2026 earnings (late July 2026); 2027 grain crop outlook.</w:t>
      </w:r>
    </w:p>
    <w:p>
      <w:pPr>
        <w:pStyle w:val="ListBullet"/>
        <w:spacing w:after="40"/>
      </w:pPr>
      <w:r>
        <w:t>Implication: from a pure-timing perspective, this is not a high-conviction entry zone. Many of the positives (operational improvement, FCF growth, buybacks) are already in the price.</w:t>
      </w:r>
    </w:p>
    <w:p>
      <w:pPr>
        <w:spacing w:before="280" w:after="120"/>
      </w:pPr>
      <w:r>
        <w:rPr>
          <w:b/>
          <w:color w:val="1F3A5F"/>
          <w:sz w:val="32"/>
        </w:rPr>
        <w:t>17. Valuation vs. Expected Return</w:t>
      </w:r>
    </w:p>
    <w:tbl>
      <w:tblPr>
        <w:tblStyle w:val="LightGrid-Accent1"/>
        <w:tblW w:type="auto" w:w="0"/>
        <w:tblLook w:firstColumn="1" w:firstRow="1" w:lastColumn="0" w:lastRow="0" w:noHBand="0" w:noVBand="1" w:val="04A0"/>
      </w:tblPr>
      <w:tblGrid>
        <w:gridCol w:w="2412"/>
        <w:gridCol w:w="2412"/>
        <w:gridCol w:w="2412"/>
        <w:gridCol w:w="2412"/>
      </w:tblGrid>
      <w:tr>
        <w:tc>
          <w:tcPr>
            <w:tcW w:type="dxa" w:w="3312"/>
            <w:vAlign w:val="center"/>
          </w:tcPr>
          <w:p>
            <w:r/>
            <w:r>
              <w:rPr>
                <w:b/>
                <w:sz w:val="20"/>
              </w:rPr>
              <w:t>Multiple</w:t>
            </w:r>
          </w:p>
        </w:tc>
        <w:tc>
          <w:tcPr>
            <w:tcW w:type="dxa" w:w="2016"/>
            <w:vAlign w:val="center"/>
          </w:tcPr>
          <w:p>
            <w:r/>
            <w:r>
              <w:rPr>
                <w:b/>
                <w:sz w:val="20"/>
              </w:rPr>
              <w:t>Current</w:t>
            </w:r>
          </w:p>
        </w:tc>
        <w:tc>
          <w:tcPr>
            <w:tcW w:type="dxa" w:w="2448"/>
            <w:vAlign w:val="center"/>
          </w:tcPr>
          <w:p>
            <w:r/>
            <w:r>
              <w:rPr>
                <w:b/>
                <w:sz w:val="20"/>
              </w:rPr>
              <w:t>5-yr historical avg</w:t>
            </w:r>
          </w:p>
        </w:tc>
        <w:tc>
          <w:tcPr>
            <w:tcW w:type="dxa" w:w="2304"/>
            <w:vAlign w:val="center"/>
          </w:tcPr>
          <w:p>
            <w:r/>
            <w:r>
              <w:rPr>
                <w:b/>
                <w:sz w:val="20"/>
              </w:rPr>
              <w:t>Read</w:t>
            </w:r>
          </w:p>
        </w:tc>
      </w:tr>
      <w:tr>
        <w:tc>
          <w:tcPr>
            <w:tcW w:type="dxa" w:w="3312"/>
          </w:tcPr>
          <w:p>
            <w:r/>
            <w:r>
              <w:rPr>
                <w:sz w:val="20"/>
              </w:rPr>
              <w:t>P/E (TTM diluted GAAP)</w:t>
            </w:r>
          </w:p>
        </w:tc>
        <w:tc>
          <w:tcPr>
            <w:tcW w:type="dxa" w:w="2016"/>
          </w:tcPr>
          <w:p>
            <w:r/>
            <w:r>
              <w:rPr>
                <w:sz w:val="20"/>
              </w:rPr>
              <w:t>~20.8×</w:t>
            </w:r>
          </w:p>
        </w:tc>
        <w:tc>
          <w:tcPr>
            <w:tcW w:type="dxa" w:w="2448"/>
          </w:tcPr>
          <w:p>
            <w:r/>
            <w:r>
              <w:rPr>
                <w:sz w:val="20"/>
              </w:rPr>
              <w:t>~19×</w:t>
            </w:r>
          </w:p>
        </w:tc>
        <w:tc>
          <w:tcPr>
            <w:tcW w:type="dxa" w:w="2304"/>
          </w:tcPr>
          <w:p>
            <w:r/>
            <w:r>
              <w:rPr>
                <w:sz w:val="20"/>
              </w:rPr>
              <w:t>Slight premium</w:t>
            </w:r>
          </w:p>
        </w:tc>
      </w:tr>
      <w:tr>
        <w:tc>
          <w:tcPr>
            <w:tcW w:type="dxa" w:w="3312"/>
          </w:tcPr>
          <w:p>
            <w:r/>
            <w:r>
              <w:rPr>
                <w:sz w:val="20"/>
              </w:rPr>
              <w:t>P/E (TTM adj.)</w:t>
            </w:r>
          </w:p>
        </w:tc>
        <w:tc>
          <w:tcPr>
            <w:tcW w:type="dxa" w:w="2016"/>
          </w:tcPr>
          <w:p>
            <w:r/>
            <w:r>
              <w:rPr>
                <w:sz w:val="20"/>
              </w:rPr>
              <w:t>~20.8×</w:t>
            </w:r>
          </w:p>
        </w:tc>
        <w:tc>
          <w:tcPr>
            <w:tcW w:type="dxa" w:w="2448"/>
          </w:tcPr>
          <w:p>
            <w:r/>
            <w:r>
              <w:rPr>
                <w:sz w:val="20"/>
              </w:rPr>
              <w:t>~19×</w:t>
            </w:r>
          </w:p>
        </w:tc>
        <w:tc>
          <w:tcPr>
            <w:tcW w:type="dxa" w:w="2304"/>
          </w:tcPr>
          <w:p>
            <w:r/>
            <w:r>
              <w:rPr>
                <w:sz w:val="20"/>
              </w:rPr>
              <w:t>Slight premium</w:t>
            </w:r>
          </w:p>
        </w:tc>
      </w:tr>
      <w:tr>
        <w:tc>
          <w:tcPr>
            <w:tcW w:type="dxa" w:w="3312"/>
          </w:tcPr>
          <w:p>
            <w:r/>
            <w:r>
              <w:rPr>
                <w:sz w:val="20"/>
              </w:rPr>
              <w:t>P/E (forward 2026E, ~C$7.95)</w:t>
            </w:r>
          </w:p>
        </w:tc>
        <w:tc>
          <w:tcPr>
            <w:tcW w:type="dxa" w:w="2016"/>
          </w:tcPr>
          <w:p>
            <w:r/>
            <w:r>
              <w:rPr>
                <w:sz w:val="20"/>
              </w:rPr>
              <w:t>~19.9×</w:t>
            </w:r>
          </w:p>
        </w:tc>
        <w:tc>
          <w:tcPr>
            <w:tcW w:type="dxa" w:w="2448"/>
          </w:tcPr>
          <w:p>
            <w:r/>
            <w:r>
              <w:rPr>
                <w:sz w:val="20"/>
              </w:rPr>
              <w:t>~18×</w:t>
            </w:r>
          </w:p>
        </w:tc>
        <w:tc>
          <w:tcPr>
            <w:tcW w:type="dxa" w:w="2304"/>
          </w:tcPr>
          <w:p>
            <w:r/>
            <w:r>
              <w:rPr>
                <w:sz w:val="20"/>
              </w:rPr>
              <w:t>Slight premium</w:t>
            </w:r>
          </w:p>
        </w:tc>
      </w:tr>
      <w:tr>
        <w:tc>
          <w:tcPr>
            <w:tcW w:type="dxa" w:w="3312"/>
          </w:tcPr>
          <w:p>
            <w:r/>
            <w:r>
              <w:rPr>
                <w:sz w:val="20"/>
              </w:rPr>
              <w:t>EV / EBITDA (TTM adj.)</w:t>
            </w:r>
          </w:p>
        </w:tc>
        <w:tc>
          <w:tcPr>
            <w:tcW w:type="dxa" w:w="2016"/>
          </w:tcPr>
          <w:p>
            <w:r/>
            <w:r>
              <w:rPr>
                <w:sz w:val="20"/>
              </w:rPr>
              <w:t>~13.6×</w:t>
            </w:r>
          </w:p>
        </w:tc>
        <w:tc>
          <w:tcPr>
            <w:tcW w:type="dxa" w:w="2448"/>
          </w:tcPr>
          <w:p>
            <w:r/>
            <w:r>
              <w:rPr>
                <w:sz w:val="20"/>
              </w:rPr>
              <w:t>~13×</w:t>
            </w:r>
          </w:p>
        </w:tc>
        <w:tc>
          <w:tcPr>
            <w:tcW w:type="dxa" w:w="2304"/>
          </w:tcPr>
          <w:p>
            <w:r/>
            <w:r>
              <w:rPr>
                <w:sz w:val="20"/>
              </w:rPr>
              <w:t>In line</w:t>
            </w:r>
          </w:p>
        </w:tc>
      </w:tr>
      <w:tr>
        <w:tc>
          <w:tcPr>
            <w:tcW w:type="dxa" w:w="3312"/>
          </w:tcPr>
          <w:p>
            <w:r/>
            <w:r>
              <w:rPr>
                <w:sz w:val="20"/>
              </w:rPr>
              <w:t>P / FCF (TTM)</w:t>
            </w:r>
          </w:p>
        </w:tc>
        <w:tc>
          <w:tcPr>
            <w:tcW w:type="dxa" w:w="2016"/>
          </w:tcPr>
          <w:p>
            <w:r/>
            <w:r>
              <w:rPr>
                <w:sz w:val="20"/>
              </w:rPr>
              <w:t>~28.8×</w:t>
            </w:r>
          </w:p>
        </w:tc>
        <w:tc>
          <w:tcPr>
            <w:tcW w:type="dxa" w:w="2448"/>
          </w:tcPr>
          <w:p>
            <w:r/>
            <w:r>
              <w:rPr>
                <w:sz w:val="20"/>
              </w:rPr>
              <w:t>~25×</w:t>
            </w:r>
          </w:p>
        </w:tc>
        <w:tc>
          <w:tcPr>
            <w:tcW w:type="dxa" w:w="2304"/>
          </w:tcPr>
          <w:p>
            <w:r/>
            <w:r>
              <w:rPr>
                <w:sz w:val="20"/>
              </w:rPr>
              <w:t>Premium</w:t>
            </w:r>
          </w:p>
        </w:tc>
      </w:tr>
      <w:tr>
        <w:tc>
          <w:tcPr>
            <w:tcW w:type="dxa" w:w="3312"/>
          </w:tcPr>
          <w:p>
            <w:r/>
            <w:r>
              <w:rPr>
                <w:sz w:val="20"/>
              </w:rPr>
              <w:t>FCF yield</w:t>
            </w:r>
          </w:p>
        </w:tc>
        <w:tc>
          <w:tcPr>
            <w:tcW w:type="dxa" w:w="2016"/>
          </w:tcPr>
          <w:p>
            <w:r/>
            <w:r>
              <w:rPr>
                <w:sz w:val="20"/>
              </w:rPr>
              <w:t>~3.5%</w:t>
            </w:r>
          </w:p>
        </w:tc>
        <w:tc>
          <w:tcPr>
            <w:tcW w:type="dxa" w:w="2448"/>
          </w:tcPr>
          <w:p>
            <w:r/>
            <w:r>
              <w:rPr>
                <w:sz w:val="20"/>
              </w:rPr>
              <w:t>~4%</w:t>
            </w:r>
          </w:p>
        </w:tc>
        <w:tc>
          <w:tcPr>
            <w:tcW w:type="dxa" w:w="2304"/>
          </w:tcPr>
          <w:p>
            <w:r/>
            <w:r>
              <w:rPr>
                <w:sz w:val="20"/>
              </w:rPr>
              <w:t>Modestly rich</w:t>
            </w:r>
          </w:p>
        </w:tc>
      </w:tr>
      <w:tr>
        <w:tc>
          <w:tcPr>
            <w:tcW w:type="dxa" w:w="3312"/>
          </w:tcPr>
          <w:p>
            <w:r/>
            <w:r>
              <w:rPr>
                <w:sz w:val="20"/>
              </w:rPr>
              <w:t>Dividend yield (forward)</w:t>
            </w:r>
          </w:p>
        </w:tc>
        <w:tc>
          <w:tcPr>
            <w:tcW w:type="dxa" w:w="2016"/>
          </w:tcPr>
          <w:p>
            <w:r/>
            <w:r>
              <w:rPr>
                <w:sz w:val="20"/>
              </w:rPr>
              <w:t>~2.32%</w:t>
            </w:r>
          </w:p>
        </w:tc>
        <w:tc>
          <w:tcPr>
            <w:tcW w:type="dxa" w:w="2448"/>
          </w:tcPr>
          <w:p>
            <w:r/>
            <w:r>
              <w:rPr>
                <w:sz w:val="20"/>
              </w:rPr>
              <w:t>~1.7–2.0%</w:t>
            </w:r>
          </w:p>
        </w:tc>
        <w:tc>
          <w:tcPr>
            <w:tcW w:type="dxa" w:w="2304"/>
          </w:tcPr>
          <w:p>
            <w:r/>
            <w:r>
              <w:rPr>
                <w:sz w:val="20"/>
              </w:rPr>
              <w:t>Above LT avg (defensive bid)</w:t>
            </w:r>
          </w:p>
        </w:tc>
      </w:tr>
      <w:tr>
        <w:tc>
          <w:tcPr>
            <w:tcW w:type="dxa" w:w="3312"/>
          </w:tcPr>
          <w:p>
            <w:r/>
            <w:r>
              <w:rPr>
                <w:sz w:val="20"/>
              </w:rPr>
              <w:t>ROIC</w:t>
            </w:r>
          </w:p>
        </w:tc>
        <w:tc>
          <w:tcPr>
            <w:tcW w:type="dxa" w:w="2016"/>
          </w:tcPr>
          <w:p>
            <w:r/>
            <w:r>
              <w:rPr>
                <w:sz w:val="20"/>
              </w:rPr>
              <w:t>12.9%</w:t>
            </w:r>
          </w:p>
        </w:tc>
        <w:tc>
          <w:tcPr>
            <w:tcW w:type="dxa" w:w="2448"/>
          </w:tcPr>
          <w:p>
            <w:r/>
            <w:r>
              <w:rPr>
                <w:sz w:val="20"/>
              </w:rPr>
              <w:t>~15%</w:t>
            </w:r>
          </w:p>
        </w:tc>
        <w:tc>
          <w:tcPr>
            <w:tcW w:type="dxa" w:w="2304"/>
          </w:tcPr>
          <w:p>
            <w:r/>
            <w:r>
              <w:rPr>
                <w:sz w:val="20"/>
              </w:rPr>
              <w:t>Below own historical avg</w:t>
            </w:r>
          </w:p>
        </w:tc>
      </w:tr>
    </w:tbl>
    <w:p>
      <w:pPr>
        <w:spacing w:after="80"/>
      </w:pPr>
      <w:r>
        <w:rPr>
          <w:b/>
          <w:i w:val="0"/>
          <w:sz w:val="22"/>
        </w:rPr>
        <w:t>Expected return decomposition (base case, 3-year horizon):</w:t>
      </w:r>
    </w:p>
    <w:p>
      <w:pPr>
        <w:pStyle w:val="ListBullet"/>
        <w:spacing w:after="40"/>
      </w:pPr>
      <w:r>
        <w:t>Starting FCF yield: ~3.5%</w:t>
      </w:r>
    </w:p>
    <w:p>
      <w:pPr>
        <w:pStyle w:val="ListBullet"/>
        <w:spacing w:after="40"/>
      </w:pPr>
      <w:r>
        <w:t>EPS growth: ~5–7% per year (1–2% volume + 1–2% pricing + 1–2% margin + 2–3% buyback)</w:t>
      </w:r>
    </w:p>
    <w:p>
      <w:pPr>
        <w:pStyle w:val="ListBullet"/>
        <w:spacing w:after="40"/>
      </w:pPr>
      <w:r>
        <w:t>Dividend yield: ~2.3%</w:t>
      </w:r>
    </w:p>
    <w:p>
      <w:pPr>
        <w:pStyle w:val="ListBullet"/>
        <w:spacing w:after="40"/>
      </w:pPr>
      <w:r>
        <w:t>Multiple change: assume flat to slight compression (–1% per year) if growth disappoints — net –0% to –3%</w:t>
      </w:r>
    </w:p>
    <w:p>
      <w:pPr>
        <w:pStyle w:val="ListBullet"/>
        <w:spacing w:after="40"/>
      </w:pPr>
      <w:r>
        <w:t>Base-case 3-year total return (CAGR): ~6–9%. Bull case ~12% if OR improves to 60% and volumes accelerate. Bear case 0–3% if OR drifts back toward 64% and growth stalls.</w:t>
      </w:r>
    </w:p>
    <w:p>
      <w:pPr>
        <w:spacing w:before="280" w:after="120"/>
      </w:pPr>
      <w:r>
        <w:rPr>
          <w:b/>
          <w:color w:val="1F3A5F"/>
          <w:sz w:val="32"/>
        </w:rPr>
        <w:t>18. Quantitative Overlays</w:t>
      </w:r>
    </w:p>
    <w:p>
      <w:pPr>
        <w:spacing w:after="80"/>
      </w:pPr>
      <w:r>
        <w:rPr>
          <w:b w:val="0"/>
          <w:i w:val="0"/>
          <w:sz w:val="22"/>
        </w:rPr>
        <w:t>Selected quantitative red-flag scores (qualitative reasoning where exact computation isn't feasible from the disclosed data):</w:t>
      </w:r>
    </w:p>
    <w:p>
      <w:pPr>
        <w:pStyle w:val="ListBullet"/>
        <w:spacing w:after="40"/>
      </w:pPr>
      <w:r>
        <w:t>Beneish M-Score qualitative read: no red-flag signals. Days sales in receivables steady, GP margin stable, asset quality stable, depreciation rate steady, SG&amp;A steady, sales accruals stable.</w:t>
      </w:r>
    </w:p>
    <w:p>
      <w:pPr>
        <w:pStyle w:val="ListBullet"/>
        <w:spacing w:after="40"/>
      </w:pPr>
      <w:r>
        <w:t>Piotroski F-Score (estimated): ~7–8 / 9. Positive net income, positive OCF, OCF &gt; NI, ROA roughly stable, no new equity issuance, improving margin, declining shares (favorable). Leverage rising slightly (slight negative).</w:t>
      </w:r>
    </w:p>
    <w:p>
      <w:pPr>
        <w:pStyle w:val="ListBullet"/>
        <w:spacing w:after="40"/>
      </w:pPr>
      <w:r>
        <w:t>Altman Z-Score: Not directly applicable to capital-heavy regulated transport; CN's investment-grade credit profile makes it moot.</w:t>
      </w:r>
    </w:p>
    <w:p>
      <w:pPr>
        <w:spacing w:before="280" w:after="120"/>
      </w:pPr>
      <w:r>
        <w:rPr>
          <w:b/>
          <w:color w:val="1F3A5F"/>
          <w:sz w:val="32"/>
        </w:rPr>
        <w:t>19. Summary Weighted Scorecard</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3312"/>
            <w:vAlign w:val="center"/>
          </w:tcPr>
          <w:p>
            <w:r/>
            <w:r>
              <w:rPr>
                <w:b/>
                <w:sz w:val="20"/>
              </w:rPr>
              <w:t>Dimension</w:t>
            </w:r>
          </w:p>
        </w:tc>
        <w:tc>
          <w:tcPr>
            <w:tcW w:type="dxa" w:w="1008"/>
            <w:vAlign w:val="center"/>
          </w:tcPr>
          <w:p>
            <w:r/>
            <w:r>
              <w:rPr>
                <w:b/>
                <w:sz w:val="20"/>
              </w:rPr>
              <w:t>Weight</w:t>
            </w:r>
          </w:p>
        </w:tc>
        <w:tc>
          <w:tcPr>
            <w:tcW w:type="dxa" w:w="1296"/>
            <w:vAlign w:val="center"/>
          </w:tcPr>
          <w:p>
            <w:r/>
            <w:r>
              <w:rPr>
                <w:b/>
                <w:sz w:val="20"/>
              </w:rPr>
              <w:t>Score (0–10)</w:t>
            </w:r>
          </w:p>
        </w:tc>
        <w:tc>
          <w:tcPr>
            <w:tcW w:type="dxa" w:w="1296"/>
            <w:vAlign w:val="center"/>
          </w:tcPr>
          <w:p>
            <w:r/>
            <w:r>
              <w:rPr>
                <w:b/>
                <w:sz w:val="20"/>
              </w:rPr>
              <w:t>Weighted</w:t>
            </w:r>
          </w:p>
        </w:tc>
        <w:tc>
          <w:tcPr>
            <w:tcW w:type="dxa" w:w="3168"/>
            <w:vAlign w:val="center"/>
          </w:tcPr>
          <w:p>
            <w:r/>
            <w:r>
              <w:rPr>
                <w:b/>
                <w:sz w:val="20"/>
              </w:rPr>
              <w:t>Comment</w:t>
            </w:r>
          </w:p>
        </w:tc>
      </w:tr>
      <w:tr>
        <w:tc>
          <w:tcPr>
            <w:tcW w:type="dxa" w:w="3312"/>
          </w:tcPr>
          <w:p>
            <w:r/>
            <w:r>
              <w:rPr>
                <w:sz w:val="20"/>
              </w:rPr>
              <w:t>Moat / competitive position</w:t>
            </w:r>
          </w:p>
        </w:tc>
        <w:tc>
          <w:tcPr>
            <w:tcW w:type="dxa" w:w="1008"/>
          </w:tcPr>
          <w:p>
            <w:r/>
            <w:r>
              <w:rPr>
                <w:sz w:val="20"/>
              </w:rPr>
              <w:t>20%</w:t>
            </w:r>
          </w:p>
        </w:tc>
        <w:tc>
          <w:tcPr>
            <w:tcW w:type="dxa" w:w="1296"/>
          </w:tcPr>
          <w:p>
            <w:r/>
            <w:r>
              <w:rPr>
                <w:sz w:val="20"/>
              </w:rPr>
              <w:t>9</w:t>
            </w:r>
          </w:p>
        </w:tc>
        <w:tc>
          <w:tcPr>
            <w:tcW w:type="dxa" w:w="1296"/>
          </w:tcPr>
          <w:p>
            <w:r/>
            <w:r>
              <w:rPr>
                <w:sz w:val="20"/>
              </w:rPr>
              <w:t>1.80</w:t>
            </w:r>
          </w:p>
        </w:tc>
        <w:tc>
          <w:tcPr>
            <w:tcW w:type="dxa" w:w="3168"/>
          </w:tcPr>
          <w:p>
            <w:r/>
            <w:r>
              <w:rPr>
                <w:sz w:val="20"/>
              </w:rPr>
              <w:t>Tri-coastal, regulated oligopoly, near-irreplaceable assets</w:t>
            </w:r>
          </w:p>
        </w:tc>
      </w:tr>
      <w:tr>
        <w:tc>
          <w:tcPr>
            <w:tcW w:type="dxa" w:w="3312"/>
          </w:tcPr>
          <w:p>
            <w:r/>
            <w:r>
              <w:rPr>
                <w:sz w:val="20"/>
              </w:rPr>
              <w:t>P&amp;L health &amp; margin</w:t>
            </w:r>
          </w:p>
        </w:tc>
        <w:tc>
          <w:tcPr>
            <w:tcW w:type="dxa" w:w="1008"/>
          </w:tcPr>
          <w:p>
            <w:r/>
            <w:r>
              <w:rPr>
                <w:sz w:val="20"/>
              </w:rPr>
              <w:t>10%</w:t>
            </w:r>
          </w:p>
        </w:tc>
        <w:tc>
          <w:tcPr>
            <w:tcW w:type="dxa" w:w="1296"/>
          </w:tcPr>
          <w:p>
            <w:r/>
            <w:r>
              <w:rPr>
                <w:sz w:val="20"/>
              </w:rPr>
              <w:t>8</w:t>
            </w:r>
          </w:p>
        </w:tc>
        <w:tc>
          <w:tcPr>
            <w:tcW w:type="dxa" w:w="1296"/>
          </w:tcPr>
          <w:p>
            <w:r/>
            <w:r>
              <w:rPr>
                <w:sz w:val="20"/>
              </w:rPr>
              <w:t>0.80</w:t>
            </w:r>
          </w:p>
        </w:tc>
        <w:tc>
          <w:tcPr>
            <w:tcW w:type="dxa" w:w="3168"/>
          </w:tcPr>
          <w:p>
            <w:r/>
            <w:r>
              <w:rPr>
                <w:sz w:val="20"/>
              </w:rPr>
              <w:t>OR 61.9% FY '25; Q1 hiccup, weather-driven</w:t>
            </w:r>
          </w:p>
        </w:tc>
      </w:tr>
      <w:tr>
        <w:tc>
          <w:tcPr>
            <w:tcW w:type="dxa" w:w="3312"/>
          </w:tcPr>
          <w:p>
            <w:r/>
            <w:r>
              <w:rPr>
                <w:sz w:val="20"/>
              </w:rPr>
              <w:t>Cash flow / owner earnings</w:t>
            </w:r>
          </w:p>
        </w:tc>
        <w:tc>
          <w:tcPr>
            <w:tcW w:type="dxa" w:w="1008"/>
          </w:tcPr>
          <w:p>
            <w:r/>
            <w:r>
              <w:rPr>
                <w:sz w:val="20"/>
              </w:rPr>
              <w:t>10%</w:t>
            </w:r>
          </w:p>
        </w:tc>
        <w:tc>
          <w:tcPr>
            <w:tcW w:type="dxa" w:w="1296"/>
          </w:tcPr>
          <w:p>
            <w:r/>
            <w:r>
              <w:rPr>
                <w:sz w:val="20"/>
              </w:rPr>
              <w:t>8</w:t>
            </w:r>
          </w:p>
        </w:tc>
        <w:tc>
          <w:tcPr>
            <w:tcW w:type="dxa" w:w="1296"/>
          </w:tcPr>
          <w:p>
            <w:r/>
            <w:r>
              <w:rPr>
                <w:sz w:val="20"/>
              </w:rPr>
              <w:t>0.80</w:t>
            </w:r>
          </w:p>
        </w:tc>
        <w:tc>
          <w:tcPr>
            <w:tcW w:type="dxa" w:w="3168"/>
          </w:tcPr>
          <w:p>
            <w:r/>
            <w:r>
              <w:rPr>
                <w:sz w:val="20"/>
              </w:rPr>
              <w:t>FCF +8% YoY; 70% NI conversion; low SBC</w:t>
            </w:r>
          </w:p>
        </w:tc>
      </w:tr>
      <w:tr>
        <w:tc>
          <w:tcPr>
            <w:tcW w:type="dxa" w:w="3312"/>
          </w:tcPr>
          <w:p>
            <w:r/>
            <w:r>
              <w:rPr>
                <w:sz w:val="20"/>
              </w:rPr>
              <w:t>Balance sheet / liquidity</w:t>
            </w:r>
          </w:p>
        </w:tc>
        <w:tc>
          <w:tcPr>
            <w:tcW w:type="dxa" w:w="1008"/>
          </w:tcPr>
          <w:p>
            <w:r/>
            <w:r>
              <w:rPr>
                <w:sz w:val="20"/>
              </w:rPr>
              <w:t>8%</w:t>
            </w:r>
          </w:p>
        </w:tc>
        <w:tc>
          <w:tcPr>
            <w:tcW w:type="dxa" w:w="1296"/>
          </w:tcPr>
          <w:p>
            <w:r/>
            <w:r>
              <w:rPr>
                <w:sz w:val="20"/>
              </w:rPr>
              <w:t>6</w:t>
            </w:r>
          </w:p>
        </w:tc>
        <w:tc>
          <w:tcPr>
            <w:tcW w:type="dxa" w:w="1296"/>
          </w:tcPr>
          <w:p>
            <w:r/>
            <w:r>
              <w:rPr>
                <w:sz w:val="20"/>
              </w:rPr>
              <w:t>0.48</w:t>
            </w:r>
          </w:p>
        </w:tc>
        <w:tc>
          <w:tcPr>
            <w:tcW w:type="dxa" w:w="3168"/>
          </w:tcPr>
          <w:p>
            <w:r/>
            <w:r>
              <w:rPr>
                <w:sz w:val="20"/>
              </w:rPr>
              <w:t>Levered (2.65× adj debt/EBITDA), but IG; trending up</w:t>
            </w:r>
          </w:p>
        </w:tc>
      </w:tr>
      <w:tr>
        <w:tc>
          <w:tcPr>
            <w:tcW w:type="dxa" w:w="3312"/>
          </w:tcPr>
          <w:p>
            <w:r/>
            <w:r>
              <w:rPr>
                <w:sz w:val="20"/>
              </w:rPr>
              <w:t>Growth durability</w:t>
            </w:r>
          </w:p>
        </w:tc>
        <w:tc>
          <w:tcPr>
            <w:tcW w:type="dxa" w:w="1008"/>
          </w:tcPr>
          <w:p>
            <w:r/>
            <w:r>
              <w:rPr>
                <w:sz w:val="20"/>
              </w:rPr>
              <w:t>10%</w:t>
            </w:r>
          </w:p>
        </w:tc>
        <w:tc>
          <w:tcPr>
            <w:tcW w:type="dxa" w:w="1296"/>
          </w:tcPr>
          <w:p>
            <w:r/>
            <w:r>
              <w:rPr>
                <w:sz w:val="20"/>
              </w:rPr>
              <w:t>6</w:t>
            </w:r>
          </w:p>
        </w:tc>
        <w:tc>
          <w:tcPr>
            <w:tcW w:type="dxa" w:w="1296"/>
          </w:tcPr>
          <w:p>
            <w:r/>
            <w:r>
              <w:rPr>
                <w:sz w:val="20"/>
              </w:rPr>
              <w:t>0.60</w:t>
            </w:r>
          </w:p>
        </w:tc>
        <w:tc>
          <w:tcPr>
            <w:tcW w:type="dxa" w:w="3168"/>
          </w:tcPr>
          <w:p>
            <w:r/>
            <w:r>
              <w:rPr>
                <w:sz w:val="20"/>
              </w:rPr>
              <w:t>Low single-digit growth visible; cyclical headwinds</w:t>
            </w:r>
          </w:p>
        </w:tc>
      </w:tr>
      <w:tr>
        <w:tc>
          <w:tcPr>
            <w:tcW w:type="dxa" w:w="3312"/>
          </w:tcPr>
          <w:p>
            <w:r/>
            <w:r>
              <w:rPr>
                <w:sz w:val="20"/>
              </w:rPr>
              <w:t>Management &amp; capital alloc.</w:t>
            </w:r>
          </w:p>
        </w:tc>
        <w:tc>
          <w:tcPr>
            <w:tcW w:type="dxa" w:w="1008"/>
          </w:tcPr>
          <w:p>
            <w:r/>
            <w:r>
              <w:rPr>
                <w:sz w:val="20"/>
              </w:rPr>
              <w:t>8%</w:t>
            </w:r>
          </w:p>
        </w:tc>
        <w:tc>
          <w:tcPr>
            <w:tcW w:type="dxa" w:w="1296"/>
          </w:tcPr>
          <w:p>
            <w:r/>
            <w:r>
              <w:rPr>
                <w:sz w:val="20"/>
              </w:rPr>
              <w:t>7</w:t>
            </w:r>
          </w:p>
        </w:tc>
        <w:tc>
          <w:tcPr>
            <w:tcW w:type="dxa" w:w="1296"/>
          </w:tcPr>
          <w:p>
            <w:r/>
            <w:r>
              <w:rPr>
                <w:sz w:val="20"/>
              </w:rPr>
              <w:t>0.56</w:t>
            </w:r>
          </w:p>
        </w:tc>
        <w:tc>
          <w:tcPr>
            <w:tcW w:type="dxa" w:w="3168"/>
          </w:tcPr>
          <w:p>
            <w:r/>
            <w:r>
              <w:rPr>
                <w:sz w:val="20"/>
              </w:rPr>
              <w:t>Consistent dividends/buybacks; capex disciplined</w:t>
            </w:r>
          </w:p>
        </w:tc>
      </w:tr>
      <w:tr>
        <w:tc>
          <w:tcPr>
            <w:tcW w:type="dxa" w:w="3312"/>
          </w:tcPr>
          <w:p>
            <w:r/>
            <w:r>
              <w:rPr>
                <w:sz w:val="20"/>
              </w:rPr>
              <w:t>Earnings quality / forensics</w:t>
            </w:r>
          </w:p>
        </w:tc>
        <w:tc>
          <w:tcPr>
            <w:tcW w:type="dxa" w:w="1008"/>
          </w:tcPr>
          <w:p>
            <w:r/>
            <w:r>
              <w:rPr>
                <w:sz w:val="20"/>
              </w:rPr>
              <w:t>8%</w:t>
            </w:r>
          </w:p>
        </w:tc>
        <w:tc>
          <w:tcPr>
            <w:tcW w:type="dxa" w:w="1296"/>
          </w:tcPr>
          <w:p>
            <w:r/>
            <w:r>
              <w:rPr>
                <w:sz w:val="20"/>
              </w:rPr>
              <w:t>9</w:t>
            </w:r>
          </w:p>
        </w:tc>
        <w:tc>
          <w:tcPr>
            <w:tcW w:type="dxa" w:w="1296"/>
          </w:tcPr>
          <w:p>
            <w:r/>
            <w:r>
              <w:rPr>
                <w:sz w:val="20"/>
              </w:rPr>
              <w:t>0.72</w:t>
            </w:r>
          </w:p>
        </w:tc>
        <w:tc>
          <w:tcPr>
            <w:tcW w:type="dxa" w:w="3168"/>
          </w:tcPr>
          <w:p>
            <w:r/>
            <w:r>
              <w:rPr>
                <w:sz w:val="20"/>
              </w:rPr>
              <w:t>Clean adjustments, no flags, stable accruals</w:t>
            </w:r>
          </w:p>
        </w:tc>
      </w:tr>
      <w:tr>
        <w:tc>
          <w:tcPr>
            <w:tcW w:type="dxa" w:w="3312"/>
          </w:tcPr>
          <w:p>
            <w:r/>
            <w:r>
              <w:rPr>
                <w:sz w:val="20"/>
              </w:rPr>
              <w:t>Macro / external risk</w:t>
            </w:r>
          </w:p>
        </w:tc>
        <w:tc>
          <w:tcPr>
            <w:tcW w:type="dxa" w:w="1008"/>
          </w:tcPr>
          <w:p>
            <w:r/>
            <w:r>
              <w:rPr>
                <w:sz w:val="20"/>
              </w:rPr>
              <w:t>8%</w:t>
            </w:r>
          </w:p>
        </w:tc>
        <w:tc>
          <w:tcPr>
            <w:tcW w:type="dxa" w:w="1296"/>
          </w:tcPr>
          <w:p>
            <w:r/>
            <w:r>
              <w:rPr>
                <w:sz w:val="20"/>
              </w:rPr>
              <w:t>5</w:t>
            </w:r>
          </w:p>
        </w:tc>
        <w:tc>
          <w:tcPr>
            <w:tcW w:type="dxa" w:w="1296"/>
          </w:tcPr>
          <w:p>
            <w:r/>
            <w:r>
              <w:rPr>
                <w:sz w:val="20"/>
              </w:rPr>
              <w:t>0.40</w:t>
            </w:r>
          </w:p>
        </w:tc>
        <w:tc>
          <w:tcPr>
            <w:tcW w:type="dxa" w:w="3168"/>
          </w:tcPr>
          <w:p>
            <w:r/>
            <w:r>
              <w:rPr>
                <w:sz w:val="20"/>
              </w:rPr>
              <w:t>Tariffs, UP/NS merger, labor — meaningful overhang</w:t>
            </w:r>
          </w:p>
        </w:tc>
      </w:tr>
      <w:tr>
        <w:tc>
          <w:tcPr>
            <w:tcW w:type="dxa" w:w="3312"/>
          </w:tcPr>
          <w:p>
            <w:r/>
            <w:r>
              <w:rPr>
                <w:sz w:val="20"/>
              </w:rPr>
              <w:t>Valuation vs. expected return</w:t>
            </w:r>
          </w:p>
        </w:tc>
        <w:tc>
          <w:tcPr>
            <w:tcW w:type="dxa" w:w="1008"/>
          </w:tcPr>
          <w:p>
            <w:r/>
            <w:r>
              <w:rPr>
                <w:sz w:val="20"/>
              </w:rPr>
              <w:t>13%</w:t>
            </w:r>
          </w:p>
        </w:tc>
        <w:tc>
          <w:tcPr>
            <w:tcW w:type="dxa" w:w="1296"/>
          </w:tcPr>
          <w:p>
            <w:r/>
            <w:r>
              <w:rPr>
                <w:sz w:val="20"/>
              </w:rPr>
              <w:t>5</w:t>
            </w:r>
          </w:p>
        </w:tc>
        <w:tc>
          <w:tcPr>
            <w:tcW w:type="dxa" w:w="1296"/>
          </w:tcPr>
          <w:p>
            <w:r/>
            <w:r>
              <w:rPr>
                <w:sz w:val="20"/>
              </w:rPr>
              <w:t>0.65</w:t>
            </w:r>
          </w:p>
        </w:tc>
        <w:tc>
          <w:tcPr>
            <w:tcW w:type="dxa" w:w="3168"/>
          </w:tcPr>
          <w:p>
            <w:r/>
            <w:r>
              <w:rPr>
                <w:sz w:val="20"/>
              </w:rPr>
              <w:t>Near 52-w high; ~20× fwd P/E; ~6–9% base-case TR</w:t>
            </w:r>
          </w:p>
        </w:tc>
      </w:tr>
      <w:tr>
        <w:tc>
          <w:tcPr>
            <w:tcW w:type="dxa" w:w="3312"/>
          </w:tcPr>
          <w:p>
            <w:r/>
            <w:r>
              <w:rPr>
                <w:sz w:val="20"/>
              </w:rPr>
              <w:t>Catalysts / timing</w:t>
            </w:r>
          </w:p>
        </w:tc>
        <w:tc>
          <w:tcPr>
            <w:tcW w:type="dxa" w:w="1008"/>
          </w:tcPr>
          <w:p>
            <w:r/>
            <w:r>
              <w:rPr>
                <w:sz w:val="20"/>
              </w:rPr>
              <w:t>3%</w:t>
            </w:r>
          </w:p>
        </w:tc>
        <w:tc>
          <w:tcPr>
            <w:tcW w:type="dxa" w:w="1296"/>
          </w:tcPr>
          <w:p>
            <w:r/>
            <w:r>
              <w:rPr>
                <w:sz w:val="20"/>
              </w:rPr>
              <w:t>5</w:t>
            </w:r>
          </w:p>
        </w:tc>
        <w:tc>
          <w:tcPr>
            <w:tcW w:type="dxa" w:w="1296"/>
          </w:tcPr>
          <w:p>
            <w:r/>
            <w:r>
              <w:rPr>
                <w:sz w:val="20"/>
              </w:rPr>
              <w:t>0.15</w:t>
            </w:r>
          </w:p>
        </w:tc>
        <w:tc>
          <w:tcPr>
            <w:tcW w:type="dxa" w:w="3168"/>
          </w:tcPr>
          <w:p>
            <w:r/>
            <w:r>
              <w:rPr>
                <w:sz w:val="20"/>
              </w:rPr>
              <w:t>STB ruling, Q2 earnings — mixed-direction risk</w:t>
            </w:r>
          </w:p>
        </w:tc>
      </w:tr>
      <w:tr>
        <w:tc>
          <w:tcPr>
            <w:tcW w:type="dxa" w:w="3312"/>
          </w:tcPr>
          <w:p>
            <w:r/>
            <w:r>
              <w:rPr>
                <w:sz w:val="20"/>
              </w:rPr>
              <w:t>Position sizing fit</w:t>
            </w:r>
          </w:p>
        </w:tc>
        <w:tc>
          <w:tcPr>
            <w:tcW w:type="dxa" w:w="1008"/>
          </w:tcPr>
          <w:p>
            <w:r/>
            <w:r>
              <w:rPr>
                <w:sz w:val="20"/>
              </w:rPr>
              <w:t>2%</w:t>
            </w:r>
          </w:p>
        </w:tc>
        <w:tc>
          <w:tcPr>
            <w:tcW w:type="dxa" w:w="1296"/>
          </w:tcPr>
          <w:p>
            <w:r/>
            <w:r>
              <w:rPr>
                <w:sz w:val="20"/>
              </w:rPr>
              <w:t>7</w:t>
            </w:r>
          </w:p>
        </w:tc>
        <w:tc>
          <w:tcPr>
            <w:tcW w:type="dxa" w:w="1296"/>
          </w:tcPr>
          <w:p>
            <w:r/>
            <w:r>
              <w:rPr>
                <w:sz w:val="20"/>
              </w:rPr>
              <w:t>0.14</w:t>
            </w:r>
          </w:p>
        </w:tc>
        <w:tc>
          <w:tcPr>
            <w:tcW w:type="dxa" w:w="3168"/>
          </w:tcPr>
          <w:p>
            <w:r/>
            <w:r>
              <w:rPr>
                <w:sz w:val="20"/>
              </w:rPr>
              <w:t>Suitable defensive-growth core position</w:t>
            </w:r>
          </w:p>
        </w:tc>
      </w:tr>
    </w:tbl>
    <w:p>
      <w:pPr>
        <w:spacing w:after="80"/>
      </w:pPr>
      <w:r>
        <w:rPr>
          <w:b/>
          <w:i w:val="0"/>
          <w:sz w:val="22"/>
        </w:rPr>
        <w:t>Composite score: ~7.1 / 10. Quality A; valuation B–; macro C+. The franchise is excellent; the price is fair-to-rich; the macro is a clear overhang.</w:t>
      </w:r>
    </w:p>
    <w:p>
      <w:pPr>
        <w:spacing w:before="280" w:after="120"/>
      </w:pPr>
      <w:r>
        <w:rPr>
          <w:b/>
          <w:color w:val="1F3A5F"/>
          <w:sz w:val="32"/>
        </w:rPr>
        <w:t>20. Entry Price / Margin of Safety</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3312"/>
            <w:vAlign w:val="center"/>
          </w:tcPr>
          <w:p>
            <w:r/>
            <w:r>
              <w:rPr>
                <w:b/>
                <w:sz w:val="20"/>
              </w:rPr>
              <w:t>Scenario</w:t>
            </w:r>
          </w:p>
        </w:tc>
        <w:tc>
          <w:tcPr>
            <w:tcW w:type="dxa" w:w="2016"/>
            <w:vAlign w:val="center"/>
          </w:tcPr>
          <w:p>
            <w:r/>
            <w:r>
              <w:rPr>
                <w:b/>
                <w:sz w:val="20"/>
              </w:rPr>
              <w:t>Entry P/E (fwd)</w:t>
            </w:r>
          </w:p>
        </w:tc>
        <w:tc>
          <w:tcPr>
            <w:tcW w:type="dxa" w:w="2448"/>
            <w:vAlign w:val="center"/>
          </w:tcPr>
          <w:p>
            <w:r/>
            <w:r>
              <w:rPr>
                <w:b/>
                <w:sz w:val="20"/>
              </w:rPr>
              <w:t>EPS assumption (C$)</w:t>
            </w:r>
          </w:p>
        </w:tc>
        <w:tc>
          <w:tcPr>
            <w:tcW w:type="dxa" w:w="2448"/>
            <w:vAlign w:val="center"/>
          </w:tcPr>
          <w:p>
            <w:r/>
            <w:r>
              <w:rPr>
                <w:b/>
                <w:sz w:val="20"/>
              </w:rPr>
              <w:t>Target entry (C$)</w:t>
            </w:r>
          </w:p>
        </w:tc>
        <w:tc>
          <w:tcPr>
            <w:tcW w:type="dxa" w:w="1872"/>
            <w:vAlign w:val="center"/>
          </w:tcPr>
          <w:p>
            <w:r/>
            <w:r>
              <w:rPr>
                <w:b/>
                <w:sz w:val="20"/>
              </w:rPr>
              <w:t>% vs current</w:t>
            </w:r>
          </w:p>
        </w:tc>
      </w:tr>
      <w:tr>
        <w:tc>
          <w:tcPr>
            <w:tcW w:type="dxa" w:w="3312"/>
          </w:tcPr>
          <w:p>
            <w:r/>
            <w:r>
              <w:rPr>
                <w:sz w:val="20"/>
              </w:rPr>
              <w:t>Aggressive (buy now)</w:t>
            </w:r>
          </w:p>
        </w:tc>
        <w:tc>
          <w:tcPr>
            <w:tcW w:type="dxa" w:w="2016"/>
          </w:tcPr>
          <w:p>
            <w:r/>
            <w:r>
              <w:rPr>
                <w:sz w:val="20"/>
              </w:rPr>
              <w:t>~20×</w:t>
            </w:r>
          </w:p>
        </w:tc>
        <w:tc>
          <w:tcPr>
            <w:tcW w:type="dxa" w:w="2448"/>
          </w:tcPr>
          <w:p>
            <w:r/>
            <w:r>
              <w:rPr>
                <w:sz w:val="20"/>
              </w:rPr>
              <w:t>7.95</w:t>
            </w:r>
          </w:p>
        </w:tc>
        <w:tc>
          <w:tcPr>
            <w:tcW w:type="dxa" w:w="2448"/>
          </w:tcPr>
          <w:p>
            <w:r/>
            <w:r>
              <w:rPr>
                <w:sz w:val="20"/>
              </w:rPr>
              <w:t>~158</w:t>
            </w:r>
          </w:p>
        </w:tc>
        <w:tc>
          <w:tcPr>
            <w:tcW w:type="dxa" w:w="1872"/>
          </w:tcPr>
          <w:p>
            <w:r/>
            <w:r>
              <w:rPr>
                <w:sz w:val="20"/>
              </w:rPr>
              <w:t>~0%</w:t>
            </w:r>
          </w:p>
        </w:tc>
      </w:tr>
      <w:tr>
        <w:tc>
          <w:tcPr>
            <w:tcW w:type="dxa" w:w="3312"/>
          </w:tcPr>
          <w:p>
            <w:r/>
            <w:r>
              <w:rPr>
                <w:sz w:val="20"/>
              </w:rPr>
              <w:t>Disciplined (LT avg)</w:t>
            </w:r>
          </w:p>
        </w:tc>
        <w:tc>
          <w:tcPr>
            <w:tcW w:type="dxa" w:w="2016"/>
          </w:tcPr>
          <w:p>
            <w:r/>
            <w:r>
              <w:rPr>
                <w:sz w:val="20"/>
              </w:rPr>
              <w:t>~18×</w:t>
            </w:r>
          </w:p>
        </w:tc>
        <w:tc>
          <w:tcPr>
            <w:tcW w:type="dxa" w:w="2448"/>
          </w:tcPr>
          <w:p>
            <w:r/>
            <w:r>
              <w:rPr>
                <w:sz w:val="20"/>
              </w:rPr>
              <w:t>7.95</w:t>
            </w:r>
          </w:p>
        </w:tc>
        <w:tc>
          <w:tcPr>
            <w:tcW w:type="dxa" w:w="2448"/>
          </w:tcPr>
          <w:p>
            <w:r/>
            <w:r>
              <w:rPr>
                <w:sz w:val="20"/>
              </w:rPr>
              <w:t>~143</w:t>
            </w:r>
          </w:p>
        </w:tc>
        <w:tc>
          <w:tcPr>
            <w:tcW w:type="dxa" w:w="1872"/>
          </w:tcPr>
          <w:p>
            <w:r/>
            <w:r>
              <w:rPr>
                <w:sz w:val="20"/>
              </w:rPr>
              <w:t>–9%</w:t>
            </w:r>
          </w:p>
        </w:tc>
      </w:tr>
      <w:tr>
        <w:tc>
          <w:tcPr>
            <w:tcW w:type="dxa" w:w="3312"/>
          </w:tcPr>
          <w:p>
            <w:r/>
            <w:r>
              <w:rPr>
                <w:sz w:val="20"/>
              </w:rPr>
              <w:t>Conservative (margin of safety)</w:t>
            </w:r>
          </w:p>
        </w:tc>
        <w:tc>
          <w:tcPr>
            <w:tcW w:type="dxa" w:w="2016"/>
          </w:tcPr>
          <w:p>
            <w:r/>
            <w:r>
              <w:rPr>
                <w:sz w:val="20"/>
              </w:rPr>
              <w:t>~16×</w:t>
            </w:r>
          </w:p>
        </w:tc>
        <w:tc>
          <w:tcPr>
            <w:tcW w:type="dxa" w:w="2448"/>
          </w:tcPr>
          <w:p>
            <w:r/>
            <w:r>
              <w:rPr>
                <w:sz w:val="20"/>
              </w:rPr>
              <w:t>7.85</w:t>
            </w:r>
          </w:p>
        </w:tc>
        <w:tc>
          <w:tcPr>
            <w:tcW w:type="dxa" w:w="2448"/>
          </w:tcPr>
          <w:p>
            <w:r/>
            <w:r>
              <w:rPr>
                <w:sz w:val="20"/>
              </w:rPr>
              <w:t>~126</w:t>
            </w:r>
          </w:p>
        </w:tc>
        <w:tc>
          <w:tcPr>
            <w:tcW w:type="dxa" w:w="1872"/>
          </w:tcPr>
          <w:p>
            <w:r/>
            <w:r>
              <w:rPr>
                <w:sz w:val="20"/>
              </w:rPr>
              <w:t>–20%</w:t>
            </w:r>
          </w:p>
        </w:tc>
      </w:tr>
    </w:tbl>
    <w:p>
      <w:pPr>
        <w:spacing w:after="80"/>
      </w:pPr>
      <w:r>
        <w:rPr>
          <w:b/>
          <w:i w:val="0"/>
          <w:sz w:val="22"/>
        </w:rPr>
        <w:t>Recommended entry framework:</w:t>
      </w:r>
    </w:p>
    <w:p>
      <w:pPr>
        <w:pStyle w:val="ListBullet"/>
        <w:spacing w:after="40"/>
      </w:pPr>
      <w:r>
        <w:t>Accumulate in tranches between C$135–145 (10–14% pullback) for a full-position build.</w:t>
      </w:r>
    </w:p>
    <w:p>
      <w:pPr>
        <w:pStyle w:val="ListBullet"/>
        <w:spacing w:after="40"/>
      </w:pPr>
      <w:r>
        <w:t>Initial starter position acceptable at current levels (~3% of intended full size) only as a quality-anchor.</w:t>
      </w:r>
    </w:p>
    <w:p>
      <w:pPr>
        <w:pStyle w:val="ListBullet"/>
        <w:spacing w:after="40"/>
      </w:pPr>
      <w:r>
        <w:t>Avoid chasing above C$160 absent a fundamental upside surprise (e.g., UP/NS rejected, tariffs resolved, OR back to &lt;60%).</w:t>
      </w:r>
    </w:p>
    <w:p>
      <w:pPr>
        <w:spacing w:before="280" w:after="120"/>
      </w:pPr>
      <w:r>
        <w:rPr>
          <w:b/>
          <w:color w:val="1F3A5F"/>
          <w:sz w:val="32"/>
        </w:rPr>
        <w:t>21. Catalysts to Watch</w:t>
      </w:r>
    </w:p>
    <w:p>
      <w:pPr>
        <w:pStyle w:val="ListBullet"/>
        <w:spacing w:after="40"/>
      </w:pPr>
      <w:r>
        <w:t>STB completeness ruling on UP/NS merger application — expected on or around May 30, 2026.</w:t>
      </w:r>
    </w:p>
    <w:p>
      <w:pPr>
        <w:pStyle w:val="ListBullet"/>
        <w:spacing w:after="40"/>
      </w:pPr>
      <w:r>
        <w:t>Q2 2026 earnings (late July 2026) — watch for OR recovery to &lt;62%; intermodal trajectory; grain yield trends.</w:t>
      </w:r>
    </w:p>
    <w:p>
      <w:pPr>
        <w:pStyle w:val="ListBullet"/>
        <w:spacing w:after="40"/>
      </w:pPr>
      <w:r>
        <w:t>Tariff developments — any de-escalation of US/Canada or US/global tariffs would benefit forest, metals, autos volumes.</w:t>
      </w:r>
    </w:p>
    <w:p>
      <w:pPr>
        <w:pStyle w:val="ListBullet"/>
        <w:spacing w:after="40"/>
      </w:pPr>
      <w:r>
        <w:t>2026/2027 grain crop outlook (CN assumes in line with 5-year average; recent crops above average).</w:t>
      </w:r>
    </w:p>
    <w:p>
      <w:pPr>
        <w:pStyle w:val="ListBullet"/>
        <w:spacing w:after="40"/>
      </w:pPr>
      <w:r>
        <w:t>Capex guidance for 2027 — if CN can sustain capex below C$3B while volumes grow, FCF inflects materially higher.</w:t>
      </w:r>
    </w:p>
    <w:p>
      <w:pPr>
        <w:pStyle w:val="ListBullet"/>
        <w:spacing w:after="40"/>
      </w:pPr>
      <w:r>
        <w:t>Continued execution on the new NCIB (24M shares through Feb 2027).</w:t>
      </w:r>
    </w:p>
    <w:p>
      <w:pPr>
        <w:spacing w:before="280" w:after="120"/>
      </w:pPr>
      <w:r>
        <w:rPr>
          <w:b/>
          <w:color w:val="1F3A5F"/>
          <w:sz w:val="32"/>
        </w:rPr>
        <w:t>22. Position Sizing / Portfolio Risk Framing</w:t>
      </w:r>
    </w:p>
    <w:p>
      <w:pPr>
        <w:spacing w:after="80"/>
      </w:pPr>
      <w:r>
        <w:rPr>
          <w:b w:val="0"/>
          <w:i/>
          <w:sz w:val="22"/>
        </w:rPr>
        <w:t>(Note: weight in final verdict ≤5%, per framework rules.)</w:t>
      </w:r>
    </w:p>
    <w:p>
      <w:pPr>
        <w:pStyle w:val="ListBullet"/>
        <w:spacing w:after="40"/>
      </w:pPr>
      <w:r>
        <w:t>CN is suitable as a defensive-growth core position for a long-horizon, diversified Canadian or North American equity portfolio.</w:t>
      </w:r>
    </w:p>
    <w:p>
      <w:pPr>
        <w:pStyle w:val="ListBullet"/>
        <w:spacing w:after="40"/>
      </w:pPr>
      <w:r>
        <w:t>Suggested target weight: 2–4% in a diversified equity portfolio; up to 5% for a Canadian dividend-growth focus.</w:t>
      </w:r>
    </w:p>
    <w:p>
      <w:pPr>
        <w:pStyle w:val="ListBullet"/>
        <w:spacing w:after="40"/>
      </w:pPr>
      <w:r>
        <w:t>Risk diversification: avoid concentrated exposure to transportation cyclicals (CPKC, U.S. Class Is, trucking, logistics) when combined with CN.</w:t>
      </w:r>
    </w:p>
    <w:p>
      <w:pPr>
        <w:pStyle w:val="ListBullet"/>
        <w:spacing w:after="40"/>
      </w:pPr>
      <w:r>
        <w:t>Pairing: balances well with non-cyclical staples and software/tech for sector diversification.</w:t>
      </w:r>
    </w:p>
    <w:p>
      <w:pPr>
        <w:spacing w:before="280" w:after="120"/>
      </w:pPr>
      <w:r>
        <w:rPr>
          <w:b/>
          <w:color w:val="1F3A5F"/>
          <w:sz w:val="32"/>
        </w:rPr>
        <w:t>23. Thesis Breakers / Kill Criteria</w:t>
      </w:r>
    </w:p>
    <w:p>
      <w:pPr>
        <w:spacing w:after="80"/>
      </w:pPr>
      <w:r>
        <w:rPr>
          <w:b/>
          <w:i w:val="0"/>
          <w:sz w:val="22"/>
        </w:rPr>
        <w:t>Conditions under which I would exit the position:</w:t>
      </w:r>
    </w:p>
    <w:p>
      <w:pPr>
        <w:pStyle w:val="ListBullet"/>
        <w:spacing w:after="40"/>
      </w:pPr>
      <w:r>
        <w:t>☠️ KILL — UP/NS merger approved AND CN fails to secure compensating trackage rights, interline guarantees, or remedial conditions.</w:t>
      </w:r>
    </w:p>
    <w:p>
      <w:pPr>
        <w:pStyle w:val="ListBullet"/>
        <w:spacing w:after="40"/>
      </w:pPr>
      <w:r>
        <w:t>☠️ KILL — ROIC sustainably below 10% for 4+ consecutive quarters (signals structural capital misallocation or competitive erosion).</w:t>
      </w:r>
    </w:p>
    <w:p>
      <w:pPr>
        <w:pStyle w:val="ListBullet"/>
        <w:spacing w:after="40"/>
      </w:pPr>
      <w:r>
        <w:t>☠️ KILL — Adjusted operating ratio sustainably above 65% for 4+ consecutive quarters.</w:t>
      </w:r>
    </w:p>
    <w:p>
      <w:pPr>
        <w:pStyle w:val="ListBullet"/>
        <w:spacing w:after="40"/>
      </w:pPr>
      <w:r>
        <w:t>☠️ KILL — Adjusted debt/EBITDA above 3.5× without a clear deleveraging path.</w:t>
      </w:r>
    </w:p>
    <w:p>
      <w:pPr>
        <w:pStyle w:val="ListBullet"/>
        <w:spacing w:after="40"/>
      </w:pPr>
      <w:r>
        <w:t>🔴 RED FLAG — Major derailment with environmental damage or fatalities (à la East Palestine, OH) that triggers regulatory action.</w:t>
      </w:r>
    </w:p>
    <w:p>
      <w:pPr>
        <w:pStyle w:val="ListBullet"/>
        <w:spacing w:after="40"/>
      </w:pPr>
      <w:r>
        <w:t>🔴 RED FLAG — Loss of investment-grade credit rating.</w:t>
      </w:r>
    </w:p>
    <w:p>
      <w:pPr>
        <w:pStyle w:val="ListBullet"/>
        <w:spacing w:after="40"/>
      </w:pPr>
      <w:r>
        <w:t>🔴 RED FLAG — Persistent multi-quarter volume declines in core franchises (grain, intermodal) absent macro recession.</w:t>
      </w:r>
    </w:p>
    <w:p>
      <w:pPr>
        <w:pStyle w:val="ListBullet"/>
        <w:spacing w:after="40"/>
      </w:pPr>
      <w:r>
        <w:t>🟡 WATCH — Continued buyback execution at &gt;20× forward P/E (capital-allocation discipline degrading).</w:t>
      </w:r>
    </w:p>
    <w:p>
      <w:pPr>
        <w:spacing w:before="280" w:after="120"/>
      </w:pPr>
      <w:r>
        <w:rPr>
          <w:b/>
          <w:color w:val="1F3A5F"/>
          <w:sz w:val="32"/>
        </w:rPr>
        <w:t>24. Final Verdict</w:t>
      </w:r>
    </w:p>
    <w:p>
      <w:pPr>
        <w:spacing w:after="80"/>
      </w:pPr>
      <w:r>
        <w:rPr>
          <w:b/>
          <w:i w:val="0"/>
          <w:sz w:val="22"/>
        </w:rPr>
        <w:t>Verdict: HOLD — small starter position acceptable; full position only on pullback to C$135–145.</w:t>
      </w:r>
    </w:p>
    <w:p>
      <w:pPr>
        <w:spacing w:after="80"/>
      </w:pPr>
      <w:r>
        <w:rPr>
          <w:b w:val="0"/>
          <w:i w:val="0"/>
          <w:sz w:val="22"/>
        </w:rPr>
        <w:t>Rationale: CN is unquestionably a high-quality, wide-moat, capital-allocator-aligned compounder with one of the most defensible franchises in any sector. The business is executing well — record Q1 RTMs, best Q1 employee productivity in five years, +44% FCF growth in Q1, disciplined buybacks, 30 consecutive years of dividend increases. FY 2025 OR of 61.9% (adj 61.7%) marks a return to the franchise's historically strong margin band.</w:t>
      </w:r>
    </w:p>
    <w:p>
      <w:pPr>
        <w:spacing w:after="80"/>
      </w:pPr>
      <w:r>
        <w:rPr>
          <w:b w:val="0"/>
          <w:i w:val="0"/>
          <w:sz w:val="22"/>
        </w:rPr>
        <w:t>However, three factors warrant caution at current prices:</w:t>
      </w:r>
    </w:p>
    <w:p>
      <w:pPr>
        <w:pStyle w:val="ListBullet"/>
        <w:spacing w:after="40"/>
      </w:pPr>
      <w:r>
        <w:t>Valuation: the stock trades within 1% of its 52-week high, at ~20× forward earnings — a modest premium to its 5-year historical average. Base-case 3-year total return of 6–9% is acceptable but unremarkable.</w:t>
      </w:r>
    </w:p>
    <w:p>
      <w:pPr>
        <w:pStyle w:val="ListBullet"/>
        <w:spacing w:after="40"/>
      </w:pPr>
      <w:r>
        <w:t>Macro overhang: tariffs are actively impairing four of seven segments (forest, metals, coal, automotive). Q1 OR worsened 120 bps YoY despite revenue resilience; full-year guidance is for flattish volumes.</w:t>
      </w:r>
    </w:p>
    <w:p>
      <w:pPr>
        <w:pStyle w:val="ListBullet"/>
        <w:spacing w:after="40"/>
      </w:pPr>
      <w:r>
        <w:t>Structural overhang: the UP/NS combination, if approved, could permanently reshape CN's competitive position. The STB ruling on completeness expected ~May 30, 2026 — outcome unknown.</w:t>
      </w:r>
    </w:p>
    <w:p>
      <w:pPr>
        <w:spacing w:after="80"/>
      </w:pPr>
      <w:r>
        <w:rPr>
          <w:b w:val="0"/>
          <w:i w:val="0"/>
          <w:sz w:val="22"/>
        </w:rPr>
        <w:t>A 10–15% pullback (driven by either Q2 earnings disappointment, UP/NS completeness ruling, or tariff escalation) would re-rate this to a clear BUY. At current levels, the risk-reward asymmetry favors patience.</w:t>
      </w:r>
    </w:p>
    <w:p>
      <w:pPr>
        <w:spacing w:after="80"/>
      </w:pPr>
      <w:r>
        <w:rPr>
          <w:b/>
          <w:i w:val="0"/>
          <w:sz w:val="22"/>
        </w:rPr>
        <w:t>Conviction: Quality A | Valuation B– | Macro C+ | Composite ~7/10.</w:t>
      </w:r>
    </w:p>
    <w:p>
      <w:pPr>
        <w:spacing w:before="280" w:after="120"/>
      </w:pPr>
      <w:r>
        <w:rPr>
          <w:b/>
          <w:color w:val="1F3A5F"/>
          <w:sz w:val="32"/>
        </w:rPr>
        <w:t>25. Sources</w:t>
      </w:r>
    </w:p>
    <w:p>
      <w:pPr>
        <w:pStyle w:val="ListBullet"/>
      </w:pPr>
      <w:r>
        <w:rPr>
          <w:b w:val="0"/>
        </w:rPr>
        <w:t xml:space="preserve">CN Q1 2026 Press Release and Selected Statistics (Form 6-K) — </w:t>
      </w:r>
      <w:r>
        <w:rPr>
          <w:i/>
          <w:sz w:val="18"/>
        </w:rPr>
        <w:t>https://www.sec.gov/Archives/edgar/data/0000016868/000001686826000026/a2026q1pressreleasestatssu.htm</w:t>
      </w:r>
    </w:p>
    <w:p>
      <w:pPr>
        <w:pStyle w:val="ListBullet"/>
      </w:pPr>
      <w:r>
        <w:rPr>
          <w:b w:val="0"/>
        </w:rPr>
        <w:t xml:space="preserve">CN Q4 2025 / Full-Year Press Release and Selected Statistics (Form 6-K) — </w:t>
      </w:r>
      <w:r>
        <w:rPr>
          <w:i/>
          <w:sz w:val="18"/>
        </w:rPr>
        <w:t>https://www.sec.gov/Archives/edgar/data/0000016868/000001686826000007/a2025q4pressreleasestatssu.htm</w:t>
      </w:r>
    </w:p>
    <w:p>
      <w:pPr>
        <w:pStyle w:val="ListBullet"/>
      </w:pPr>
      <w:r>
        <w:rPr>
          <w:b w:val="0"/>
        </w:rPr>
        <w:t xml:space="preserve">CN Q4 2025 Financial Statements and Notes (Form 6-K) — </w:t>
      </w:r>
      <w:r>
        <w:rPr>
          <w:i/>
          <w:sz w:val="18"/>
        </w:rPr>
        <w:t>https://www.sec.gov/Archives/edgar/data/0000016868/000001686826000007/a2025q4fsnotes.htm</w:t>
      </w:r>
    </w:p>
    <w:p>
      <w:pPr>
        <w:pStyle w:val="ListBullet"/>
      </w:pPr>
      <w:r>
        <w:rPr>
          <w:b w:val="0"/>
        </w:rPr>
        <w:t xml:space="preserve">CN Q1 2026 Financial Statements and Notes (Form 6-K) — </w:t>
      </w:r>
      <w:r>
        <w:rPr>
          <w:i/>
          <w:sz w:val="18"/>
        </w:rPr>
        <w:t>https://www.sec.gov/Archives/edgar/data/0000016868/000001686826000026/a2026q1fsnotes.htm</w:t>
      </w:r>
    </w:p>
    <w:p>
      <w:pPr>
        <w:pStyle w:val="ListBullet"/>
      </w:pPr>
      <w:r>
        <w:rPr>
          <w:b w:val="0"/>
        </w:rPr>
        <w:t xml:space="preserve">CN Q1 2026 MD&amp;A (Form 6-K) — </w:t>
      </w:r>
      <w:r>
        <w:rPr>
          <w:i/>
          <w:sz w:val="18"/>
        </w:rPr>
        <w:t>https://www.sec.gov/Archives/edgar/data/0000016868/000001686826000026/a2026q1mda.htm</w:t>
      </w:r>
    </w:p>
    <w:p>
      <w:pPr>
        <w:pStyle w:val="ListBullet"/>
      </w:pPr>
      <w:r>
        <w:rPr>
          <w:b w:val="0"/>
        </w:rPr>
        <w:t xml:space="preserve">CPKC Q1 2026 Earnings Release (Form 8-K) — </w:t>
      </w:r>
      <w:r>
        <w:rPr>
          <w:i/>
          <w:sz w:val="18"/>
        </w:rPr>
        <w:t>https://www.sec.gov/Archives/edgar/data/0000016875/000001687526000013/exhibit991-q12026earningsr.htm</w:t>
      </w:r>
    </w:p>
    <w:p>
      <w:pPr>
        <w:pStyle w:val="ListBullet"/>
      </w:pPr>
      <w:r>
        <w:rPr>
          <w:b w:val="0"/>
        </w:rPr>
        <w:t xml:space="preserve">UP/NS Amended STB Merger Application — Business Wire summary — </w:t>
      </w:r>
      <w:r>
        <w:rPr>
          <w:i/>
          <w:sz w:val="18"/>
        </w:rPr>
        <w:t>https://www.businesswire.com/news/home/20260430887534/en/Creating-Americas-First-Transcontinental-Railroad-Union-Pacific-and-Norfolk-Southerns-Amended-STB-Merger-Application-Estimates-Shippers-Will-Save-$3.5-Billion-Annually</w:t>
      </w:r>
    </w:p>
    <w:p>
      <w:pPr>
        <w:pStyle w:val="ListBullet"/>
      </w:pPr>
      <w:r>
        <w:rPr>
          <w:b w:val="0"/>
        </w:rPr>
        <w:t xml:space="preserve">Railway Age — BNSF/CN/CPKC/CSX comments on UP/NS merger application — </w:t>
      </w:r>
      <w:r>
        <w:rPr>
          <w:i/>
          <w:sz w:val="18"/>
        </w:rPr>
        <w:t>https://www.railwayage.com/regulatory/bnsf-cn-cpkc-csx-ngfa-upns-merger-application-incomplete/</w:t>
      </w:r>
    </w:p>
    <w:p>
      <w:pPr>
        <w:pStyle w:val="ListBullet"/>
      </w:pPr>
      <w:r>
        <w:rPr>
          <w:b w:val="0"/>
        </w:rPr>
        <w:t xml:space="preserve">FreightWaves — Tariffs temper Canadian National outlook — </w:t>
      </w:r>
      <w:r>
        <w:rPr>
          <w:i/>
          <w:sz w:val="18"/>
        </w:rPr>
        <w:t>https://www.freightwaves.com/news/tariffs-temper-canadian-national-outlook</w:t>
      </w:r>
    </w:p>
    <w:p>
      <w:pPr>
        <w:pStyle w:val="ListBullet"/>
      </w:pPr>
      <w:r>
        <w:rPr>
          <w:b w:val="0"/>
        </w:rPr>
        <w:t xml:space="preserve">Yahoo Finance CNR.TO quote — </w:t>
      </w:r>
      <w:r>
        <w:rPr>
          <w:i/>
          <w:sz w:val="18"/>
        </w:rPr>
        <w:t>https://ca.finance.yahoo.com/quote/CNR.TO/</w:t>
      </w:r>
    </w:p>
    <w:p>
      <w:pPr>
        <w:pStyle w:val="ListBullet"/>
      </w:pPr>
      <w:r>
        <w:rPr>
          <w:b w:val="0"/>
        </w:rPr>
        <w:t xml:space="preserve">MarketBeat CNR analyst estimates — </w:t>
      </w:r>
      <w:r>
        <w:rPr>
          <w:i/>
          <w:sz w:val="18"/>
        </w:rPr>
        <w:t>https://www.marketbeat.com/stocks/TSE/CNR/forecast/</w:t>
      </w:r>
    </w:p>
    <w:p>
      <w:pPr>
        <w:pStyle w:val="ListBullet"/>
      </w:pPr>
      <w:r>
        <w:rPr>
          <w:b w:val="0"/>
        </w:rPr>
        <w:t xml:space="preserve">Oliver Wyman — North American Class I Rail Performance Q4 2025 — </w:t>
      </w:r>
      <w:r>
        <w:rPr>
          <w:i/>
          <w:sz w:val="18"/>
        </w:rPr>
        <w:t>https://www.oliverwyman.com/our-expertise/insights/north-american-freight-rail-performance.html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