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71A17"/>
          <w:sz w:val="32"/>
          <w:szCs w:val="32"/>
        </w:rPr>
        <w:t xml:space="preserve">WealthScope AI — ML-gestützte Finanzanalyse</w:t>
      </w:r>
    </w:p>
    <w:p>
      <w:pPr>
        <w:spacing w:after="60"/>
      </w:pPr>
      <w:r>
        <w:rPr>
          <w:rFonts w:ascii="Calibri" w:cs="Calibri" w:eastAsia="Calibri" w:hAnsi="Calibri"/>
          <w:i/>
          <w:iCs/>
          <w:color w:val="5B6259"/>
          <w:sz w:val="21"/>
          <w:szCs w:val="21"/>
        </w:rPr>
        <w:t xml:space="preserve">Handout zum Referat im Rahmen des QUA³CK-Prozessmodells</w:t>
      </w:r>
    </w:p>
    <w:p>
      <w:pPr>
        <w:spacing w:after="160"/>
      </w:pPr>
      <w:r>
        <w:rPr>
          <w:rFonts w:ascii="Calibri" w:cs="Calibri" w:eastAsia="Calibri" w:hAnsi="Calibri"/>
          <w:color w:val="171A17"/>
          <w:sz w:val="18"/>
          <w:szCs w:val="18"/>
        </w:rPr>
        <w:t xml:space="preserve">Soufiane Fedan · Matrikelnummer: 10247259 · Tutor: Klaus Quibeldey-Cirkel · IU Internationale Hochschule</w:t>
      </w:r>
    </w:p>
    <w:p>
      <w:pPr>
        <w:pStyle w:val="Heading1"/>
        <w:spacing w:after="90" w:before="220"/>
      </w:pPr>
      <w:r>
        <w:rPr>
          <w:rFonts w:ascii="Cambria" w:cs="Cambria" w:eastAsia="Cambria" w:hAnsi="Cambria"/>
          <w:b/>
          <w:bCs/>
          <w:color w:val="2F5D53"/>
          <w:sz w:val="26"/>
          <w:szCs w:val="26"/>
        </w:rPr>
        <w:t xml:space="preserve">1  Problemstellung &amp; Zielsetzung</w:t>
      </w:r>
    </w:p>
    <w:p>
      <w:pPr>
        <w:spacing w:after="90" w:line="264"/>
      </w:pPr>
      <w:r>
        <w:rPr>
          <w:rFonts w:ascii="Calibri" w:cs="Calibri" w:eastAsia="Calibri" w:hAnsi="Calibri"/>
          <w:color w:val="171A17"/>
          <w:sz w:val="20"/>
          <w:szCs w:val="20"/>
        </w:rPr>
        <w:t xml:space="preserve">Privatanlegern fehlt eine zugängliche, transparente Plattform, die zeigt, was hinter Marktdaten steckt — und die ehrlich über ihre Grenzen ist. WealthScope AI ist ein wissenschaftlicher Prototyp (kein Handelssystem), der historische US-Aktienmarktdaten mit Machine Learning verbindet.</w:t>
      </w:r>
    </w:p>
    <w:p>
      <w:pPr>
        <w:spacing w:after="90" w:line="264"/>
      </w:pPr>
      <w:r>
        <w:rPr>
          <w:rFonts w:ascii="Calibri" w:cs="Calibri" w:eastAsia="Calibri" w:hAnsi="Calibri"/>
          <w:b/>
          <w:bCs/>
          <w:color w:val="171A17"/>
          <w:sz w:val="20"/>
          <w:szCs w:val="20"/>
        </w:rPr>
        <w:t xml:space="preserve">Leitfrage: </w:t>
      </w:r>
      <w:r>
        <w:rPr>
          <w:rFonts w:ascii="Calibri" w:cs="Calibri" w:eastAsia="Calibri" w:hAnsi="Calibri"/>
          <w:color w:val="171A17"/>
          <w:sz w:val="20"/>
          <w:szCs w:val="20"/>
        </w:rPr>
        <w:t xml:space="preserve">Wie können historische US-Aktienmarktdaten genutzt werden, um mit ML eine interaktive Finanzanalyse-App zu entwickeln, die technische Analyse, ML-Signalgebung und risikobasierte Positionsplanung nachvollziehbar kombiniert?</w:t>
      </w:r>
    </w:p>
    <w:p>
      <w:pPr>
        <w:spacing w:after="90" w:line="264"/>
      </w:pPr>
      <w:r>
        <w:rPr>
          <w:rFonts w:ascii="Calibri" w:cs="Calibri" w:eastAsia="Calibri" w:hAnsi="Calibri"/>
          <w:b/>
          <w:bCs/>
          <w:color w:val="171A17"/>
          <w:sz w:val="20"/>
          <w:szCs w:val="20"/>
        </w:rPr>
        <w:t xml:space="preserve">Hypothesen: </w:t>
      </w:r>
      <w:r>
        <w:rPr>
          <w:rFonts w:ascii="Calibri" w:cs="Calibri" w:eastAsia="Calibri" w:hAnsi="Calibri"/>
          <w:color w:val="171A17"/>
          <w:sz w:val="20"/>
          <w:szCs w:val="20"/>
        </w:rPr>
        <w:t xml:space="preserve">H1 — ein Random Forest erreicht eine ROC-AUC signifikant über 0,5; H2 — eine Streamlit-App macht die Methodik für Nicht-Experten zugänglich; H3 — die Kombination aus technischen Indikatoren und ML-Signal steigert die Nutzbarkeit.</w:t>
      </w:r>
    </w:p>
    <w:p>
      <w:pPr>
        <w:pStyle w:val="Heading1"/>
        <w:spacing w:after="90" w:before="220"/>
      </w:pPr>
      <w:r>
        <w:rPr>
          <w:rFonts w:ascii="Cambria" w:cs="Cambria" w:eastAsia="Cambria" w:hAnsi="Cambria"/>
          <w:b/>
          <w:bCs/>
          <w:color w:val="2F5D53"/>
          <w:sz w:val="26"/>
          <w:szCs w:val="26"/>
        </w:rPr>
        <w:t xml:space="preserve">2  Datenphase (U — Understanding)</w:t>
      </w:r>
    </w:p>
    <w:p>
      <w:pPr>
        <w:spacing w:after="90" w:line="264"/>
      </w:pPr>
      <w:r>
        <w:rPr>
          <w:rFonts w:ascii="Calibri" w:cs="Calibri" w:eastAsia="Calibri" w:hAnsi="Calibri"/>
          <w:b/>
          <w:bCs/>
          <w:color w:val="171A17"/>
          <w:sz w:val="20"/>
          <w:szCs w:val="20"/>
        </w:rPr>
        <w:t xml:space="preserve">Datenbasis: </w:t>
      </w:r>
      <w:r>
        <w:rPr>
          <w:rFonts w:ascii="Calibri" w:cs="Calibri" w:eastAsia="Calibri" w:hAnsi="Calibri"/>
          <w:color w:val="171A17"/>
          <w:sz w:val="20"/>
          <w:szCs w:val="20"/>
        </w:rPr>
        <w:t xml:space="preserve">Kaggle „US Stocks &amp; ETFs“ (B. Marjanovic), CC0 Public Domain — 192.119 Feature-Datenpunkte, 26 Blue-Chip-Ticker, 1962–2017, als Apache Parquet.</w:t>
      </w:r>
    </w:p>
    <w:p>
      <w:pPr>
        <w:spacing w:after="90" w:line="264"/>
      </w:pPr>
      <w:r>
        <w:rPr>
          <w:rFonts w:ascii="Calibri" w:cs="Calibri" w:eastAsia="Calibri" w:hAnsi="Calibri"/>
          <w:b/>
          <w:bCs/>
          <w:color w:val="171A17"/>
          <w:sz w:val="20"/>
          <w:szCs w:val="20"/>
        </w:rPr>
        <w:t xml:space="preserve">EDA: </w:t>
      </w:r>
      <w:r>
        <w:rPr>
          <w:rFonts w:ascii="Calibri" w:cs="Calibri" w:eastAsia="Calibri" w:hAnsi="Calibri"/>
          <w:color w:val="171A17"/>
          <w:sz w:val="20"/>
          <w:szCs w:val="20"/>
        </w:rPr>
        <w:t xml:space="preserve">Histogramme mit KDE, Boxplots (IQR), Scatterplots und Pearson-/Spearman-Korrelationen. Ergebnis: Features leicht schiefsymmetrisch, Korrelationen moderat (keine extreme Multikollinearität).</w:t>
      </w:r>
    </w:p>
    <w:p>
      <w:pPr>
        <w:spacing w:after="90" w:line="264"/>
      </w:pPr>
      <w:r>
        <w:rPr>
          <w:rFonts w:ascii="Calibri" w:cs="Calibri" w:eastAsia="Calibri" w:hAnsi="Calibri"/>
          <w:b/>
          <w:bCs/>
          <w:color w:val="171A17"/>
          <w:sz w:val="20"/>
          <w:szCs w:val="20"/>
        </w:rPr>
        <w:t xml:space="preserve">Fehlende Werte: </w:t>
      </w:r>
      <w:r>
        <w:rPr>
          <w:rFonts w:ascii="Calibri" w:cs="Calibri" w:eastAsia="Calibri" w:hAnsi="Calibri"/>
          <w:color w:val="171A17"/>
          <w:sz w:val="20"/>
          <w:szCs w:val="20"/>
        </w:rPr>
        <w:t xml:space="preserve">In den Moving-Average-Features (Warmup-Perioden) — Typ MCAR. Verglichen wurden Mean-, Median- und KNN-Imputation; gewählt: Median (robust, bei MCAR gleichwertig zu KNN). Li et al. (2024) zeigen, dass bereits 5–10 % fehlende Werte den Accuracy-Verlust um bis zu 15 % erhöhen können.</w:t>
      </w:r>
    </w:p>
    <w:p>
      <w:pPr>
        <w:spacing w:after="90" w:line="264"/>
      </w:pPr>
      <w:r>
        <w:rPr>
          <w:rFonts w:ascii="Calibri" w:cs="Calibri" w:eastAsia="Calibri" w:hAnsi="Calibri"/>
          <w:b/>
          <w:bCs/>
          <w:color w:val="171A17"/>
          <w:sz w:val="20"/>
          <w:szCs w:val="20"/>
        </w:rPr>
        <w:t xml:space="preserve">Scaling &amp; Data Leakage: </w:t>
      </w:r>
      <w:r>
        <w:rPr>
          <w:rFonts w:ascii="Calibri" w:cs="Calibri" w:eastAsia="Calibri" w:hAnsi="Calibri"/>
          <w:color w:val="171A17"/>
          <w:sz w:val="20"/>
          <w:szCs w:val="20"/>
        </w:rPr>
        <w:t xml:space="preserve">StandardScaler (Z-Score), ausschließlich auf den Trainingsdaten gefittet — nie auf Gesamt- oder Testdaten. Die scikit-learn-Pipeline erzwingt dies strukturell (Pinheiro et al., 2025).</w:t>
      </w:r>
    </w:p>
    <w:p>
      <w:pPr>
        <w:pStyle w:val="Heading1"/>
        <w:spacing w:after="90" w:before="220"/>
      </w:pPr>
      <w:r>
        <w:rPr>
          <w:rFonts w:ascii="Cambria" w:cs="Cambria" w:eastAsia="Cambria" w:hAnsi="Cambria"/>
          <w:b/>
          <w:bCs/>
          <w:color w:val="2F5D53"/>
          <w:sz w:val="26"/>
          <w:szCs w:val="26"/>
        </w:rPr>
        <w:t xml:space="preserve">3  Feature Engineering (A — Analytics)</w:t>
      </w:r>
    </w:p>
    <w:p>
      <w:pPr>
        <w:spacing w:after="90" w:line="264"/>
      </w:pPr>
      <w:r>
        <w:rPr>
          <w:rFonts w:ascii="Calibri" w:cs="Calibri" w:eastAsia="Calibri" w:hAnsi="Calibri"/>
          <w:color w:val="171A17"/>
          <w:sz w:val="20"/>
          <w:szCs w:val="20"/>
        </w:rPr>
        <w:t xml:space="preserve">Aus OHLCV-Rohdaten werden acht Features destilliert: Rendite-Features (daily_return, return_5d, return_20d), Trend-Features (Abstand zu MA-20/50/200) und Risiko-Features (volatility_20d, drawdown).</w:t>
      </w:r>
    </w:p>
    <w:p>
      <w:pPr>
        <w:spacing w:after="90" w:line="264"/>
      </w:pPr>
      <w:r>
        <w:rPr>
          <w:rFonts w:ascii="Calibri" w:cs="Calibri" w:eastAsia="Calibri" w:hAnsi="Calibri"/>
          <w:b/>
          <w:bCs/>
          <w:color w:val="171A17"/>
          <w:sz w:val="20"/>
          <w:szCs w:val="20"/>
        </w:rPr>
        <w:t xml:space="preserve">Zielvariable target_20d: </w:t>
      </w:r>
      <w:r>
        <w:rPr>
          <w:rFonts w:ascii="Calibri" w:cs="Calibri" w:eastAsia="Calibri" w:hAnsi="Calibri"/>
          <w:color w:val="171A17"/>
          <w:sz w:val="20"/>
          <w:szCs w:val="20"/>
        </w:rPr>
        <w:t xml:space="preserve">binär — ist der Schlusskurs in 20 Handelstagen höher als heute? Richtungsvorhersage statt Regression, da bei effizienten Märkten realistischer und robuster quantifizierbar.</w:t>
      </w:r>
    </w:p>
    <w:p>
      <w:pPr>
        <w:pStyle w:val="Heading1"/>
        <w:spacing w:after="90" w:before="220"/>
      </w:pPr>
      <w:r>
        <w:rPr>
          <w:rFonts w:ascii="Cambria" w:cs="Cambria" w:eastAsia="Cambria" w:hAnsi="Cambria"/>
          <w:b/>
          <w:bCs/>
          <w:color w:val="2F5D53"/>
          <w:sz w:val="26"/>
          <w:szCs w:val="26"/>
        </w:rPr>
        <w:t xml:space="preserve">4  Modell &amp; Optimierung (A — Algorithm &amp; Adaption)</w:t>
      </w:r>
    </w:p>
    <w:p>
      <w:pPr>
        <w:spacing w:after="90" w:line="264"/>
      </w:pPr>
      <w:r>
        <w:rPr>
          <w:rFonts w:ascii="Calibri" w:cs="Calibri" w:eastAsia="Calibri" w:hAnsi="Calibri"/>
          <w:color w:val="171A17"/>
          <w:sz w:val="20"/>
          <w:szCs w:val="20"/>
        </w:rPr>
        <w:t xml:space="preserve">Als Baseline dient ein DummyClassifier; als parametrisches Vergleichsmodell die Logistische Regression. Finales Modell ist ein Random Forest (Ensemble, nichtlinear, robust, liefert Feature Importance) — bewusst kein neuronales Netz (Occam’s Razor; Datengröße und Feature-Set rechtfertigen die Komplexität nicht).</w:t>
      </w:r>
    </w:p>
    <w:p>
      <w:pPr>
        <w:spacing w:after="90" w:line="264"/>
      </w:pPr>
      <w:r>
        <w:rPr>
          <w:rFonts w:ascii="Calibri" w:cs="Calibri" w:eastAsia="Calibri" w:hAnsi="Calibri"/>
          <w:b/>
          <w:bCs/>
          <w:color w:val="171A17"/>
          <w:sz w:val="20"/>
          <w:szCs w:val="20"/>
        </w:rPr>
        <w:t xml:space="preserve">Pipeline &amp; Validierung: </w:t>
      </w:r>
      <w:r>
        <w:rPr>
          <w:rFonts w:ascii="Calibri" w:cs="Calibri" w:eastAsia="Calibri" w:hAnsi="Calibri"/>
          <w:color w:val="171A17"/>
          <w:sz w:val="20"/>
          <w:szCs w:val="20"/>
        </w:rPr>
        <w:t xml:space="preserve">Imputation → StandardScaler → RandomForest (n_estimators=200, max_depth=8, class_weight='balanced'). 5-fach stratifizierte Cross-Validation statt eines einzelnen Splits sichert robuste Schätzungen.</w:t>
      </w:r>
    </w:p>
    <w:p>
      <w:pPr>
        <w:pStyle w:val="Heading1"/>
        <w:spacing w:after="90" w:before="220"/>
      </w:pPr>
      <w:r>
        <w:rPr>
          <w:rFonts w:ascii="Cambria" w:cs="Cambria" w:eastAsia="Cambria" w:hAnsi="Cambria"/>
          <w:b/>
          <w:bCs/>
          <w:color w:val="2F5D53"/>
          <w:sz w:val="26"/>
          <w:szCs w:val="26"/>
        </w:rPr>
        <w:t xml:space="preserve">5  Ergebnisse &amp; Diagnostik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000"/>
      </w:tblGrid>
      <w:tr>
        <w:tc>
          <w:tcPr>
            <w:tcW w:type="dxa" w:w="2600"/>
            <w:tcBorders>
              <w:top w:val="single" w:color="CCCCCC" w:sz="1"/>
              <w:left w:val="single" w:color="CCCCCC" w:sz="1"/>
              <w:bottom w:val="single" w:color="CCCCCC" w:sz="1"/>
              <w:right w:val="single" w:color="CCCCCC" w:sz="1"/>
            </w:tcBorders>
            <w:shd w:fill="2F5D53" w:val="clear"/>
            <w:tcMar>
              <w:top w:type="dxa" w:w="40"/>
              <w:left w:type="dxa" w:w="90"/>
              <w:bottom w:type="dxa" w:w="40"/>
              <w:right w:type="dxa" w:w="90"/>
            </w:tcMar>
          </w:tcPr>
          <w:p>
            <w:r>
              <w:rPr>
                <w:rFonts w:ascii="Calibri" w:cs="Calibri" w:eastAsia="Calibri" w:hAnsi="Calibri"/>
                <w:b/>
                <w:bCs/>
                <w:color w:val="FFFFFF"/>
                <w:sz w:val="18"/>
                <w:szCs w:val="18"/>
              </w:rPr>
              <w:t xml:space="preserve">Metrik</w:t>
            </w:r>
          </w:p>
        </w:tc>
        <w:tc>
          <w:tcPr>
            <w:tcW w:type="dxa" w:w="2000"/>
            <w:tcBorders>
              <w:top w:val="single" w:color="CCCCCC" w:sz="1"/>
              <w:left w:val="single" w:color="CCCCCC" w:sz="1"/>
              <w:bottom w:val="single" w:color="CCCCCC" w:sz="1"/>
              <w:right w:val="single" w:color="CCCCCC" w:sz="1"/>
            </w:tcBorders>
            <w:shd w:fill="2F5D53" w:val="clear"/>
            <w:tcMar>
              <w:top w:type="dxa" w:w="40"/>
              <w:left w:type="dxa" w:w="90"/>
              <w:bottom w:type="dxa" w:w="40"/>
              <w:right w:type="dxa" w:w="90"/>
            </w:tcMar>
          </w:tcPr>
          <w:p>
            <w:pPr>
              <w:jc w:val="center"/>
            </w:pPr>
            <w:r>
              <w:rPr>
                <w:rFonts w:ascii="Calibri" w:cs="Calibri" w:eastAsia="Calibri" w:hAnsi="Calibri"/>
                <w:b/>
                <w:bCs/>
                <w:color w:val="FFFFFF"/>
                <w:sz w:val="18"/>
                <w:szCs w:val="18"/>
              </w:rPr>
              <w:t xml:space="preserve">Baseline</w:t>
            </w:r>
          </w:p>
        </w:tc>
        <w:tc>
          <w:tcPr>
            <w:tcW w:type="dxa" w:w="2000"/>
            <w:tcBorders>
              <w:top w:val="single" w:color="CCCCCC" w:sz="1"/>
              <w:left w:val="single" w:color="CCCCCC" w:sz="1"/>
              <w:bottom w:val="single" w:color="CCCCCC" w:sz="1"/>
              <w:right w:val="single" w:color="CCCCCC" w:sz="1"/>
            </w:tcBorders>
            <w:shd w:fill="2F5D53" w:val="clear"/>
            <w:tcMar>
              <w:top w:type="dxa" w:w="40"/>
              <w:left w:type="dxa" w:w="90"/>
              <w:bottom w:type="dxa" w:w="40"/>
              <w:right w:type="dxa" w:w="90"/>
            </w:tcMar>
          </w:tcPr>
          <w:p>
            <w:pPr>
              <w:jc w:val="center"/>
            </w:pPr>
            <w:r>
              <w:rPr>
                <w:rFonts w:ascii="Calibri" w:cs="Calibri" w:eastAsia="Calibri" w:hAnsi="Calibri"/>
                <w:b/>
                <w:bCs/>
                <w:color w:val="FFFFFF"/>
                <w:sz w:val="18"/>
                <w:szCs w:val="18"/>
              </w:rPr>
              <w:t xml:space="preserve">Log. Regression</w:t>
            </w:r>
          </w:p>
        </w:tc>
        <w:tc>
          <w:tcPr>
            <w:tcW w:type="dxa" w:w="2000"/>
            <w:tcBorders>
              <w:top w:val="single" w:color="CCCCCC" w:sz="1"/>
              <w:left w:val="single" w:color="CCCCCC" w:sz="1"/>
              <w:bottom w:val="single" w:color="CCCCCC" w:sz="1"/>
              <w:right w:val="single" w:color="CCCCCC" w:sz="1"/>
            </w:tcBorders>
            <w:shd w:fill="2F5D53" w:val="clear"/>
            <w:tcMar>
              <w:top w:type="dxa" w:w="40"/>
              <w:left w:type="dxa" w:w="90"/>
              <w:bottom w:type="dxa" w:w="40"/>
              <w:right w:type="dxa" w:w="90"/>
            </w:tcMar>
          </w:tcPr>
          <w:p>
            <w:pPr>
              <w:jc w:val="center"/>
            </w:pPr>
            <w:r>
              <w:rPr>
                <w:rFonts w:ascii="Calibri" w:cs="Calibri" w:eastAsia="Calibri" w:hAnsi="Calibri"/>
                <w:b/>
                <w:bCs/>
                <w:color w:val="FFFFFF"/>
                <w:sz w:val="18"/>
                <w:szCs w:val="18"/>
              </w:rPr>
              <w:t xml:space="preserve">Random Forest</w:t>
            </w:r>
          </w:p>
        </w:tc>
      </w:tr>
      <w:tr>
        <w:tc>
          <w:tcPr>
            <w:tcW w:type="dxa" w:w="2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r>
              <w:rPr>
                <w:rFonts w:ascii="Calibri" w:cs="Calibri" w:eastAsia="Calibri" w:hAnsi="Calibri"/>
                <w:b/>
                <w:bCs/>
                <w:color w:val="171A17"/>
                <w:sz w:val="18"/>
                <w:szCs w:val="18"/>
              </w:rPr>
              <w:t xml:space="preserve">Accuracy</w:t>
            </w:r>
          </w:p>
        </w:tc>
        <w:tc>
          <w:tcPr>
            <w:tcW w:type="dxa" w:w="20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rFonts w:ascii="Calibri" w:cs="Calibri" w:eastAsia="Calibri" w:hAnsi="Calibri"/>
                <w:color w:val="5B6259"/>
                <w:sz w:val="18"/>
                <w:szCs w:val="18"/>
              </w:rPr>
              <w:t xml:space="preserve">~56,5 %</w:t>
            </w:r>
          </w:p>
        </w:tc>
        <w:tc>
          <w:tcPr>
            <w:tcW w:type="dxa" w:w="20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rFonts w:ascii="Calibri" w:cs="Calibri" w:eastAsia="Calibri" w:hAnsi="Calibri"/>
                <w:color w:val="5B6259"/>
                <w:sz w:val="18"/>
                <w:szCs w:val="18"/>
              </w:rPr>
              <w:t xml:space="preserve">~53 %</w:t>
            </w:r>
          </w:p>
        </w:tc>
        <w:tc>
          <w:tcPr>
            <w:tcW w:type="dxa" w:w="20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rFonts w:ascii="Calibri" w:cs="Calibri" w:eastAsia="Calibri" w:hAnsi="Calibri"/>
                <w:b/>
                <w:bCs/>
                <w:color w:val="A97C1E"/>
                <w:sz w:val="18"/>
                <w:szCs w:val="18"/>
              </w:rPr>
              <w:t xml:space="preserve">55,3 %</w:t>
            </w:r>
          </w:p>
        </w:tc>
      </w:tr>
      <w:tr>
        <w:tc>
          <w:tcPr>
            <w:tcW w:type="dxa" w:w="2600"/>
            <w:tcBorders>
              <w:top w:val="single" w:color="CCCCCC" w:sz="1"/>
              <w:left w:val="single" w:color="CCCCCC" w:sz="1"/>
              <w:bottom w:val="single" w:color="CCCCCC" w:sz="1"/>
              <w:right w:val="single" w:color="CCCCCC" w:sz="1"/>
            </w:tcBorders>
            <w:shd w:fill="EAF0ED" w:val="clear"/>
            <w:tcMar>
              <w:top w:type="dxa" w:w="40"/>
              <w:left w:type="dxa" w:w="90"/>
              <w:bottom w:type="dxa" w:w="40"/>
              <w:right w:type="dxa" w:w="90"/>
            </w:tcMar>
          </w:tcPr>
          <w:p>
            <w:r>
              <w:rPr>
                <w:rFonts w:ascii="Calibri" w:cs="Calibri" w:eastAsia="Calibri" w:hAnsi="Calibri"/>
                <w:b/>
                <w:bCs/>
                <w:color w:val="171A17"/>
                <w:sz w:val="18"/>
                <w:szCs w:val="18"/>
              </w:rPr>
              <w:t xml:space="preserve">ROC-AUC</w:t>
            </w:r>
          </w:p>
        </w:tc>
        <w:tc>
          <w:tcPr>
            <w:tcW w:type="dxa" w:w="2000"/>
            <w:tcBorders>
              <w:top w:val="single" w:color="CCCCCC" w:sz="1"/>
              <w:left w:val="single" w:color="CCCCCC" w:sz="1"/>
              <w:bottom w:val="single" w:color="CCCCCC" w:sz="1"/>
              <w:right w:val="single" w:color="CCCCCC" w:sz="1"/>
            </w:tcBorders>
            <w:shd w:fill="EAF0ED" w:val="clear"/>
            <w:tcMar>
              <w:top w:type="dxa" w:w="40"/>
              <w:left w:type="dxa" w:w="90"/>
              <w:bottom w:type="dxa" w:w="40"/>
              <w:right w:type="dxa" w:w="90"/>
            </w:tcMar>
          </w:tcPr>
          <w:p>
            <w:pPr>
              <w:jc w:val="center"/>
            </w:pPr>
            <w:r>
              <w:rPr>
                <w:rFonts w:ascii="Calibri" w:cs="Calibri" w:eastAsia="Calibri" w:hAnsi="Calibri"/>
                <w:color w:val="5B6259"/>
                <w:sz w:val="18"/>
                <w:szCs w:val="18"/>
              </w:rPr>
              <w:t xml:space="preserve">~0,50</w:t>
            </w:r>
          </w:p>
        </w:tc>
        <w:tc>
          <w:tcPr>
            <w:tcW w:type="dxa" w:w="2000"/>
            <w:tcBorders>
              <w:top w:val="single" w:color="CCCCCC" w:sz="1"/>
              <w:left w:val="single" w:color="CCCCCC" w:sz="1"/>
              <w:bottom w:val="single" w:color="CCCCCC" w:sz="1"/>
              <w:right w:val="single" w:color="CCCCCC" w:sz="1"/>
            </w:tcBorders>
            <w:shd w:fill="EAF0ED" w:val="clear"/>
            <w:tcMar>
              <w:top w:type="dxa" w:w="40"/>
              <w:left w:type="dxa" w:w="90"/>
              <w:bottom w:type="dxa" w:w="40"/>
              <w:right w:type="dxa" w:w="90"/>
            </w:tcMar>
          </w:tcPr>
          <w:p>
            <w:pPr>
              <w:jc w:val="center"/>
            </w:pPr>
            <w:r>
              <w:rPr>
                <w:rFonts w:ascii="Calibri" w:cs="Calibri" w:eastAsia="Calibri" w:hAnsi="Calibri"/>
                <w:color w:val="5B6259"/>
                <w:sz w:val="18"/>
                <w:szCs w:val="18"/>
              </w:rPr>
              <w:t xml:space="preserve">~0,52</w:t>
            </w:r>
          </w:p>
        </w:tc>
        <w:tc>
          <w:tcPr>
            <w:tcW w:type="dxa" w:w="2000"/>
            <w:tcBorders>
              <w:top w:val="single" w:color="CCCCCC" w:sz="1"/>
              <w:left w:val="single" w:color="CCCCCC" w:sz="1"/>
              <w:bottom w:val="single" w:color="CCCCCC" w:sz="1"/>
              <w:right w:val="single" w:color="CCCCCC" w:sz="1"/>
            </w:tcBorders>
            <w:shd w:fill="EAF0ED" w:val="clear"/>
            <w:tcMar>
              <w:top w:type="dxa" w:w="40"/>
              <w:left w:type="dxa" w:w="90"/>
              <w:bottom w:type="dxa" w:w="40"/>
              <w:right w:type="dxa" w:w="90"/>
            </w:tcMar>
          </w:tcPr>
          <w:p>
            <w:pPr>
              <w:jc w:val="center"/>
            </w:pPr>
            <w:r>
              <w:rPr>
                <w:rFonts w:ascii="Calibri" w:cs="Calibri" w:eastAsia="Calibri" w:hAnsi="Calibri"/>
                <w:b/>
                <w:bCs/>
                <w:color w:val="A97C1E"/>
                <w:sz w:val="18"/>
                <w:szCs w:val="18"/>
              </w:rPr>
              <w:t xml:space="preserve">0,588</w:t>
            </w:r>
          </w:p>
        </w:tc>
      </w:tr>
      <w:tr>
        <w:tc>
          <w:tcPr>
            <w:tcW w:type="dxa" w:w="26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r>
              <w:rPr>
                <w:rFonts w:ascii="Calibri" w:cs="Calibri" w:eastAsia="Calibri" w:hAnsi="Calibri"/>
                <w:b/>
                <w:bCs/>
                <w:color w:val="171A17"/>
                <w:sz w:val="18"/>
                <w:szCs w:val="18"/>
              </w:rPr>
              <w:t xml:space="preserve">F1 (weighted)</w:t>
            </w:r>
          </w:p>
        </w:tc>
        <w:tc>
          <w:tcPr>
            <w:tcW w:type="dxa" w:w="20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rFonts w:ascii="Calibri" w:cs="Calibri" w:eastAsia="Calibri" w:hAnsi="Calibri"/>
                <w:color w:val="5B6259"/>
                <w:sz w:val="18"/>
                <w:szCs w:val="18"/>
              </w:rPr>
              <w:t xml:space="preserve">~0,43</w:t>
            </w:r>
          </w:p>
        </w:tc>
        <w:tc>
          <w:tcPr>
            <w:tcW w:type="dxa" w:w="20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rFonts w:ascii="Calibri" w:cs="Calibri" w:eastAsia="Calibri" w:hAnsi="Calibri"/>
                <w:color w:val="5B6259"/>
                <w:sz w:val="18"/>
                <w:szCs w:val="18"/>
              </w:rPr>
              <w:t xml:space="preserve">~0,53</w:t>
            </w:r>
          </w:p>
        </w:tc>
        <w:tc>
          <w:tcPr>
            <w:tcW w:type="dxa" w:w="2000"/>
            <w:tcBorders>
              <w:top w:val="single" w:color="CCCCCC" w:sz="1"/>
              <w:left w:val="single" w:color="CCCCCC" w:sz="1"/>
              <w:bottom w:val="single" w:color="CCCCCC" w:sz="1"/>
              <w:right w:val="single" w:color="CCCCCC" w:sz="1"/>
            </w:tcBorders>
            <w:shd w:fill="FFFFFF" w:val="clear"/>
            <w:tcMar>
              <w:top w:type="dxa" w:w="40"/>
              <w:left w:type="dxa" w:w="90"/>
              <w:bottom w:type="dxa" w:w="40"/>
              <w:right w:type="dxa" w:w="90"/>
            </w:tcMar>
          </w:tcPr>
          <w:p>
            <w:pPr>
              <w:jc w:val="center"/>
            </w:pPr>
            <w:r>
              <w:rPr>
                <w:rFonts w:ascii="Calibri" w:cs="Calibri" w:eastAsia="Calibri" w:hAnsi="Calibri"/>
                <w:b/>
                <w:bCs/>
                <w:color w:val="A97C1E"/>
                <w:sz w:val="18"/>
                <w:szCs w:val="18"/>
              </w:rPr>
              <w:t xml:space="preserve">~0,554</w:t>
            </w:r>
          </w:p>
        </w:tc>
      </w:tr>
    </w:tbl>
    <w:p>
      <w:pPr>
        <w:spacing w:after="90" w:before="60"/>
      </w:pPr>
      <w:r>
        <w:rPr>
          <w:rFonts w:ascii="Calibri" w:cs="Calibri" w:eastAsia="Calibri" w:hAnsi="Calibri"/>
          <w:i/>
          <w:iCs/>
          <w:color w:val="5B6259"/>
          <w:sz w:val="16"/>
          <w:szCs w:val="16"/>
        </w:rPr>
        <w:t xml:space="preserve">Tabelle 1: Modellvergleich auf dem Test-Set. (Quelle: eigene Berechnung, scripts/train_and_diagnose.py)</w:t>
      </w:r>
    </w:p>
    <w:p>
      <w:pPr>
        <w:spacing w:after="90" w:line="264"/>
      </w:pPr>
      <w:r>
        <w:rPr>
          <w:rFonts w:ascii="Calibri" w:cs="Calibri" w:eastAsia="Calibri" w:hAnsi="Calibri"/>
          <w:b/>
          <w:bCs/>
          <w:color w:val="171A17"/>
          <w:sz w:val="20"/>
          <w:szCs w:val="20"/>
        </w:rPr>
        <w:t xml:space="preserve">Einordnung: </w:t>
      </w:r>
      <w:r>
        <w:rPr>
          <w:rFonts w:ascii="Calibri" w:cs="Calibri" w:eastAsia="Calibri" w:hAnsi="Calibri"/>
          <w:color w:val="171A17"/>
          <w:sz w:val="20"/>
          <w:szCs w:val="20"/>
        </w:rPr>
        <w:t xml:space="preserve">Eine Accuracy von 55,3 % bzw. ROC-AUC 0,588 ist statistisch signifikant über dem Zufall und bei rein historischen Kursdaten wissenschaftlich erwartbar — Efficient Market Hypothesis (Fama 1970). Konfusionsmatrix, ROC-/PR-Kurven, Feature Importance und SHAP (Lundberg &amp; Lee 2017) machen das Modell erklärbar; die Lernkurve (Abb. 1) zeigt, dass mehr Trainingsdaten den Fehler kaum weiter senken würden.</w:t>
      </w:r>
    </w:p>
    <w:p>
      <w:pPr>
        <w:spacing w:after="30" w:before="60"/>
        <w:jc w:val="center"/>
      </w:pPr>
      <w:r>
        <w:drawing>
          <wp:inline distT="0" distB="0" distL="0" distR="0">
            <wp:extent cx="4762500" cy="2057400"/>
            <wp:effectExtent t="0" r="0" b="0" l="0"/>
            <wp:docPr id="1" name="Lernkurve" descr="Trainings- und Validierungs-Score über die Trainingsgröße" title="Lernk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057400"/>
                    </a:xfrm>
                    <a:prstGeom prst="rect">
                      <a:avLst/>
                    </a:prstGeom>
                  </pic:spPr>
                </pic:pic>
              </a:graphicData>
            </a:graphic>
          </wp:inline>
        </w:drawing>
      </w:r>
    </w:p>
    <w:p>
      <w:pPr>
        <w:spacing w:after="120"/>
        <w:jc w:val="center"/>
      </w:pPr>
      <w:r>
        <w:rPr>
          <w:rFonts w:ascii="Calibri" w:cs="Calibri" w:eastAsia="Calibri" w:hAnsi="Calibri"/>
          <w:i/>
          <w:iCs/>
          <w:color w:val="5B6259"/>
          <w:sz w:val="16"/>
          <w:szCs w:val="16"/>
        </w:rPr>
        <w:t xml:space="preserve">Abbildung 1: Lernkurve (ROC-AUC vs. Trainingsgröße, 5-Fold CV). Quelle: eigene Berechnung mit sklearn.model_selection.learning_curve.</w:t>
      </w:r>
    </w:p>
    <w:p>
      <w:pPr>
        <w:pStyle w:val="Heading1"/>
        <w:spacing w:after="90" w:before="220"/>
      </w:pPr>
      <w:r>
        <w:rPr>
          <w:rFonts w:ascii="Cambria" w:cs="Cambria" w:eastAsia="Cambria" w:hAnsi="Cambria"/>
          <w:b/>
          <w:bCs/>
          <w:color w:val="2F5D53"/>
          <w:sz w:val="26"/>
          <w:szCs w:val="26"/>
        </w:rPr>
        <w:t xml:space="preserve">6  Fazit &amp; Grenzen</w:t>
      </w:r>
    </w:p>
    <w:p>
      <w:pPr>
        <w:spacing w:after="90" w:line="264"/>
      </w:pPr>
      <w:r>
        <w:rPr>
          <w:rFonts w:ascii="Calibri" w:cs="Calibri" w:eastAsia="Calibri" w:hAnsi="Calibri"/>
          <w:color w:val="171A17"/>
          <w:sz w:val="20"/>
          <w:szCs w:val="20"/>
        </w:rPr>
        <w:t xml:space="preserve">Alle drei Hypothesen wurden geprüft: H1 bestätigt (AUC 0,588 &gt; 0,5), H2 bestätigt (Methodik in der App zugänglich), H3 teilweise bestätigt (Mehrwert plausibel, formale Nutzerstudie fehlt).</w:t>
      </w:r>
    </w:p>
    <w:p>
      <w:pPr>
        <w:spacing w:after="90" w:line="264"/>
      </w:pPr>
      <w:r>
        <w:rPr>
          <w:rFonts w:ascii="Calibri" w:cs="Calibri" w:eastAsia="Calibri" w:hAnsi="Calibri"/>
          <w:b/>
          <w:bCs/>
          <w:color w:val="171A17"/>
          <w:sz w:val="20"/>
          <w:szCs w:val="20"/>
        </w:rPr>
        <w:t xml:space="preserve">Grenzen: </w:t>
      </w:r>
      <w:r>
        <w:rPr>
          <w:rFonts w:ascii="Calibri" w:cs="Calibri" w:eastAsia="Calibri" w:hAnsi="Calibri"/>
          <w:color w:val="171A17"/>
          <w:sz w:val="20"/>
          <w:szCs w:val="20"/>
        </w:rPr>
        <w:t xml:space="preserve">keine exogenen Faktoren (Makro, Geopolitik), kein Sentiment im Modell, statisches Modell ohne Nachtraining, und historische Daten garantieren keine Zukunft. Diese Grenzen sind der ehrliche Abschluss eines wissenschaftlichen Projekts, das weiß, was es kann — und was nicht.</w:t>
      </w:r>
    </w:p>
    <w:p>
      <w:pPr>
        <w:pStyle w:val="Heading1"/>
        <w:spacing w:after="90" w:before="220"/>
      </w:pPr>
      <w:r>
        <w:rPr>
          <w:rFonts w:ascii="Cambria" w:cs="Cambria" w:eastAsia="Cambria" w:hAnsi="Cambria"/>
          <w:b/>
          <w:bCs/>
          <w:color w:val="2F5D53"/>
          <w:sz w:val="26"/>
          <w:szCs w:val="26"/>
        </w:rPr>
        <w:t xml:space="preserve">7  Kursbezug &amp; Werkzeuge</w:t>
      </w:r>
    </w:p>
    <w:p>
      <w:pPr>
        <w:spacing w:after="90" w:line="264"/>
      </w:pPr>
      <w:r>
        <w:rPr>
          <w:rFonts w:ascii="Calibri" w:cs="Calibri" w:eastAsia="Calibri" w:hAnsi="Calibri"/>
          <w:color w:val="171A17"/>
          <w:sz w:val="20"/>
          <w:szCs w:val="20"/>
        </w:rPr>
        <w:t xml:space="preserve">Umsetzung in Python mit Streamlit (interaktive App), scikit-learn (Modell/Pipeline/CV), pandas/numpy, Plotly (Visualisierung), SHAP (Erklärbarkeit) sowie optional yfinance, NewsAPI und Google Gemini. Qualitätssicherung über pytest und Cross-Validation; Dokumentation in acht Jupyter-Notebooks entlang QUA³CK.</w:t>
      </w:r>
    </w:p>
    <w:p>
      <w:pPr>
        <w:spacing w:after="90" w:line="264"/>
      </w:pPr>
      <w:r>
        <w:rPr>
          <w:rFonts w:ascii="Calibri" w:cs="Calibri" w:eastAsia="Calibri" w:hAnsi="Calibri"/>
          <w:b/>
          <w:bCs/>
          <w:color w:val="171A17"/>
          <w:sz w:val="20"/>
          <w:szCs w:val="20"/>
        </w:rPr>
        <w:t xml:space="preserve">Bezug zum Kurslehrbuch (Géron): </w:t>
      </w:r>
      <w:r>
        <w:rPr>
          <w:rFonts w:ascii="Calibri" w:cs="Calibri" w:eastAsia="Calibri" w:hAnsi="Calibri"/>
          <w:color w:val="171A17"/>
          <w:sz w:val="20"/>
          <w:szCs w:val="20"/>
        </w:rPr>
        <w:t xml:space="preserve">Kap. 1 (ML-Grundlagen) zur Einordnung, Kap. 3 (Klassifikation) für Metriken und die These „warum 95 % Accuracy wertlos sein können“, Kap. 4 (Trainieren von Modellen) für Overfitting und Lernkurven.</w:t>
      </w:r>
    </w:p>
    <w:p>
      <w:pPr>
        <w:pStyle w:val="Heading1"/>
        <w:spacing w:after="90" w:before="220"/>
      </w:pPr>
      <w:r>
        <w:rPr>
          <w:rFonts w:ascii="Cambria" w:cs="Cambria" w:eastAsia="Cambria" w:hAnsi="Cambria"/>
          <w:b/>
          <w:bCs/>
          <w:color w:val="2F5D53"/>
          <w:sz w:val="26"/>
          <w:szCs w:val="26"/>
        </w:rPr>
        <w:t xml:space="preserve">Quellenverzeichnis</w:t>
      </w:r>
    </w:p>
    <w:p>
      <w:pPr>
        <w:pStyle w:val="ListParagraph"/>
        <w:numPr>
          <w:ilvl w:val="0"/>
          <w:numId w:val="1"/>
        </w:numPr>
        <w:spacing w:after="50" w:line="260"/>
      </w:pPr>
      <w:r>
        <w:rPr>
          <w:rFonts w:ascii="Calibri" w:cs="Calibri" w:eastAsia="Calibri" w:hAnsi="Calibri"/>
          <w:color w:val="171A17"/>
          <w:sz w:val="20"/>
          <w:szCs w:val="20"/>
        </w:rPr>
        <w:t xml:space="preserve">Géron, A. (2023): Praxiseinstieg Machine Learning mit Scikit-Learn, Keras und TensorFlow. 3. Aufl., O’Reilly. [Kurslehrbuch, Kap. 1–9]</w:t>
      </w:r>
    </w:p>
    <w:p>
      <w:pPr>
        <w:pStyle w:val="ListParagraph"/>
        <w:numPr>
          <w:ilvl w:val="0"/>
          <w:numId w:val="1"/>
        </w:numPr>
        <w:spacing w:after="50" w:line="260"/>
      </w:pPr>
      <w:r>
        <w:rPr>
          <w:rFonts w:ascii="Calibri" w:cs="Calibri" w:eastAsia="Calibri" w:hAnsi="Calibri"/>
          <w:color w:val="171A17"/>
          <w:sz w:val="20"/>
          <w:szCs w:val="20"/>
        </w:rPr>
        <w:t xml:space="preserve">Fama, E. (1970): Efficient Capital Markets. Journal of Finance, 25(2), 383–417.</w:t>
      </w:r>
    </w:p>
    <w:p>
      <w:pPr>
        <w:pStyle w:val="ListParagraph"/>
        <w:numPr>
          <w:ilvl w:val="0"/>
          <w:numId w:val="1"/>
        </w:numPr>
        <w:spacing w:after="50" w:line="260"/>
      </w:pPr>
      <w:r>
        <w:rPr>
          <w:rFonts w:ascii="Calibri" w:cs="Calibri" w:eastAsia="Calibri" w:hAnsi="Calibri"/>
          <w:color w:val="171A17"/>
          <w:sz w:val="20"/>
          <w:szCs w:val="20"/>
        </w:rPr>
        <w:t xml:space="preserve">Lundberg, S. &amp; Lee, S.-I. (2017): A Unified Approach to Interpreting Model Predictions (SHAP). NeurIPS.</w:t>
      </w:r>
    </w:p>
    <w:p>
      <w:pPr>
        <w:pStyle w:val="ListParagraph"/>
        <w:numPr>
          <w:ilvl w:val="0"/>
          <w:numId w:val="1"/>
        </w:numPr>
        <w:spacing w:after="50" w:line="260"/>
      </w:pPr>
      <w:r>
        <w:rPr>
          <w:rFonts w:ascii="Calibri" w:cs="Calibri" w:eastAsia="Calibri" w:hAnsi="Calibri"/>
          <w:color w:val="171A17"/>
          <w:sz w:val="20"/>
          <w:szCs w:val="20"/>
        </w:rPr>
        <w:t xml:space="preserve">Li, J. et al. (2024): Comparison of Imputation Methods. BMC Medical Research Methodology.</w:t>
      </w:r>
    </w:p>
    <w:p>
      <w:pPr>
        <w:pStyle w:val="ListParagraph"/>
        <w:numPr>
          <w:ilvl w:val="0"/>
          <w:numId w:val="1"/>
        </w:numPr>
        <w:spacing w:after="50" w:line="260"/>
      </w:pPr>
      <w:r>
        <w:rPr>
          <w:rFonts w:ascii="Calibri" w:cs="Calibri" w:eastAsia="Calibri" w:hAnsi="Calibri"/>
          <w:color w:val="171A17"/>
          <w:sz w:val="20"/>
          <w:szCs w:val="20"/>
        </w:rPr>
        <w:t xml:space="preserve">Pinheiro, F. et al. (2025): The Impact of Feature Scaling in Machine Learning. arXiv:2506.08274.</w:t>
      </w:r>
    </w:p>
    <w:p>
      <w:pPr>
        <w:pStyle w:val="ListParagraph"/>
        <w:numPr>
          <w:ilvl w:val="0"/>
          <w:numId w:val="1"/>
        </w:numPr>
        <w:spacing w:after="50" w:line="260"/>
      </w:pPr>
      <w:r>
        <w:rPr>
          <w:rFonts w:ascii="Calibri" w:cs="Calibri" w:eastAsia="Calibri" w:hAnsi="Calibri"/>
          <w:color w:val="171A17"/>
          <w:sz w:val="20"/>
          <w:szCs w:val="20"/>
        </w:rPr>
        <w:t xml:space="preserve">Stock, A. et al. (2021): QUA³CK — A Machine Learning Development Process. KIT ITIV.</w:t>
      </w:r>
    </w:p>
    <w:p>
      <w:pPr>
        <w:pStyle w:val="ListParagraph"/>
        <w:numPr>
          <w:ilvl w:val="0"/>
          <w:numId w:val="1"/>
        </w:numPr>
        <w:spacing w:after="50" w:line="260"/>
      </w:pPr>
      <w:r>
        <w:rPr>
          <w:rFonts w:ascii="Calibri" w:cs="Calibri" w:eastAsia="Calibri" w:hAnsi="Calibri"/>
          <w:color w:val="171A17"/>
          <w:sz w:val="20"/>
          <w:szCs w:val="20"/>
        </w:rPr>
        <w:t xml:space="preserve">Marjanovic, B.: Huge Stock Market Dataset (US Stocks &amp; ETFs). Kaggle, CC0 Public Domain.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259"/>
        <w:sz w:val="15"/>
        <w:szCs w:val="15"/>
      </w:rPr>
      <w:t xml:space="preserve">Soufiane Fedan · Seite </w:t>
    </w:r>
    <w:r>
      <w:rPr>
        <w:rFonts w:ascii="Calibri" w:cs="Calibri" w:eastAsia="Calibri" w:hAnsi="Calibri"/>
        <w:color w:val="5B62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D53" w:sz="4" w:space="4"/>
      </w:pBdr>
      <w:spacing w:after="40"/>
    </w:pPr>
    <w:r>
      <w:rPr>
        <w:rFonts w:ascii="Cambria" w:cs="Cambria" w:eastAsia="Cambria" w:hAnsi="Cambria"/>
        <w:b/>
        <w:bCs/>
        <w:color w:val="2F5D53"/>
        <w:sz w:val="18"/>
        <w:szCs w:val="18"/>
      </w:rPr>
      <w:t xml:space="preserve">WealthScope AI</w:t>
    </w:r>
    <w:r>
      <w:rPr>
        <w:rFonts w:ascii="Calibri" w:cs="Calibri" w:eastAsia="Calibri" w:hAnsi="Calibri"/>
        <w:color w:val="5B6259"/>
        <w:sz w:val="16"/>
        <w:szCs w:val="16"/>
      </w:rPr>
      <w:t xml:space="preserve">   ·   Handout zum Referat   ·   Data Analytics und Big Data (DSDABD072501)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f5a28c2d183a5f6fee7253837b4cf14824cc2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2026-07-11T20:22:07.374Z</dcterms:created>
  <dcterms:modified xsi:type="dcterms:W3CDTF">2026-07-11T20:22:07.375Z</dcterms:modified>
</cp:coreProperties>
</file>

<file path=docProps/custom.xml><?xml version="1.0" encoding="utf-8"?>
<Properties xmlns="http://schemas.openxmlformats.org/officeDocument/2006/custom-properties" xmlns:vt="http://schemas.openxmlformats.org/officeDocument/2006/docPropsVTypes"/>
</file>