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50" w:lineRule="auto"/>
      </w:pPr>
      <w:r>
        <w:rPr>
          <w:rFonts w:ascii="Aptos" w:hAnsi="Aptos"/>
          <w:b/>
          <w:color w:val="B98519"/>
          <w:sz w:val="18"/>
        </w:rPr>
        <w:t>WEALTHSCOPE AI</w:t>
      </w:r>
    </w:p>
    <w:p>
      <w:pPr>
        <w:spacing w:after="80"/>
      </w:pPr>
      <w:r>
        <w:rPr>
          <w:rFonts w:ascii="Aptos Display" w:hAnsi="Aptos Display"/>
          <w:b/>
          <w:color w:val="1F5A4E"/>
          <w:sz w:val="56"/>
        </w:rPr>
        <w:t>Interaktive Finanzanalyse</w:t>
        <w:br/>
        <w:t>mit Machine Learning</w:t>
      </w:r>
    </w:p>
    <w:p>
      <w:pPr>
        <w:spacing w:after="160" w:line="250" w:lineRule="auto"/>
      </w:pPr>
      <w:r>
        <w:rPr>
          <w:rFonts w:ascii="Aptos" w:hAnsi="Aptos"/>
          <w:b/>
          <w:color w:val="58635E"/>
          <w:sz w:val="20"/>
        </w:rPr>
        <w:t>Fünfseitige Projektausarbeitung · Version 1.0 · QUA³CK-Prozessmodell</w:t>
      </w:r>
    </w:p>
    <w:tbl>
      <w:tblPr>
        <w:tblW w:type="auto" w:w="0"/>
        <w:jc w:val="center"/>
        <w:tblLayout w:type="autofit"/>
        <w:tblLook w:firstColumn="1" w:firstRow="1" w:lastColumn="0" w:lastRow="0" w:noHBand="0" w:noVBand="1" w:val="04A0"/>
      </w:tblPr>
      <w:tblGrid>
        <w:gridCol w:w="10262"/>
      </w:tblGrid>
      <w:tr>
        <w:tc>
          <w:tcPr>
            <w:tcW w:type="dxa" w:w="10262"/>
            <w:shd w:fill="EAF1ED"/>
            <w:tcMar>
              <w:top w:w="100" w:type="dxa"/>
              <w:start w:w="130" w:type="dxa"/>
              <w:bottom w:w="100" w:type="dxa"/>
              <w:end w:w="130" w:type="dxa"/>
            </w:tcMar>
            <w:vAlign w:val="center"/>
          </w:tcPr>
          <w:p>
            <w:pPr>
              <w:spacing w:after="40"/>
            </w:pPr>
            <w:r>
              <w:rPr>
                <w:rFonts w:ascii="Aptos" w:hAnsi="Aptos"/>
                <w:b/>
                <w:color w:val="1F5A4E"/>
                <w:sz w:val="18"/>
              </w:rPr>
              <w:t>Leitfrage</w:t>
            </w:r>
          </w:p>
          <w:p>
            <w:pPr>
              <w:spacing w:after="0" w:line="240" w:lineRule="auto"/>
            </w:pPr>
            <w:r>
              <w:rPr>
                <w:rFonts w:ascii="Aptos" w:hAnsi="Aptos"/>
                <w:color w:val="17201D"/>
                <w:sz w:val="17"/>
              </w:rPr>
              <w:t>Wie können historische US-Aktienmarktdaten genutzt werden, um eine interaktive Finanzanalyse-App zu entwickeln, die technische Analyse, ML-Signalgebung und risikobasierte Positionsplanung nachvollziehbar kombiniert?</w:t>
            </w:r>
          </w:p>
        </w:tc>
      </w:tr>
    </w:tbl>
    <w:p>
      <w:pPr>
        <w:spacing w:after="0"/>
      </w:pPr>
    </w:p>
    <w:p>
      <w:pPr>
        <w:spacing w:before="20" w:after="40"/>
        <w:keepNext/>
      </w:pPr>
      <w:r>
        <w:rPr>
          <w:rFonts w:ascii="Aptos Display" w:hAnsi="Aptos Display"/>
          <w:b/>
          <w:color w:val="B98519"/>
          <w:sz w:val="22"/>
        </w:rPr>
        <w:t>Kurzfassung</w:t>
      </w:r>
    </w:p>
    <w:p>
      <w:pPr>
        <w:spacing w:after="60" w:line="250" w:lineRule="auto"/>
      </w:pPr>
      <w:r>
        <w:rPr>
          <w:rFonts w:ascii="Aptos" w:hAnsi="Aptos"/>
          <w:b w:val="0"/>
          <w:color w:val="17201D"/>
          <w:sz w:val="18"/>
        </w:rPr>
        <w:t>WealthScope AI ist ein wissenschaftlicher Streamlit-Prototyp. Er verbindet 192.119 Feature-Datenpunkte aus 26 US-Blue-Chip-Titeln (1962–2017) mit technischen Indikatoren, einem reproduzierbaren Klassifikationsbenchmark und erklärbaren Risiko- und Transfermodulen. Ziel ist nicht die Behauptung sicherer Kursprognosen, sondern eine transparente Demonstration dessen, was Machine Learning aus historischen Kursdaten lernen kann – und wo seine Grenzen liegen.</w:t>
      </w:r>
    </w:p>
    <w:p>
      <w:pPr>
        <w:spacing w:before="20" w:after="40"/>
        <w:keepNext/>
      </w:pPr>
      <w:r>
        <w:rPr>
          <w:rFonts w:ascii="Aptos Display" w:hAnsi="Aptos Display"/>
          <w:b/>
          <w:color w:val="B98519"/>
          <w:sz w:val="22"/>
        </w:rPr>
        <w:t>Beitrag und Abgrenzung</w:t>
      </w:r>
    </w:p>
    <w:p>
      <w:pPr>
        <w:pStyle w:val="ListBullet"/>
        <w:spacing w:after="30" w:line="240" w:lineRule="auto"/>
        <w:ind w:left="255" w:hanging="125"/>
      </w:pPr>
      <w:r>
        <w:rPr>
          <w:rFonts w:ascii="Aptos" w:hAnsi="Aptos"/>
          <w:color w:val="17201D"/>
          <w:sz w:val="17"/>
        </w:rPr>
        <w:t>QUA³CK dokumentiert den Weg von der Frage bis zum Wissenstransfer.</w:t>
      </w:r>
    </w:p>
    <w:p>
      <w:pPr>
        <w:pStyle w:val="ListBullet"/>
        <w:spacing w:after="30" w:line="240" w:lineRule="auto"/>
        <w:ind w:left="255" w:hanging="125"/>
      </w:pPr>
      <w:r>
        <w:rPr>
          <w:rFonts w:ascii="Aptos" w:hAnsi="Aptos"/>
          <w:color w:val="17201D"/>
          <w:sz w:val="17"/>
        </w:rPr>
        <w:t>Fünf Modellgenerationen werden auf demselben zeitlichen Testfenster verglichen.</w:t>
      </w:r>
    </w:p>
    <w:p>
      <w:pPr>
        <w:pStyle w:val="ListBullet"/>
        <w:spacing w:after="30" w:line="240" w:lineRule="auto"/>
        <w:ind w:left="255" w:hanging="125"/>
      </w:pPr>
      <w:r>
        <w:rPr>
          <w:rFonts w:ascii="Aptos" w:hAnsi="Aptos"/>
          <w:color w:val="17201D"/>
          <w:sz w:val="17"/>
        </w:rPr>
        <w:t>StandardScaler und Imputation werden ausschließlich innerhalb der Trainingspipeline gefittet.</w:t>
      </w:r>
    </w:p>
    <w:p>
      <w:pPr>
        <w:pStyle w:val="ListBullet"/>
        <w:spacing w:after="30" w:line="240" w:lineRule="auto"/>
        <w:ind w:left="255" w:hanging="125"/>
      </w:pPr>
      <w:r>
        <w:rPr>
          <w:rFonts w:ascii="Aptos" w:hAnsi="Aptos"/>
          <w:color w:val="17201D"/>
          <w:sz w:val="17"/>
        </w:rPr>
        <w:t>Das schwache Ergebnis wird nicht behauptet, sondern gegen die naheliegenden Gegenerklärungen geprüft: Ein naiver Zufalls-Split würde dieselben Daten mit AUC 0,581 statt 0,519 bewerten – ein 4,2-mal größeres scheinbares Signal.</w:t>
      </w:r>
    </w:p>
    <w:p>
      <w:pPr>
        <w:pStyle w:val="ListBullet"/>
        <w:spacing w:after="30" w:line="240" w:lineRule="auto"/>
        <w:ind w:left="255" w:hanging="125"/>
      </w:pPr>
      <w:r>
        <w:rPr>
          <w:rFonts w:ascii="Aptos" w:hAnsi="Aptos"/>
          <w:color w:val="17201D"/>
          <w:sz w:val="17"/>
        </w:rPr>
        <w:t>Die App erklärt Ergebnisse, bietet Export und Lernstudio, ist aber weder Handelsbot noch Anlageberatung.</w:t>
      </w:r>
    </w:p>
    <w:p>
      <w:pPr>
        <w:spacing w:after="0" w:line="250" w:lineRule="auto"/>
      </w:pPr>
      <w:r>
        <w:rPr>
          <w:rFonts w:ascii="Aptos" w:hAnsi="Aptos"/>
          <w:b w:val="0"/>
          <w:color w:val="58635E"/>
          <w:sz w:val="16"/>
        </w:rPr>
        <w:t>Autor: Soufiane Fedan · Matrikelnummer 10247259 · Tutor: Klaus Quibeldey-Cirkel · Modul Data Analytics und Big Data</w:t>
      </w:r>
    </w:p>
    <w:p>
      <w:r>
        <w:br w:type="page"/>
      </w:r>
    </w:p>
    <w:p>
      <w:pPr>
        <w:spacing w:after="20"/>
      </w:pPr>
      <w:r>
        <w:rPr>
          <w:rFonts w:ascii="Aptos" w:hAnsi="Aptos"/>
          <w:b/>
          <w:color w:val="B98519"/>
          <w:sz w:val="16"/>
        </w:rPr>
        <w:t>Q · U · A</w:t>
      </w:r>
    </w:p>
    <w:p>
      <w:pPr>
        <w:spacing w:before="40" w:after="80"/>
        <w:keepNext/>
      </w:pPr>
      <w:r>
        <w:rPr>
          <w:rFonts w:ascii="Aptos Display" w:hAnsi="Aptos Display"/>
          <w:b/>
          <w:color w:val="1F5A4E"/>
          <w:sz w:val="34"/>
        </w:rPr>
        <w:t>Problem, Datenverständnis und Features</w:t>
      </w:r>
    </w:p>
    <w:p>
      <w:pPr>
        <w:spacing w:before="20" w:after="40"/>
        <w:keepNext/>
      </w:pPr>
      <w:r>
        <w:rPr>
          <w:rFonts w:ascii="Aptos Display" w:hAnsi="Aptos Display"/>
          <w:b/>
          <w:color w:val="B98519"/>
          <w:sz w:val="22"/>
        </w:rPr>
        <w:t>1. Problemstellung und Hypothesen</w:t>
      </w:r>
    </w:p>
    <w:p>
      <w:pPr>
        <w:spacing w:after="60" w:line="250" w:lineRule="auto"/>
      </w:pPr>
      <w:r>
        <w:rPr>
          <w:rFonts w:ascii="Aptos" w:hAnsi="Aptos"/>
          <w:b w:val="0"/>
          <w:color w:val="17201D"/>
          <w:sz w:val="18"/>
        </w:rPr>
        <w:t>Privatanleger treffen auf Datenfülle, widersprüchliche Signale und schwer erklärbare KI. WealthScope AI übersetzt Marktdaten in prüfbare Analysen. H1 untersucht, ob der Random Forest die Zufallsgrenze ROC-AUC 0,5 robust übertrifft. H2 prüft den verständlichen Wissenstransfer über Streamlit. H3 bewertet den praktischen Mehrwert der Kombination aus Technik, ML und Risiko.</w:t>
      </w:r>
    </w:p>
    <w:p>
      <w:pPr>
        <w:spacing w:before="20" w:after="40"/>
        <w:keepNext/>
      </w:pPr>
      <w:r>
        <w:rPr>
          <w:rFonts w:ascii="Aptos Display" w:hAnsi="Aptos Display"/>
          <w:b/>
          <w:color w:val="B98519"/>
          <w:sz w:val="22"/>
        </w:rPr>
        <w:t>2. Datenbasis und Datenqualität</w:t>
      </w:r>
    </w:p>
    <w:tbl>
      <w:tblPr>
        <w:tblStyle w:val="TableGrid"/>
        <w:tblW w:type="auto" w:w="0"/>
        <w:jc w:val="center"/>
        <w:tblLook w:firstColumn="1" w:firstRow="1" w:lastColumn="0" w:lastRow="0" w:noHBand="0" w:noVBand="1" w:val="04A0"/>
      </w:tblPr>
      <w:tblGrid>
        <w:gridCol w:w="3421"/>
        <w:gridCol w:w="3421"/>
        <w:gridCol w:w="3421"/>
      </w:tblGrid>
      <w:tr>
        <w:tc>
          <w:tcPr>
            <w:tcW w:type="dxa" w:w="3421"/>
            <w:shd w:fill="1F5A4E"/>
            <w:tcMar>
              <w:top w:w="70" w:type="dxa"/>
              <w:start w:w="90" w:type="dxa"/>
              <w:bottom w:w="70" w:type="dxa"/>
              <w:end w:w="90" w:type="dxa"/>
            </w:tcMar>
          </w:tcPr>
          <w:p>
            <w:r>
              <w:rPr>
                <w:rFonts w:ascii="Aptos" w:hAnsi="Aptos"/>
                <w:b/>
                <w:color w:val="FFFFFF"/>
                <w:sz w:val="16"/>
              </w:rPr>
              <w:t>Aspekt</w:t>
            </w:r>
          </w:p>
        </w:tc>
        <w:tc>
          <w:tcPr>
            <w:tcW w:type="dxa" w:w="3421"/>
            <w:shd w:fill="1F5A4E"/>
            <w:tcMar>
              <w:top w:w="70" w:type="dxa"/>
              <w:start w:w="90" w:type="dxa"/>
              <w:bottom w:w="70" w:type="dxa"/>
              <w:end w:w="90" w:type="dxa"/>
            </w:tcMar>
          </w:tcPr>
          <w:p>
            <w:r>
              <w:rPr>
                <w:rFonts w:ascii="Aptos" w:hAnsi="Aptos"/>
                <w:b/>
                <w:color w:val="FFFFFF"/>
                <w:sz w:val="16"/>
              </w:rPr>
              <w:t>Umsetzung</w:t>
            </w:r>
          </w:p>
        </w:tc>
        <w:tc>
          <w:tcPr>
            <w:tcW w:type="dxa" w:w="3421"/>
            <w:shd w:fill="1F5A4E"/>
            <w:tcMar>
              <w:top w:w="70" w:type="dxa"/>
              <w:start w:w="90" w:type="dxa"/>
              <w:bottom w:w="70" w:type="dxa"/>
              <w:end w:w="90" w:type="dxa"/>
            </w:tcMar>
          </w:tcPr>
          <w:p>
            <w:r>
              <w:rPr>
                <w:rFonts w:ascii="Aptos" w:hAnsi="Aptos"/>
                <w:b/>
                <w:color w:val="FFFFFF"/>
                <w:sz w:val="16"/>
              </w:rPr>
              <w:t>Bedeutung</w:t>
            </w:r>
          </w:p>
        </w:tc>
      </w:tr>
      <w:tr>
        <w:tc>
          <w:tcPr>
            <w:tcW w:type="dxa" w:w="1587"/>
            <w:tcMar>
              <w:top w:w="70" w:type="dxa"/>
              <w:start w:w="90" w:type="dxa"/>
              <w:bottom w:w="70" w:type="dxa"/>
              <w:end w:w="90" w:type="dxa"/>
            </w:tcMar>
          </w:tcPr>
          <w:p>
            <w:pPr>
              <w:spacing w:after="0"/>
            </w:pPr>
            <w:r>
              <w:rPr>
                <w:rFonts w:ascii="Aptos" w:hAnsi="Aptos"/>
                <w:color w:val="17201D"/>
                <w:sz w:val="15"/>
              </w:rPr>
              <w:t>Quelle</w:t>
            </w:r>
          </w:p>
        </w:tc>
        <w:tc>
          <w:tcPr>
            <w:tcW w:type="dxa" w:w="2948"/>
            <w:tcMar>
              <w:top w:w="70" w:type="dxa"/>
              <w:start w:w="90" w:type="dxa"/>
              <w:bottom w:w="70" w:type="dxa"/>
              <w:end w:w="90" w:type="dxa"/>
            </w:tcMar>
          </w:tcPr>
          <w:p>
            <w:pPr>
              <w:spacing w:after="0"/>
            </w:pPr>
            <w:r>
              <w:rPr>
                <w:rFonts w:ascii="Aptos" w:hAnsi="Aptos"/>
                <w:color w:val="17201D"/>
                <w:sz w:val="15"/>
              </w:rPr>
              <w:t>Kaggle US Stocks &amp; ETFs, CC0</w:t>
            </w:r>
          </w:p>
        </w:tc>
        <w:tc>
          <w:tcPr>
            <w:tcW w:type="dxa" w:w="4649"/>
            <w:tcMar>
              <w:top w:w="70" w:type="dxa"/>
              <w:start w:w="90" w:type="dxa"/>
              <w:bottom w:w="70" w:type="dxa"/>
              <w:end w:w="90" w:type="dxa"/>
            </w:tcMar>
          </w:tcPr>
          <w:p>
            <w:pPr>
              <w:spacing w:after="0"/>
            </w:pPr>
            <w:r>
              <w:rPr>
                <w:rFonts w:ascii="Aptos" w:hAnsi="Aptos"/>
                <w:color w:val="17201D"/>
                <w:sz w:val="15"/>
              </w:rPr>
              <w:t>Nachvollziehbare historische Basis</w:t>
            </w:r>
          </w:p>
        </w:tc>
      </w:tr>
      <w:tr>
        <w:tc>
          <w:tcPr>
            <w:tcW w:type="dxa" w:w="1587"/>
            <w:tcMar>
              <w:top w:w="70" w:type="dxa"/>
              <w:start w:w="90" w:type="dxa"/>
              <w:bottom w:w="70" w:type="dxa"/>
              <w:end w:w="90" w:type="dxa"/>
            </w:tcMar>
            <w:shd w:fill="F4F7F5"/>
          </w:tcPr>
          <w:p>
            <w:pPr>
              <w:spacing w:after="0"/>
            </w:pPr>
            <w:r>
              <w:rPr>
                <w:rFonts w:ascii="Aptos" w:hAnsi="Aptos"/>
                <w:color w:val="17201D"/>
                <w:sz w:val="15"/>
              </w:rPr>
              <w:t>Umfang</w:t>
            </w:r>
          </w:p>
        </w:tc>
        <w:tc>
          <w:tcPr>
            <w:tcW w:type="dxa" w:w="2948"/>
            <w:tcMar>
              <w:top w:w="70" w:type="dxa"/>
              <w:start w:w="90" w:type="dxa"/>
              <w:bottom w:w="70" w:type="dxa"/>
              <w:end w:w="90" w:type="dxa"/>
            </w:tcMar>
            <w:shd w:fill="F4F7F5"/>
          </w:tcPr>
          <w:p>
            <w:pPr>
              <w:spacing w:after="0"/>
            </w:pPr>
            <w:r>
              <w:rPr>
                <w:rFonts w:ascii="Aptos" w:hAnsi="Aptos"/>
                <w:color w:val="17201D"/>
                <w:sz w:val="15"/>
              </w:rPr>
              <w:t>192.119 Zeilen, 26 Ticker</w:t>
            </w:r>
          </w:p>
        </w:tc>
        <w:tc>
          <w:tcPr>
            <w:tcW w:type="dxa" w:w="4649"/>
            <w:tcMar>
              <w:top w:w="70" w:type="dxa"/>
              <w:start w:w="90" w:type="dxa"/>
              <w:bottom w:w="70" w:type="dxa"/>
              <w:end w:w="90" w:type="dxa"/>
            </w:tcMar>
            <w:shd w:fill="F4F7F5"/>
          </w:tcPr>
          <w:p>
            <w:pPr>
              <w:spacing w:after="0"/>
            </w:pPr>
            <w:r>
              <w:rPr>
                <w:rFonts w:ascii="Aptos" w:hAnsi="Aptos"/>
                <w:color w:val="17201D"/>
                <w:sz w:val="15"/>
              </w:rPr>
              <w:t>Mehrere Sektoren und Marktphasen</w:t>
            </w:r>
          </w:p>
        </w:tc>
      </w:tr>
      <w:tr>
        <w:tc>
          <w:tcPr>
            <w:tcW w:type="dxa" w:w="1587"/>
            <w:tcMar>
              <w:top w:w="70" w:type="dxa"/>
              <w:start w:w="90" w:type="dxa"/>
              <w:bottom w:w="70" w:type="dxa"/>
              <w:end w:w="90" w:type="dxa"/>
            </w:tcMar>
          </w:tcPr>
          <w:p>
            <w:pPr>
              <w:spacing w:after="0"/>
            </w:pPr>
            <w:r>
              <w:rPr>
                <w:rFonts w:ascii="Aptos" w:hAnsi="Aptos"/>
                <w:color w:val="17201D"/>
                <w:sz w:val="15"/>
              </w:rPr>
              <w:t>Zeitraum</w:t>
            </w:r>
          </w:p>
        </w:tc>
        <w:tc>
          <w:tcPr>
            <w:tcW w:type="dxa" w:w="2948"/>
            <w:tcMar>
              <w:top w:w="70" w:type="dxa"/>
              <w:start w:w="90" w:type="dxa"/>
              <w:bottom w:w="70" w:type="dxa"/>
              <w:end w:w="90" w:type="dxa"/>
            </w:tcMar>
          </w:tcPr>
          <w:p>
            <w:pPr>
              <w:spacing w:after="0"/>
            </w:pPr>
            <w:r>
              <w:rPr>
                <w:rFonts w:ascii="Aptos" w:hAnsi="Aptos"/>
                <w:color w:val="17201D"/>
                <w:sz w:val="15"/>
              </w:rPr>
              <w:t>1962–2017</w:t>
            </w:r>
          </w:p>
        </w:tc>
        <w:tc>
          <w:tcPr>
            <w:tcW w:type="dxa" w:w="4649"/>
            <w:tcMar>
              <w:top w:w="70" w:type="dxa"/>
              <w:start w:w="90" w:type="dxa"/>
              <w:bottom w:w="70" w:type="dxa"/>
              <w:end w:w="90" w:type="dxa"/>
            </w:tcMar>
          </w:tcPr>
          <w:p>
            <w:pPr>
              <w:spacing w:after="0"/>
            </w:pPr>
            <w:r>
              <w:rPr>
                <w:rFonts w:ascii="Aptos" w:hAnsi="Aptos"/>
                <w:color w:val="17201D"/>
                <w:sz w:val="15"/>
              </w:rPr>
              <w:t>Lange Historie, aber Distribution Shift zu heute</w:t>
            </w:r>
          </w:p>
        </w:tc>
      </w:tr>
      <w:tr>
        <w:tc>
          <w:tcPr>
            <w:tcW w:type="dxa" w:w="1587"/>
            <w:tcMar>
              <w:top w:w="70" w:type="dxa"/>
              <w:start w:w="90" w:type="dxa"/>
              <w:bottom w:w="70" w:type="dxa"/>
              <w:end w:w="90" w:type="dxa"/>
            </w:tcMar>
            <w:shd w:fill="F4F7F5"/>
          </w:tcPr>
          <w:p>
            <w:pPr>
              <w:spacing w:after="0"/>
            </w:pPr>
            <w:r>
              <w:rPr>
                <w:rFonts w:ascii="Aptos" w:hAnsi="Aptos"/>
                <w:color w:val="17201D"/>
                <w:sz w:val="15"/>
              </w:rPr>
              <w:t>Ziel</w:t>
            </w:r>
          </w:p>
        </w:tc>
        <w:tc>
          <w:tcPr>
            <w:tcW w:type="dxa" w:w="2948"/>
            <w:tcMar>
              <w:top w:w="70" w:type="dxa"/>
              <w:start w:w="90" w:type="dxa"/>
              <w:bottom w:w="70" w:type="dxa"/>
              <w:end w:w="90" w:type="dxa"/>
            </w:tcMar>
            <w:shd w:fill="F4F7F5"/>
          </w:tcPr>
          <w:p>
            <w:pPr>
              <w:spacing w:after="0"/>
            </w:pPr>
            <w:r>
              <w:rPr>
                <w:rFonts w:ascii="Aptos" w:hAnsi="Aptos"/>
                <w:color w:val="17201D"/>
                <w:sz w:val="15"/>
              </w:rPr>
              <w:t>target_20d</w:t>
            </w:r>
          </w:p>
        </w:tc>
        <w:tc>
          <w:tcPr>
            <w:tcW w:type="dxa" w:w="4649"/>
            <w:tcMar>
              <w:top w:w="70" w:type="dxa"/>
              <w:start w:w="90" w:type="dxa"/>
              <w:bottom w:w="70" w:type="dxa"/>
              <w:end w:w="90" w:type="dxa"/>
            </w:tcMar>
            <w:shd w:fill="F4F7F5"/>
          </w:tcPr>
          <w:p>
            <w:pPr>
              <w:spacing w:after="0"/>
            </w:pPr>
            <w:r>
              <w:rPr>
                <w:rFonts w:ascii="Aptos" w:hAnsi="Aptos"/>
                <w:color w:val="17201D"/>
                <w:sz w:val="15"/>
              </w:rPr>
              <w:t>Kurs in 20 Handelstagen höher: 1, sonst 0</w:t>
            </w:r>
          </w:p>
        </w:tc>
      </w:tr>
      <w:tr>
        <w:tc>
          <w:tcPr>
            <w:tcW w:type="dxa" w:w="1587"/>
            <w:tcMar>
              <w:top w:w="70" w:type="dxa"/>
              <w:start w:w="90" w:type="dxa"/>
              <w:bottom w:w="70" w:type="dxa"/>
              <w:end w:w="90" w:type="dxa"/>
            </w:tcMar>
          </w:tcPr>
          <w:p>
            <w:pPr>
              <w:spacing w:after="0"/>
            </w:pPr>
            <w:r>
              <w:rPr>
                <w:rFonts w:ascii="Aptos" w:hAnsi="Aptos"/>
                <w:color w:val="17201D"/>
                <w:sz w:val="15"/>
              </w:rPr>
              <w:t>Fehlwerte</w:t>
            </w:r>
          </w:p>
        </w:tc>
        <w:tc>
          <w:tcPr>
            <w:tcW w:type="dxa" w:w="2948"/>
            <w:tcMar>
              <w:top w:w="70" w:type="dxa"/>
              <w:start w:w="90" w:type="dxa"/>
              <w:bottom w:w="70" w:type="dxa"/>
              <w:end w:w="90" w:type="dxa"/>
            </w:tcMar>
          </w:tcPr>
          <w:p>
            <w:pPr>
              <w:spacing w:after="0"/>
            </w:pPr>
            <w:r>
              <w:rPr>
                <w:rFonts w:ascii="Aptos" w:hAnsi="Aptos"/>
                <w:color w:val="17201D"/>
                <w:sz w:val="15"/>
              </w:rPr>
              <w:t>Median-Imputation in Pipeline</w:t>
            </w:r>
          </w:p>
        </w:tc>
        <w:tc>
          <w:tcPr>
            <w:tcW w:type="dxa" w:w="4649"/>
            <w:tcMar>
              <w:top w:w="70" w:type="dxa"/>
              <w:start w:w="90" w:type="dxa"/>
              <w:bottom w:w="70" w:type="dxa"/>
              <w:end w:w="90" w:type="dxa"/>
            </w:tcMar>
          </w:tcPr>
          <w:p>
            <w:pPr>
              <w:spacing w:after="0"/>
            </w:pPr>
            <w:r>
              <w:rPr>
                <w:rFonts w:ascii="Aptos" w:hAnsi="Aptos"/>
                <w:color w:val="17201D"/>
                <w:sz w:val="15"/>
              </w:rPr>
              <w:t>Robust gegen Ausreißer; kein Testwissen</w:t>
            </w:r>
          </w:p>
        </w:tc>
      </w:tr>
    </w:tbl>
    <w:p>
      <w:pPr>
        <w:spacing w:after="0"/>
      </w:pPr>
    </w:p>
    <w:p>
      <w:pPr>
        <w:spacing w:before="20" w:after="40"/>
        <w:keepNext/>
      </w:pPr>
      <w:r>
        <w:rPr>
          <w:rFonts w:ascii="Aptos Display" w:hAnsi="Aptos Display"/>
          <w:b/>
          <w:color w:val="B98519"/>
          <w:sz w:val="22"/>
        </w:rPr>
        <w:t>3. Feature Engineering</w:t>
      </w:r>
    </w:p>
    <w:p>
      <w:pPr>
        <w:pStyle w:val="ListBullet"/>
        <w:spacing w:after="30" w:line="240" w:lineRule="auto"/>
        <w:ind w:left="255" w:hanging="125"/>
      </w:pPr>
      <w:r>
        <w:rPr>
          <w:rFonts w:ascii="Aptos" w:hAnsi="Aptos"/>
          <w:color w:val="17201D"/>
          <w:sz w:val="17"/>
        </w:rPr>
        <w:t>Rendite: daily_return, return_5d und return_20d.</w:t>
      </w:r>
    </w:p>
    <w:p>
      <w:pPr>
        <w:pStyle w:val="ListBullet"/>
        <w:spacing w:after="30" w:line="240" w:lineRule="auto"/>
        <w:ind w:left="255" w:hanging="125"/>
      </w:pPr>
      <w:r>
        <w:rPr>
          <w:rFonts w:ascii="Aptos" w:hAnsi="Aptos"/>
          <w:color w:val="17201D"/>
          <w:sz w:val="17"/>
        </w:rPr>
        <w:t>Trend: relative Abstände zu MA-20, MA-50 und MA-200.</w:t>
      </w:r>
    </w:p>
    <w:p>
      <w:pPr>
        <w:pStyle w:val="ListBullet"/>
        <w:spacing w:after="30" w:line="240" w:lineRule="auto"/>
        <w:ind w:left="255" w:hanging="125"/>
      </w:pPr>
      <w:r>
        <w:rPr>
          <w:rFonts w:ascii="Aptos" w:hAnsi="Aptos"/>
          <w:color w:val="17201D"/>
          <w:sz w:val="17"/>
        </w:rPr>
        <w:t>Risiko: volatility_20d und drawdown zum bisherigen Hoch.</w:t>
      </w:r>
    </w:p>
    <w:p>
      <w:pPr>
        <w:pStyle w:val="ListBullet"/>
        <w:spacing w:after="30" w:line="240" w:lineRule="auto"/>
        <w:ind w:left="255" w:hanging="125"/>
      </w:pPr>
      <w:r>
        <w:rPr>
          <w:rFonts w:ascii="Aptos" w:hAnsi="Aptos"/>
          <w:color w:val="17201D"/>
          <w:sz w:val="17"/>
        </w:rPr>
        <w:t>Alle Features verwenden nur Informationen, die zum Beobachtungszeitpunkt vorliegen.</w:t>
      </w:r>
    </w:p>
    <w:tbl>
      <w:tblPr>
        <w:tblW w:type="auto" w:w="0"/>
        <w:jc w:val="center"/>
        <w:tblLayout w:type="autofit"/>
        <w:tblLook w:firstColumn="1" w:firstRow="1" w:lastColumn="0" w:lastRow="0" w:noHBand="0" w:noVBand="1" w:val="04A0"/>
      </w:tblPr>
      <w:tblGrid>
        <w:gridCol w:w="10262"/>
      </w:tblGrid>
      <w:tr>
        <w:tc>
          <w:tcPr>
            <w:tcW w:type="dxa" w:w="10262"/>
            <w:shd w:fill="F7F1E3"/>
            <w:tcMar>
              <w:top w:w="100" w:type="dxa"/>
              <w:start w:w="130" w:type="dxa"/>
              <w:bottom w:w="100" w:type="dxa"/>
              <w:end w:w="130" w:type="dxa"/>
            </w:tcMar>
            <w:vAlign w:val="center"/>
          </w:tcPr>
          <w:p>
            <w:pPr>
              <w:spacing w:after="40"/>
            </w:pPr>
            <w:r>
              <w:rPr>
                <w:rFonts w:ascii="Aptos" w:hAnsi="Aptos"/>
                <w:b/>
                <w:color w:val="1F5A4E"/>
                <w:sz w:val="18"/>
              </w:rPr>
              <w:t>StandardScaler – zentraler methodischer Punkt</w:t>
            </w:r>
          </w:p>
          <w:p>
            <w:pPr>
              <w:spacing w:after="0" w:line="240" w:lineRule="auto"/>
            </w:pPr>
            <w:r>
              <w:rPr>
                <w:rFonts w:ascii="Aptos" w:hAnsi="Aptos"/>
                <w:color w:val="17201D"/>
                <w:sz w:val="17"/>
              </w:rPr>
              <w:t>z = (x − μTrain) / σTrain. Der Scaler lernt Mittelwert und Streuung nur aus X_train und transformiert X_test mit denselben Parametern. Das ist für Logistische Regression und Linear-SVM wichtig, weil deren Optimierung bzw. Abstände von der Merkmals-Skala abhängen. Entscheidungsbäume und Random Forests sind weitgehend skaleninvariant; dort ist der Scaler nicht erforderlich.</w:t>
            </w:r>
          </w:p>
        </w:tc>
      </w:tr>
    </w:tbl>
    <w:p>
      <w:pPr>
        <w:spacing w:after="0"/>
      </w:pPr>
    </w:p>
    <w:p>
      <w:r>
        <w:br w:type="page"/>
      </w:r>
    </w:p>
    <w:p>
      <w:pPr>
        <w:spacing w:after="20"/>
      </w:pPr>
      <w:r>
        <w:rPr>
          <w:rFonts w:ascii="Aptos" w:hAnsi="Aptos"/>
          <w:b/>
          <w:color w:val="B98519"/>
          <w:sz w:val="16"/>
        </w:rPr>
        <w:t>A · A</w:t>
      </w:r>
    </w:p>
    <w:p>
      <w:pPr>
        <w:spacing w:before="40" w:after="80"/>
        <w:keepNext/>
      </w:pPr>
      <w:r>
        <w:rPr>
          <w:rFonts w:ascii="Aptos Display" w:hAnsi="Aptos Display"/>
          <w:b/>
          <w:color w:val="1F5A4E"/>
          <w:sz w:val="34"/>
        </w:rPr>
        <w:t>Algorithmus, Adaption und faire Validierung</w:t>
      </w:r>
    </w:p>
    <w:p>
      <w:pPr>
        <w:spacing w:before="20" w:after="40"/>
        <w:keepNext/>
      </w:pPr>
      <w:r>
        <w:rPr>
          <w:rFonts w:ascii="Aptos Display" w:hAnsi="Aptos Display"/>
          <w:b/>
          <w:color w:val="B98519"/>
          <w:sz w:val="22"/>
        </w:rPr>
        <w:t>4. KI damals und heute: Modellvergleich</w:t>
      </w:r>
    </w:p>
    <w:p>
      <w:pPr>
        <w:spacing w:after="60" w:line="250" w:lineRule="auto"/>
      </w:pPr>
      <w:r>
        <w:rPr>
          <w:rFonts w:ascii="Aptos" w:hAnsi="Aptos"/>
          <w:b w:val="0"/>
          <w:color w:val="17201D"/>
          <w:sz w:val="18"/>
        </w:rPr>
        <w:t>Der Benchmark zeigt die historische Entwicklung der Klassifikation: von einer einfachen Mehrheitsregel über lineare und regelbasierte Verfahren bis zum Ensemble. Alle Kandidaten erhalten dieselben Features und dieselben Trainings- und Testzeiträume.</w:t>
      </w:r>
    </w:p>
    <w:tbl>
      <w:tblPr>
        <w:tblStyle w:val="TableGrid"/>
        <w:tblW w:type="auto" w:w="0"/>
        <w:jc w:val="center"/>
        <w:tblLook w:firstColumn="1" w:firstRow="1" w:lastColumn="0" w:lastRow="0" w:noHBand="0" w:noVBand="1" w:val="04A0"/>
      </w:tblPr>
      <w:tblGrid>
        <w:gridCol w:w="2052"/>
        <w:gridCol w:w="2052"/>
        <w:gridCol w:w="2052"/>
        <w:gridCol w:w="2052"/>
        <w:gridCol w:w="2052"/>
      </w:tblGrid>
      <w:tr>
        <w:tc>
          <w:tcPr>
            <w:tcW w:type="dxa" w:w="2052"/>
            <w:shd w:fill="1F5A4E"/>
            <w:tcMar>
              <w:top w:w="70" w:type="dxa"/>
              <w:start w:w="90" w:type="dxa"/>
              <w:bottom w:w="70" w:type="dxa"/>
              <w:end w:w="90" w:type="dxa"/>
            </w:tcMar>
          </w:tcPr>
          <w:p>
            <w:r>
              <w:rPr>
                <w:rFonts w:ascii="Aptos" w:hAnsi="Aptos"/>
                <w:b/>
                <w:color w:val="FFFFFF"/>
                <w:sz w:val="16"/>
              </w:rPr>
              <w:t>Epoche</w:t>
            </w:r>
          </w:p>
        </w:tc>
        <w:tc>
          <w:tcPr>
            <w:tcW w:type="dxa" w:w="2052"/>
            <w:shd w:fill="1F5A4E"/>
            <w:tcMar>
              <w:top w:w="70" w:type="dxa"/>
              <w:start w:w="90" w:type="dxa"/>
              <w:bottom w:w="70" w:type="dxa"/>
              <w:end w:w="90" w:type="dxa"/>
            </w:tcMar>
          </w:tcPr>
          <w:p>
            <w:r>
              <w:rPr>
                <w:rFonts w:ascii="Aptos" w:hAnsi="Aptos"/>
                <w:b/>
                <w:color w:val="FFFFFF"/>
                <w:sz w:val="16"/>
              </w:rPr>
              <w:t>Modell</w:t>
            </w:r>
          </w:p>
        </w:tc>
        <w:tc>
          <w:tcPr>
            <w:tcW w:type="dxa" w:w="2052"/>
            <w:shd w:fill="1F5A4E"/>
            <w:tcMar>
              <w:top w:w="70" w:type="dxa"/>
              <w:start w:w="90" w:type="dxa"/>
              <w:bottom w:w="70" w:type="dxa"/>
              <w:end w:w="90" w:type="dxa"/>
            </w:tcMar>
          </w:tcPr>
          <w:p>
            <w:r>
              <w:rPr>
                <w:rFonts w:ascii="Aptos" w:hAnsi="Aptos"/>
                <w:b/>
                <w:color w:val="FFFFFF"/>
                <w:sz w:val="16"/>
              </w:rPr>
              <w:t>Grundidee</w:t>
            </w:r>
          </w:p>
        </w:tc>
        <w:tc>
          <w:tcPr>
            <w:tcW w:type="dxa" w:w="2052"/>
            <w:shd w:fill="1F5A4E"/>
            <w:tcMar>
              <w:top w:w="70" w:type="dxa"/>
              <w:start w:w="90" w:type="dxa"/>
              <w:bottom w:w="70" w:type="dxa"/>
              <w:end w:w="90" w:type="dxa"/>
            </w:tcMar>
          </w:tcPr>
          <w:p>
            <w:r>
              <w:rPr>
                <w:rFonts w:ascii="Aptos" w:hAnsi="Aptos"/>
                <w:b/>
                <w:color w:val="FFFFFF"/>
                <w:sz w:val="16"/>
              </w:rPr>
              <w:t>Scaler</w:t>
            </w:r>
          </w:p>
        </w:tc>
        <w:tc>
          <w:tcPr>
            <w:tcW w:type="dxa" w:w="2052"/>
            <w:shd w:fill="1F5A4E"/>
            <w:tcMar>
              <w:top w:w="70" w:type="dxa"/>
              <w:start w:w="90" w:type="dxa"/>
              <w:bottom w:w="70" w:type="dxa"/>
              <w:end w:w="90" w:type="dxa"/>
            </w:tcMar>
          </w:tcPr>
          <w:p>
            <w:r>
              <w:rPr>
                <w:rFonts w:ascii="Aptos" w:hAnsi="Aptos"/>
                <w:b/>
                <w:color w:val="FFFFFF"/>
                <w:sz w:val="16"/>
              </w:rPr>
              <w:t>AUC</w:t>
            </w:r>
          </w:p>
        </w:tc>
      </w:tr>
      <w:tr>
        <w:tc>
          <w:tcPr>
            <w:tcW w:type="dxa" w:w="964"/>
            <w:tcMar>
              <w:top w:w="70" w:type="dxa"/>
              <w:start w:w="90" w:type="dxa"/>
              <w:bottom w:w="70" w:type="dxa"/>
              <w:end w:w="90" w:type="dxa"/>
            </w:tcMar>
          </w:tcPr>
          <w:p>
            <w:pPr>
              <w:spacing w:after="0"/>
            </w:pPr>
            <w:r>
              <w:rPr>
                <w:rFonts w:ascii="Aptos" w:hAnsi="Aptos"/>
                <w:color w:val="17201D"/>
                <w:sz w:val="15"/>
              </w:rPr>
              <w:t>Baseline</w:t>
            </w:r>
          </w:p>
        </w:tc>
        <w:tc>
          <w:tcPr>
            <w:tcW w:type="dxa" w:w="2324"/>
            <w:tcMar>
              <w:top w:w="70" w:type="dxa"/>
              <w:start w:w="90" w:type="dxa"/>
              <w:bottom w:w="70" w:type="dxa"/>
              <w:end w:w="90" w:type="dxa"/>
            </w:tcMar>
          </w:tcPr>
          <w:p>
            <w:pPr>
              <w:spacing w:after="0"/>
            </w:pPr>
            <w:r>
              <w:rPr>
                <w:rFonts w:ascii="Aptos" w:hAnsi="Aptos"/>
                <w:color w:val="17201D"/>
                <w:sz w:val="15"/>
              </w:rPr>
              <w:t>Dummy (Mehrheitsklasse)</w:t>
            </w:r>
          </w:p>
        </w:tc>
        <w:tc>
          <w:tcPr>
            <w:tcW w:type="dxa" w:w="2608"/>
            <w:tcMar>
              <w:top w:w="70" w:type="dxa"/>
              <w:start w:w="90" w:type="dxa"/>
              <w:bottom w:w="70" w:type="dxa"/>
              <w:end w:w="90" w:type="dxa"/>
            </w:tcMar>
          </w:tcPr>
          <w:p>
            <w:pPr>
              <w:spacing w:after="0"/>
            </w:pPr>
            <w:r>
              <w:rPr>
                <w:rFonts w:ascii="Aptos" w:hAnsi="Aptos"/>
                <w:color w:val="17201D"/>
                <w:sz w:val="15"/>
              </w:rPr>
              <w:t>Kontrollmodell</w:t>
            </w:r>
          </w:p>
        </w:tc>
        <w:tc>
          <w:tcPr>
            <w:tcW w:type="dxa" w:w="1191"/>
            <w:tcMar>
              <w:top w:w="70" w:type="dxa"/>
              <w:start w:w="90" w:type="dxa"/>
              <w:bottom w:w="70" w:type="dxa"/>
              <w:end w:w="90" w:type="dxa"/>
            </w:tcMar>
          </w:tcPr>
          <w:p>
            <w:pPr>
              <w:spacing w:after="0"/>
            </w:pPr>
            <w:r>
              <w:rPr>
                <w:rFonts w:ascii="Aptos" w:hAnsi="Aptos"/>
                <w:color w:val="17201D"/>
                <w:sz w:val="15"/>
              </w:rPr>
              <w:t>nicht nötig</w:t>
            </w:r>
          </w:p>
        </w:tc>
        <w:tc>
          <w:tcPr>
            <w:tcW w:type="dxa" w:w="794"/>
            <w:tcMar>
              <w:top w:w="70" w:type="dxa"/>
              <w:start w:w="90" w:type="dxa"/>
              <w:bottom w:w="70" w:type="dxa"/>
              <w:end w:w="90" w:type="dxa"/>
            </w:tcMar>
          </w:tcPr>
          <w:p>
            <w:pPr>
              <w:spacing w:after="0"/>
            </w:pPr>
            <w:r>
              <w:rPr>
                <w:rFonts w:ascii="Aptos" w:hAnsi="Aptos"/>
                <w:color w:val="17201D"/>
                <w:sz w:val="15"/>
              </w:rPr>
              <w:t>0,500</w:t>
            </w:r>
          </w:p>
        </w:tc>
      </w:tr>
      <w:tr>
        <w:tc>
          <w:tcPr>
            <w:tcW w:type="dxa" w:w="964"/>
            <w:tcMar>
              <w:top w:w="70" w:type="dxa"/>
              <w:start w:w="90" w:type="dxa"/>
              <w:bottom w:w="70" w:type="dxa"/>
              <w:end w:w="90" w:type="dxa"/>
            </w:tcMar>
            <w:shd w:fill="F4F7F5"/>
          </w:tcPr>
          <w:p>
            <w:pPr>
              <w:spacing w:after="0"/>
            </w:pPr>
            <w:r>
              <w:rPr>
                <w:rFonts w:ascii="Aptos" w:hAnsi="Aptos"/>
                <w:color w:val="17201D"/>
                <w:sz w:val="15"/>
              </w:rPr>
              <w:t>1958</w:t>
            </w:r>
          </w:p>
        </w:tc>
        <w:tc>
          <w:tcPr>
            <w:tcW w:type="dxa" w:w="2324"/>
            <w:tcMar>
              <w:top w:w="70" w:type="dxa"/>
              <w:start w:w="90" w:type="dxa"/>
              <w:bottom w:w="70" w:type="dxa"/>
              <w:end w:w="90" w:type="dxa"/>
            </w:tcMar>
            <w:shd w:fill="F4F7F5"/>
          </w:tcPr>
          <w:p>
            <w:pPr>
              <w:spacing w:after="0"/>
            </w:pPr>
            <w:r>
              <w:rPr>
                <w:rFonts w:ascii="Aptos" w:hAnsi="Aptos"/>
                <w:color w:val="17201D"/>
                <w:sz w:val="15"/>
              </w:rPr>
              <w:t>Logistische Regression</w:t>
            </w:r>
          </w:p>
        </w:tc>
        <w:tc>
          <w:tcPr>
            <w:tcW w:type="dxa" w:w="2608"/>
            <w:tcMar>
              <w:top w:w="70" w:type="dxa"/>
              <w:start w:w="90" w:type="dxa"/>
              <w:bottom w:w="70" w:type="dxa"/>
              <w:end w:w="90" w:type="dxa"/>
            </w:tcMar>
            <w:shd w:fill="F4F7F5"/>
          </w:tcPr>
          <w:p>
            <w:pPr>
              <w:spacing w:after="0"/>
            </w:pPr>
            <w:r>
              <w:rPr>
                <w:rFonts w:ascii="Aptos" w:hAnsi="Aptos"/>
                <w:color w:val="17201D"/>
                <w:sz w:val="15"/>
              </w:rPr>
              <w:t>Statistisch-linear</w:t>
            </w:r>
          </w:p>
        </w:tc>
        <w:tc>
          <w:tcPr>
            <w:tcW w:type="dxa" w:w="1191"/>
            <w:tcMar>
              <w:top w:w="70" w:type="dxa"/>
              <w:start w:w="90" w:type="dxa"/>
              <w:bottom w:w="70" w:type="dxa"/>
              <w:end w:w="90" w:type="dxa"/>
            </w:tcMar>
            <w:shd w:fill="F4F7F5"/>
          </w:tcPr>
          <w:p>
            <w:pPr>
              <w:spacing w:after="0"/>
            </w:pPr>
            <w:r>
              <w:rPr>
                <w:rFonts w:ascii="Aptos" w:hAnsi="Aptos"/>
                <w:color w:val="17201D"/>
                <w:sz w:val="15"/>
              </w:rPr>
              <w:t>ja</w:t>
            </w:r>
          </w:p>
        </w:tc>
        <w:tc>
          <w:tcPr>
            <w:tcW w:type="dxa" w:w="794"/>
            <w:tcMar>
              <w:top w:w="70" w:type="dxa"/>
              <w:start w:w="90" w:type="dxa"/>
              <w:bottom w:w="70" w:type="dxa"/>
              <w:end w:w="90" w:type="dxa"/>
            </w:tcMar>
            <w:shd w:fill="F4F7F5"/>
          </w:tcPr>
          <w:p>
            <w:pPr>
              <w:spacing w:after="0"/>
            </w:pPr>
            <w:r>
              <w:rPr>
                <w:rFonts w:ascii="Aptos" w:hAnsi="Aptos"/>
                <w:color w:val="17201D"/>
                <w:sz w:val="15"/>
              </w:rPr>
              <w:t>0,517</w:t>
            </w:r>
          </w:p>
        </w:tc>
      </w:tr>
      <w:tr>
        <w:tc>
          <w:tcPr>
            <w:tcW w:type="dxa" w:w="964"/>
            <w:tcMar>
              <w:top w:w="70" w:type="dxa"/>
              <w:start w:w="90" w:type="dxa"/>
              <w:bottom w:w="70" w:type="dxa"/>
              <w:end w:w="90" w:type="dxa"/>
            </w:tcMar>
          </w:tcPr>
          <w:p>
            <w:pPr>
              <w:spacing w:after="0"/>
            </w:pPr>
            <w:r>
              <w:rPr>
                <w:rFonts w:ascii="Aptos" w:hAnsi="Aptos"/>
                <w:color w:val="17201D"/>
                <w:sz w:val="15"/>
              </w:rPr>
              <w:t>1984</w:t>
            </w:r>
          </w:p>
        </w:tc>
        <w:tc>
          <w:tcPr>
            <w:tcW w:type="dxa" w:w="2324"/>
            <w:tcMar>
              <w:top w:w="70" w:type="dxa"/>
              <w:start w:w="90" w:type="dxa"/>
              <w:bottom w:w="70" w:type="dxa"/>
              <w:end w:w="90" w:type="dxa"/>
            </w:tcMar>
          </w:tcPr>
          <w:p>
            <w:pPr>
              <w:spacing w:after="0"/>
            </w:pPr>
            <w:r>
              <w:rPr>
                <w:rFonts w:ascii="Aptos" w:hAnsi="Aptos"/>
                <w:color w:val="17201D"/>
                <w:sz w:val="15"/>
              </w:rPr>
              <w:t>Entscheidungsbaum</w:t>
            </w:r>
          </w:p>
        </w:tc>
        <w:tc>
          <w:tcPr>
            <w:tcW w:type="dxa" w:w="2608"/>
            <w:tcMar>
              <w:top w:w="70" w:type="dxa"/>
              <w:start w:w="90" w:type="dxa"/>
              <w:bottom w:w="70" w:type="dxa"/>
              <w:end w:w="90" w:type="dxa"/>
            </w:tcMar>
          </w:tcPr>
          <w:p>
            <w:pPr>
              <w:spacing w:after="0"/>
            </w:pPr>
            <w:r>
              <w:rPr>
                <w:rFonts w:ascii="Aptos" w:hAnsi="Aptos"/>
                <w:color w:val="17201D"/>
                <w:sz w:val="15"/>
              </w:rPr>
              <w:t>Regelbasiert / White Box</w:t>
            </w:r>
          </w:p>
        </w:tc>
        <w:tc>
          <w:tcPr>
            <w:tcW w:type="dxa" w:w="1191"/>
            <w:tcMar>
              <w:top w:w="70" w:type="dxa"/>
              <w:start w:w="90" w:type="dxa"/>
              <w:bottom w:w="70" w:type="dxa"/>
              <w:end w:w="90" w:type="dxa"/>
            </w:tcMar>
          </w:tcPr>
          <w:p>
            <w:pPr>
              <w:spacing w:after="0"/>
            </w:pPr>
            <w:r>
              <w:rPr>
                <w:rFonts w:ascii="Aptos" w:hAnsi="Aptos"/>
                <w:color w:val="17201D"/>
                <w:sz w:val="15"/>
              </w:rPr>
              <w:t>nicht nötig</w:t>
            </w:r>
          </w:p>
        </w:tc>
        <w:tc>
          <w:tcPr>
            <w:tcW w:type="dxa" w:w="794"/>
            <w:tcMar>
              <w:top w:w="70" w:type="dxa"/>
              <w:start w:w="90" w:type="dxa"/>
              <w:bottom w:w="70" w:type="dxa"/>
              <w:end w:w="90" w:type="dxa"/>
            </w:tcMar>
          </w:tcPr>
          <w:p>
            <w:pPr>
              <w:spacing w:after="0"/>
            </w:pPr>
            <w:r>
              <w:rPr>
                <w:rFonts w:ascii="Aptos" w:hAnsi="Aptos"/>
                <w:color w:val="17201D"/>
                <w:sz w:val="15"/>
              </w:rPr>
              <w:t>0,518</w:t>
            </w:r>
          </w:p>
        </w:tc>
      </w:tr>
      <w:tr>
        <w:tc>
          <w:tcPr>
            <w:tcW w:type="dxa" w:w="964"/>
            <w:tcMar>
              <w:top w:w="70" w:type="dxa"/>
              <w:start w:w="90" w:type="dxa"/>
              <w:bottom w:w="70" w:type="dxa"/>
              <w:end w:w="90" w:type="dxa"/>
            </w:tcMar>
            <w:shd w:fill="F4F7F5"/>
          </w:tcPr>
          <w:p>
            <w:pPr>
              <w:spacing w:after="0"/>
            </w:pPr>
            <w:r>
              <w:rPr>
                <w:rFonts w:ascii="Aptos" w:hAnsi="Aptos"/>
                <w:color w:val="17201D"/>
                <w:sz w:val="15"/>
              </w:rPr>
              <w:t>1995</w:t>
            </w:r>
          </w:p>
        </w:tc>
        <w:tc>
          <w:tcPr>
            <w:tcW w:type="dxa" w:w="2324"/>
            <w:tcMar>
              <w:top w:w="70" w:type="dxa"/>
              <w:start w:w="90" w:type="dxa"/>
              <w:bottom w:w="70" w:type="dxa"/>
              <w:end w:w="90" w:type="dxa"/>
            </w:tcMar>
            <w:shd w:fill="F4F7F5"/>
          </w:tcPr>
          <w:p>
            <w:pPr>
              <w:spacing w:after="0"/>
            </w:pPr>
            <w:r>
              <w:rPr>
                <w:rFonts w:ascii="Aptos" w:hAnsi="Aptos"/>
                <w:color w:val="17201D"/>
                <w:sz w:val="15"/>
              </w:rPr>
              <w:t>Linear SVM</w:t>
            </w:r>
          </w:p>
        </w:tc>
        <w:tc>
          <w:tcPr>
            <w:tcW w:type="dxa" w:w="2608"/>
            <w:tcMar>
              <w:top w:w="70" w:type="dxa"/>
              <w:start w:w="90" w:type="dxa"/>
              <w:bottom w:w="70" w:type="dxa"/>
              <w:end w:w="90" w:type="dxa"/>
            </w:tcMar>
            <w:shd w:fill="F4F7F5"/>
          </w:tcPr>
          <w:p>
            <w:pPr>
              <w:spacing w:after="0"/>
            </w:pPr>
            <w:r>
              <w:rPr>
                <w:rFonts w:ascii="Aptos" w:hAnsi="Aptos"/>
                <w:color w:val="17201D"/>
                <w:sz w:val="15"/>
              </w:rPr>
              <w:t>Maximum Margin</w:t>
            </w:r>
          </w:p>
        </w:tc>
        <w:tc>
          <w:tcPr>
            <w:tcW w:type="dxa" w:w="1191"/>
            <w:tcMar>
              <w:top w:w="70" w:type="dxa"/>
              <w:start w:w="90" w:type="dxa"/>
              <w:bottom w:w="70" w:type="dxa"/>
              <w:end w:w="90" w:type="dxa"/>
            </w:tcMar>
            <w:shd w:fill="F4F7F5"/>
          </w:tcPr>
          <w:p>
            <w:pPr>
              <w:spacing w:after="0"/>
            </w:pPr>
            <w:r>
              <w:rPr>
                <w:rFonts w:ascii="Aptos" w:hAnsi="Aptos"/>
                <w:color w:val="17201D"/>
                <w:sz w:val="15"/>
              </w:rPr>
              <w:t>ja</w:t>
            </w:r>
          </w:p>
        </w:tc>
        <w:tc>
          <w:tcPr>
            <w:tcW w:type="dxa" w:w="794"/>
            <w:tcMar>
              <w:top w:w="70" w:type="dxa"/>
              <w:start w:w="90" w:type="dxa"/>
              <w:bottom w:w="70" w:type="dxa"/>
              <w:end w:w="90" w:type="dxa"/>
            </w:tcMar>
            <w:shd w:fill="F4F7F5"/>
          </w:tcPr>
          <w:p>
            <w:pPr>
              <w:spacing w:after="0"/>
            </w:pPr>
            <w:r>
              <w:rPr>
                <w:rFonts w:ascii="Aptos" w:hAnsi="Aptos"/>
                <w:color w:val="17201D"/>
                <w:sz w:val="15"/>
              </w:rPr>
              <w:t>0,517</w:t>
            </w:r>
          </w:p>
        </w:tc>
      </w:tr>
      <w:tr>
        <w:tc>
          <w:tcPr>
            <w:tcW w:type="dxa" w:w="964"/>
            <w:tcMar>
              <w:top w:w="70" w:type="dxa"/>
              <w:start w:w="90" w:type="dxa"/>
              <w:bottom w:w="70" w:type="dxa"/>
              <w:end w:w="90" w:type="dxa"/>
            </w:tcMar>
          </w:tcPr>
          <w:p>
            <w:pPr>
              <w:spacing w:after="0"/>
            </w:pPr>
            <w:r>
              <w:rPr>
                <w:rFonts w:ascii="Aptos" w:hAnsi="Aptos"/>
                <w:color w:val="17201D"/>
                <w:sz w:val="15"/>
              </w:rPr>
              <w:t>2001</w:t>
            </w:r>
          </w:p>
        </w:tc>
        <w:tc>
          <w:tcPr>
            <w:tcW w:type="dxa" w:w="2324"/>
            <w:tcMar>
              <w:top w:w="70" w:type="dxa"/>
              <w:start w:w="90" w:type="dxa"/>
              <w:bottom w:w="70" w:type="dxa"/>
              <w:end w:w="90" w:type="dxa"/>
            </w:tcMar>
          </w:tcPr>
          <w:p>
            <w:pPr>
              <w:spacing w:after="0"/>
            </w:pPr>
            <w:r>
              <w:rPr>
                <w:rFonts w:ascii="Aptos" w:hAnsi="Aptos"/>
                <w:color w:val="17201D"/>
                <w:sz w:val="15"/>
              </w:rPr>
              <w:t>Random Forest</w:t>
            </w:r>
          </w:p>
        </w:tc>
        <w:tc>
          <w:tcPr>
            <w:tcW w:type="dxa" w:w="2608"/>
            <w:tcMar>
              <w:top w:w="70" w:type="dxa"/>
              <w:start w:w="90" w:type="dxa"/>
              <w:bottom w:w="70" w:type="dxa"/>
              <w:end w:w="90" w:type="dxa"/>
            </w:tcMar>
          </w:tcPr>
          <w:p>
            <w:pPr>
              <w:spacing w:after="0"/>
            </w:pPr>
            <w:r>
              <w:rPr>
                <w:rFonts w:ascii="Aptos" w:hAnsi="Aptos"/>
                <w:color w:val="17201D"/>
                <w:sz w:val="15"/>
              </w:rPr>
              <w:t>Ensemble Learning</w:t>
            </w:r>
          </w:p>
        </w:tc>
        <w:tc>
          <w:tcPr>
            <w:tcW w:type="dxa" w:w="1191"/>
            <w:tcMar>
              <w:top w:w="70" w:type="dxa"/>
              <w:start w:w="90" w:type="dxa"/>
              <w:bottom w:w="70" w:type="dxa"/>
              <w:end w:w="90" w:type="dxa"/>
            </w:tcMar>
          </w:tcPr>
          <w:p>
            <w:pPr>
              <w:spacing w:after="0"/>
            </w:pPr>
            <w:r>
              <w:rPr>
                <w:rFonts w:ascii="Aptos" w:hAnsi="Aptos"/>
                <w:color w:val="17201D"/>
                <w:sz w:val="15"/>
              </w:rPr>
              <w:t>nicht nötig</w:t>
            </w:r>
          </w:p>
        </w:tc>
        <w:tc>
          <w:tcPr>
            <w:tcW w:type="dxa" w:w="794"/>
            <w:tcMar>
              <w:top w:w="70" w:type="dxa"/>
              <w:start w:w="90" w:type="dxa"/>
              <w:bottom w:w="70" w:type="dxa"/>
              <w:end w:w="90" w:type="dxa"/>
            </w:tcMar>
          </w:tcPr>
          <w:p>
            <w:pPr>
              <w:spacing w:after="0"/>
            </w:pPr>
            <w:r>
              <w:rPr>
                <w:rFonts w:ascii="Aptos" w:hAnsi="Aptos"/>
                <w:color w:val="17201D"/>
                <w:sz w:val="15"/>
              </w:rPr>
              <w:t>0,519</w:t>
            </w:r>
          </w:p>
        </w:tc>
      </w:tr>
    </w:tbl>
    <w:p>
      <w:pPr>
        <w:spacing w:after="0"/>
      </w:pPr>
    </w:p>
    <w:p>
      <w:pPr>
        <w:spacing w:after="80" w:line="250" w:lineRule="auto"/>
      </w:pPr>
      <w:r>
        <w:rPr>
          <w:rFonts w:ascii="Aptos" w:hAnsi="Aptos"/>
          <w:b w:val="0"/>
          <w:color w:val="58635E"/>
          <w:sz w:val="15"/>
        </w:rPr>
        <w:t>Tabelle 1: Fünf Modellgenerationen auf identischem purged Out-of-Time-Fenster. Quelle: scripts/train_and_diagnose.py.</w:t>
      </w:r>
    </w:p>
    <w:p>
      <w:pPr>
        <w:spacing w:before="20" w:after="40"/>
        <w:keepNext/>
      </w:pPr>
      <w:r>
        <w:rPr>
          <w:rFonts w:ascii="Aptos Display" w:hAnsi="Aptos Display"/>
          <w:b/>
          <w:color w:val="B98519"/>
          <w:sz w:val="22"/>
        </w:rPr>
        <w:t>5. Leakage-sichere Pipeline</w:t>
      </w:r>
    </w:p>
    <w:tbl>
      <w:tblPr>
        <w:tblW w:type="auto" w:w="0"/>
        <w:jc w:val="center"/>
        <w:tblLayout w:type="autofit"/>
        <w:tblLook w:firstColumn="1" w:firstRow="1" w:lastColumn="0" w:lastRow="0" w:noHBand="0" w:noVBand="1" w:val="04A0"/>
      </w:tblPr>
      <w:tblGrid>
        <w:gridCol w:w="10262"/>
      </w:tblGrid>
      <w:tr>
        <w:tc>
          <w:tcPr>
            <w:tcW w:type="dxa" w:w="10262"/>
            <w:shd w:fill="EAF1ED"/>
            <w:tcMar>
              <w:top w:w="100" w:type="dxa"/>
              <w:start w:w="130" w:type="dxa"/>
              <w:bottom w:w="100" w:type="dxa"/>
              <w:end w:w="130" w:type="dxa"/>
            </w:tcMar>
            <w:vAlign w:val="center"/>
          </w:tcPr>
          <w:p>
            <w:pPr>
              <w:spacing w:after="40"/>
            </w:pPr>
            <w:r>
              <w:rPr>
                <w:rFonts w:ascii="Aptos" w:hAnsi="Aptos"/>
                <w:b/>
                <w:color w:val="1F5A4E"/>
                <w:sz w:val="18"/>
              </w:rPr>
              <w:t>Trainingsfolge</w:t>
            </w:r>
          </w:p>
          <w:p>
            <w:pPr>
              <w:spacing w:after="0" w:line="240" w:lineRule="auto"/>
            </w:pPr>
            <w:r>
              <w:rPr>
                <w:rFonts w:ascii="Aptos" w:hAnsi="Aptos"/>
                <w:color w:val="17201D"/>
                <w:sz w:val="17"/>
              </w:rPr>
              <w:t>Zeitlich sortieren → jüngste 20 % als unangetasteten Out-of-Time-Test reservieren → 20 Handelstage Purge vor jedem Validierungsfenster → Median-Imputer auf Training fitten → StandardScaler nur bei linearen Modellen auf Training fitten → Modell fitten → Test einmalig auswerten.</w:t>
            </w:r>
          </w:p>
        </w:tc>
      </w:tr>
    </w:tbl>
    <w:p>
      <w:pPr>
        <w:spacing w:after="0"/>
      </w:pPr>
    </w:p>
    <w:p>
      <w:pPr>
        <w:spacing w:before="20" w:after="40"/>
        <w:keepNext/>
      </w:pPr>
      <w:r>
        <w:rPr>
          <w:rFonts w:ascii="Aptos Display" w:hAnsi="Aptos Display"/>
          <w:b/>
          <w:color w:val="B98519"/>
          <w:sz w:val="22"/>
        </w:rPr>
        <w:t>6. Warum kein zufälliger Split? Eine Messung</w:t>
      </w:r>
    </w:p>
    <w:p>
      <w:pPr>
        <w:spacing w:after="60" w:line="250" w:lineRule="auto"/>
      </w:pPr>
      <w:r>
        <w:rPr>
          <w:rFonts w:ascii="Aptos" w:hAnsi="Aptos"/>
          <w:b w:val="0"/>
          <w:color w:val="17201D"/>
          <w:sz w:val="18"/>
        </w:rPr>
        <w:t>Die Zielvariable blickt 20 Handelstage voraus. Bei einem Random Split gelangen spätere Marktregime und überlappende Zielhorizonte in das Training. Wie groß dieser Effekt ist, bleibt in vielen Arbeiten unbeziffert – hier wurde er gemessen: dasselbe Modell, dieselben Daten, nur die Aufteilung variiert.</w:t>
      </w:r>
    </w:p>
    <w:tbl>
      <w:tblPr>
        <w:tblStyle w:val="TableGrid"/>
        <w:tblW w:type="auto" w:w="0"/>
        <w:jc w:val="center"/>
        <w:tblLook w:firstColumn="1" w:firstRow="1" w:lastColumn="0" w:lastRow="0" w:noHBand="0" w:noVBand="1" w:val="04A0"/>
      </w:tblPr>
      <w:tblGrid>
        <w:gridCol w:w="2565"/>
        <w:gridCol w:w="2565"/>
        <w:gridCol w:w="2565"/>
        <w:gridCol w:w="2565"/>
      </w:tblGrid>
      <w:tr>
        <w:tc>
          <w:tcPr>
            <w:tcW w:type="dxa" w:w="2565"/>
            <w:shd w:fill="1F5A4E"/>
            <w:tcMar>
              <w:top w:w="70" w:type="dxa"/>
              <w:start w:w="90" w:type="dxa"/>
              <w:bottom w:w="70" w:type="dxa"/>
              <w:end w:w="90" w:type="dxa"/>
            </w:tcMar>
          </w:tcPr>
          <w:p>
            <w:r>
              <w:rPr>
                <w:rFonts w:ascii="Aptos" w:hAnsi="Aptos"/>
                <w:b/>
                <w:color w:val="FFFFFF"/>
                <w:sz w:val="16"/>
              </w:rPr>
              <w:t>Aufteilung</w:t>
            </w:r>
          </w:p>
        </w:tc>
        <w:tc>
          <w:tcPr>
            <w:tcW w:type="dxa" w:w="2565"/>
            <w:shd w:fill="1F5A4E"/>
            <w:tcMar>
              <w:top w:w="70" w:type="dxa"/>
              <w:start w:w="90" w:type="dxa"/>
              <w:bottom w:w="70" w:type="dxa"/>
              <w:end w:w="90" w:type="dxa"/>
            </w:tcMar>
          </w:tcPr>
          <w:p>
            <w:r>
              <w:rPr>
                <w:rFonts w:ascii="Aptos" w:hAnsi="Aptos"/>
                <w:b/>
                <w:color w:val="FFFFFF"/>
                <w:sz w:val="16"/>
              </w:rPr>
              <w:t>Leakage</w:t>
            </w:r>
          </w:p>
        </w:tc>
        <w:tc>
          <w:tcPr>
            <w:tcW w:type="dxa" w:w="2565"/>
            <w:shd w:fill="1F5A4E"/>
            <w:tcMar>
              <w:top w:w="70" w:type="dxa"/>
              <w:start w:w="90" w:type="dxa"/>
              <w:bottom w:w="70" w:type="dxa"/>
              <w:end w:w="90" w:type="dxa"/>
            </w:tcMar>
          </w:tcPr>
          <w:p>
            <w:r>
              <w:rPr>
                <w:rFonts w:ascii="Aptos" w:hAnsi="Aptos"/>
                <w:b/>
                <w:color w:val="FFFFFF"/>
                <w:sz w:val="16"/>
              </w:rPr>
              <w:t>ROC-AUC</w:t>
            </w:r>
          </w:p>
        </w:tc>
        <w:tc>
          <w:tcPr>
            <w:tcW w:type="dxa" w:w="2565"/>
            <w:shd w:fill="1F5A4E"/>
            <w:tcMar>
              <w:top w:w="70" w:type="dxa"/>
              <w:start w:w="90" w:type="dxa"/>
              <w:bottom w:w="70" w:type="dxa"/>
              <w:end w:w="90" w:type="dxa"/>
            </w:tcMar>
          </w:tcPr>
          <w:p>
            <w:r>
              <w:rPr>
                <w:rFonts w:ascii="Aptos" w:hAnsi="Aptos"/>
                <w:b/>
                <w:color w:val="FFFFFF"/>
                <w:sz w:val="16"/>
              </w:rPr>
              <w:t>Accuracy</w:t>
            </w:r>
          </w:p>
        </w:tc>
      </w:tr>
      <w:tr>
        <w:tc>
          <w:tcPr>
            <w:tcW w:type="dxa" w:w="2835"/>
            <w:tcMar>
              <w:top w:w="70" w:type="dxa"/>
              <w:start w:w="90" w:type="dxa"/>
              <w:bottom w:w="70" w:type="dxa"/>
              <w:end w:w="90" w:type="dxa"/>
            </w:tcMar>
          </w:tcPr>
          <w:p>
            <w:pPr>
              <w:spacing w:after="0"/>
            </w:pPr>
            <w:r>
              <w:rPr>
                <w:rFonts w:ascii="Aptos" w:hAnsi="Aptos"/>
                <w:color w:val="17201D"/>
                <w:sz w:val="15"/>
              </w:rPr>
              <w:t>zeitlich + 20 Handelstage Purge (v1.0)</w:t>
            </w:r>
          </w:p>
        </w:tc>
        <w:tc>
          <w:tcPr>
            <w:tcW w:type="dxa" w:w="2608"/>
            <w:tcMar>
              <w:top w:w="70" w:type="dxa"/>
              <w:start w:w="90" w:type="dxa"/>
              <w:bottom w:w="70" w:type="dxa"/>
              <w:end w:w="90" w:type="dxa"/>
            </w:tcMar>
          </w:tcPr>
          <w:p>
            <w:pPr>
              <w:spacing w:after="0"/>
            </w:pPr>
            <w:r>
              <w:rPr>
                <w:rFonts w:ascii="Aptos" w:hAnsi="Aptos"/>
                <w:color w:val="17201D"/>
                <w:sz w:val="15"/>
              </w:rPr>
              <w:t>keine</w:t>
            </w:r>
          </w:p>
        </w:tc>
        <w:tc>
          <w:tcPr>
            <w:tcW w:type="dxa" w:w="1247"/>
            <w:tcMar>
              <w:top w:w="70" w:type="dxa"/>
              <w:start w:w="90" w:type="dxa"/>
              <w:bottom w:w="70" w:type="dxa"/>
              <w:end w:w="90" w:type="dxa"/>
            </w:tcMar>
          </w:tcPr>
          <w:p>
            <w:pPr>
              <w:spacing w:after="0"/>
            </w:pPr>
            <w:r>
              <w:rPr>
                <w:rFonts w:ascii="Aptos" w:hAnsi="Aptos"/>
                <w:color w:val="17201D"/>
                <w:sz w:val="15"/>
              </w:rPr>
              <w:t>0,5192</w:t>
            </w:r>
          </w:p>
        </w:tc>
        <w:tc>
          <w:tcPr>
            <w:tcW w:type="dxa" w:w="2381"/>
            <w:tcMar>
              <w:top w:w="70" w:type="dxa"/>
              <w:start w:w="90" w:type="dxa"/>
              <w:bottom w:w="70" w:type="dxa"/>
              <w:end w:w="90" w:type="dxa"/>
            </w:tcMar>
          </w:tcPr>
          <w:p>
            <w:pPr>
              <w:spacing w:after="0"/>
            </w:pPr>
            <w:r>
              <w:rPr>
                <w:rFonts w:ascii="Aptos" w:hAnsi="Aptos"/>
                <w:color w:val="17201D"/>
                <w:sz w:val="15"/>
              </w:rPr>
              <w:t>0,5187 (Baseline 0,591)</w:t>
            </w:r>
          </w:p>
        </w:tc>
      </w:tr>
      <w:tr>
        <w:tc>
          <w:tcPr>
            <w:tcW w:type="dxa" w:w="2835"/>
            <w:tcMar>
              <w:top w:w="70" w:type="dxa"/>
              <w:start w:w="90" w:type="dxa"/>
              <w:bottom w:w="70" w:type="dxa"/>
              <w:end w:w="90" w:type="dxa"/>
            </w:tcMar>
            <w:shd w:fill="F4F7F5"/>
          </w:tcPr>
          <w:p>
            <w:pPr>
              <w:spacing w:after="0"/>
            </w:pPr>
            <w:r>
              <w:rPr>
                <w:rFonts w:ascii="Aptos" w:hAnsi="Aptos"/>
                <w:color w:val="17201D"/>
                <w:sz w:val="15"/>
              </w:rPr>
              <w:t>zeitlich, ohne Purge</w:t>
            </w:r>
          </w:p>
        </w:tc>
        <w:tc>
          <w:tcPr>
            <w:tcW w:type="dxa" w:w="2608"/>
            <w:tcMar>
              <w:top w:w="70" w:type="dxa"/>
              <w:start w:w="90" w:type="dxa"/>
              <w:bottom w:w="70" w:type="dxa"/>
              <w:end w:w="90" w:type="dxa"/>
            </w:tcMar>
            <w:shd w:fill="F4F7F5"/>
          </w:tcPr>
          <w:p>
            <w:pPr>
              <w:spacing w:after="0"/>
            </w:pPr>
            <w:r>
              <w:rPr>
                <w:rFonts w:ascii="Aptos" w:hAnsi="Aptos"/>
                <w:color w:val="17201D"/>
                <w:sz w:val="15"/>
              </w:rPr>
              <w:t>überlappende Zielhorizonte</w:t>
            </w:r>
          </w:p>
        </w:tc>
        <w:tc>
          <w:tcPr>
            <w:tcW w:type="dxa" w:w="1247"/>
            <w:tcMar>
              <w:top w:w="70" w:type="dxa"/>
              <w:start w:w="90" w:type="dxa"/>
              <w:bottom w:w="70" w:type="dxa"/>
              <w:end w:w="90" w:type="dxa"/>
            </w:tcMar>
            <w:shd w:fill="F4F7F5"/>
          </w:tcPr>
          <w:p>
            <w:pPr>
              <w:spacing w:after="0"/>
            </w:pPr>
            <w:r>
              <w:rPr>
                <w:rFonts w:ascii="Aptos" w:hAnsi="Aptos"/>
                <w:color w:val="17201D"/>
                <w:sz w:val="15"/>
              </w:rPr>
              <w:t>0,5240</w:t>
            </w:r>
          </w:p>
        </w:tc>
        <w:tc>
          <w:tcPr>
            <w:tcW w:type="dxa" w:w="2381"/>
            <w:tcMar>
              <w:top w:w="70" w:type="dxa"/>
              <w:start w:w="90" w:type="dxa"/>
              <w:bottom w:w="70" w:type="dxa"/>
              <w:end w:w="90" w:type="dxa"/>
            </w:tcMar>
            <w:shd w:fill="F4F7F5"/>
          </w:tcPr>
          <w:p>
            <w:pPr>
              <w:spacing w:after="0"/>
            </w:pPr>
            <w:r>
              <w:rPr>
                <w:rFonts w:ascii="Aptos" w:hAnsi="Aptos"/>
                <w:color w:val="17201D"/>
                <w:sz w:val="15"/>
              </w:rPr>
              <w:t>0,5308 (Baseline 0,591)</w:t>
            </w:r>
          </w:p>
        </w:tc>
      </w:tr>
      <w:tr>
        <w:tc>
          <w:tcPr>
            <w:tcW w:type="dxa" w:w="2835"/>
            <w:tcMar>
              <w:top w:w="70" w:type="dxa"/>
              <w:start w:w="90" w:type="dxa"/>
              <w:bottom w:w="70" w:type="dxa"/>
              <w:end w:w="90" w:type="dxa"/>
            </w:tcMar>
          </w:tcPr>
          <w:p>
            <w:pPr>
              <w:spacing w:after="0"/>
            </w:pPr>
            <w:r>
              <w:rPr>
                <w:rFonts w:ascii="Aptos" w:hAnsi="Aptos"/>
                <w:color w:val="17201D"/>
                <w:sz w:val="15"/>
              </w:rPr>
              <w:t>naiver Zufalls-Split 80/20</w:t>
            </w:r>
          </w:p>
        </w:tc>
        <w:tc>
          <w:tcPr>
            <w:tcW w:type="dxa" w:w="2608"/>
            <w:tcMar>
              <w:top w:w="70" w:type="dxa"/>
              <w:start w:w="90" w:type="dxa"/>
              <w:bottom w:w="70" w:type="dxa"/>
              <w:end w:w="90" w:type="dxa"/>
            </w:tcMar>
          </w:tcPr>
          <w:p>
            <w:pPr>
              <w:spacing w:after="0"/>
            </w:pPr>
            <w:r>
              <w:rPr>
                <w:rFonts w:ascii="Aptos" w:hAnsi="Aptos"/>
                <w:color w:val="17201D"/>
                <w:sz w:val="15"/>
              </w:rPr>
              <w:t>Zukunft im Training + Zielhorizont-Overlap</w:t>
            </w:r>
          </w:p>
        </w:tc>
        <w:tc>
          <w:tcPr>
            <w:tcW w:type="dxa" w:w="1247"/>
            <w:tcMar>
              <w:top w:w="70" w:type="dxa"/>
              <w:start w:w="90" w:type="dxa"/>
              <w:bottom w:w="70" w:type="dxa"/>
              <w:end w:w="90" w:type="dxa"/>
            </w:tcMar>
          </w:tcPr>
          <w:p>
            <w:pPr>
              <w:spacing w:after="0"/>
            </w:pPr>
            <w:r>
              <w:rPr>
                <w:rFonts w:ascii="Aptos" w:hAnsi="Aptos"/>
                <w:color w:val="17201D"/>
                <w:sz w:val="15"/>
              </w:rPr>
              <w:t>0,5813</w:t>
            </w:r>
          </w:p>
        </w:tc>
        <w:tc>
          <w:tcPr>
            <w:tcW w:type="dxa" w:w="2381"/>
            <w:tcMar>
              <w:top w:w="70" w:type="dxa"/>
              <w:start w:w="90" w:type="dxa"/>
              <w:bottom w:w="70" w:type="dxa"/>
              <w:end w:w="90" w:type="dxa"/>
            </w:tcMar>
          </w:tcPr>
          <w:p>
            <w:pPr>
              <w:spacing w:after="0"/>
            </w:pPr>
            <w:r>
              <w:rPr>
                <w:rFonts w:ascii="Aptos" w:hAnsi="Aptos"/>
                <w:color w:val="17201D"/>
                <w:sz w:val="15"/>
              </w:rPr>
              <w:t>0,5467 (Baseline 0,559)</w:t>
            </w:r>
          </w:p>
        </w:tc>
      </w:tr>
    </w:tbl>
    <w:p>
      <w:pPr>
        <w:spacing w:after="0"/>
      </w:pPr>
    </w:p>
    <w:p>
      <w:pPr>
        <w:spacing w:after="80" w:line="250" w:lineRule="auto"/>
      </w:pPr>
      <w:r>
        <w:rPr>
          <w:rFonts w:ascii="Aptos" w:hAnsi="Aptos"/>
          <w:b w:val="0"/>
          <w:color w:val="58635E"/>
          <w:sz w:val="15"/>
        </w:rPr>
        <w:t>Tabelle 2: Random Forest mit identischer Konfiguration. Gemessen am Zufallsniveau 0,5 erscheint das Signal beim naiven Zufalls-Split mit 0,081 statt 0,019 – also 4,2-mal größer, ohne dass sich Modell oder Daten ändern. Quelle: scripts/validation_experiments.py.</w:t>
      </w:r>
    </w:p>
    <w:p>
      <w:pPr>
        <w:spacing w:after="60" w:line="250" w:lineRule="auto"/>
      </w:pPr>
      <w:r>
        <w:rPr>
          <w:rFonts w:ascii="Aptos" w:hAnsi="Aptos"/>
          <w:b w:val="0"/>
          <w:color w:val="17201D"/>
          <w:sz w:val="18"/>
        </w:rPr>
        <w:t>Die niedrige Kennzahl dieser Arbeit ist damit kein Qualitätsmangel, sondern die Folge einer Validierung, die dem Modell die Zukunft entzieht. Vier expanding Walk-forward-Folds prüfen zusätzlich die Stabilität über frühere Zeitfenster.</w:t>
      </w:r>
    </w:p>
    <w:p>
      <w:pPr>
        <w:spacing w:after="60" w:line="250" w:lineRule="auto"/>
      </w:pPr>
      <w:r>
        <w:rPr>
          <w:rFonts w:ascii="Aptos" w:hAnsi="Aptos"/>
          <w:b/>
          <w:color w:val="1F5A4E"/>
          <w:sz w:val="17"/>
        </w:rPr>
        <w:t>Random-Forest-Konfiguration: 200 Bäume, max_depth=8, min_samples_leaf=5, class_weight='balanced', random_state=42.</w:t>
      </w:r>
    </w:p>
    <w:p>
      <w:r>
        <w:br w:type="page"/>
      </w:r>
    </w:p>
    <w:p>
      <w:pPr>
        <w:spacing w:after="20"/>
      </w:pPr>
      <w:r>
        <w:rPr>
          <w:rFonts w:ascii="Aptos" w:hAnsi="Aptos"/>
          <w:b/>
          <w:color w:val="B98519"/>
          <w:sz w:val="16"/>
        </w:rPr>
        <w:t>C · EVALUATION</w:t>
      </w:r>
    </w:p>
    <w:p>
      <w:pPr>
        <w:spacing w:before="40" w:after="80"/>
        <w:keepNext/>
      </w:pPr>
      <w:r>
        <w:rPr>
          <w:rFonts w:ascii="Aptos Display" w:hAnsi="Aptos Display"/>
          <w:b/>
          <w:color w:val="1F5A4E"/>
          <w:sz w:val="34"/>
        </w:rPr>
        <w:t>Ergebnisse, Interpretation und Grenzen</w:t>
      </w:r>
    </w:p>
    <w:tbl>
      <w:tblPr>
        <w:tblStyle w:val="TableGrid"/>
        <w:tblW w:type="auto" w:w="0"/>
        <w:jc w:val="center"/>
        <w:tblLook w:firstColumn="1" w:firstRow="1" w:lastColumn="0" w:lastRow="0" w:noHBand="0" w:noVBand="1" w:val="04A0"/>
      </w:tblPr>
      <w:tblGrid>
        <w:gridCol w:w="2565"/>
        <w:gridCol w:w="2565"/>
        <w:gridCol w:w="2565"/>
        <w:gridCol w:w="2565"/>
      </w:tblGrid>
      <w:tr>
        <w:tc>
          <w:tcPr>
            <w:tcW w:type="dxa" w:w="2565"/>
            <w:shd w:fill="1F5A4E"/>
            <w:tcMar>
              <w:top w:w="70" w:type="dxa"/>
              <w:start w:w="90" w:type="dxa"/>
              <w:bottom w:w="70" w:type="dxa"/>
              <w:end w:w="90" w:type="dxa"/>
            </w:tcMar>
          </w:tcPr>
          <w:p>
            <w:r>
              <w:rPr>
                <w:rFonts w:ascii="Aptos" w:hAnsi="Aptos"/>
                <w:b/>
                <w:color w:val="FFFFFF"/>
                <w:sz w:val="16"/>
              </w:rPr>
              <w:t>Modell</w:t>
            </w:r>
          </w:p>
        </w:tc>
        <w:tc>
          <w:tcPr>
            <w:tcW w:type="dxa" w:w="2565"/>
            <w:shd w:fill="1F5A4E"/>
            <w:tcMar>
              <w:top w:w="70" w:type="dxa"/>
              <w:start w:w="90" w:type="dxa"/>
              <w:bottom w:w="70" w:type="dxa"/>
              <w:end w:w="90" w:type="dxa"/>
            </w:tcMar>
          </w:tcPr>
          <w:p>
            <w:r>
              <w:rPr>
                <w:rFonts w:ascii="Aptos" w:hAnsi="Aptos"/>
                <w:b/>
                <w:color w:val="FFFFFF"/>
                <w:sz w:val="16"/>
              </w:rPr>
              <w:t>ROC-AUC</w:t>
            </w:r>
          </w:p>
        </w:tc>
        <w:tc>
          <w:tcPr>
            <w:tcW w:type="dxa" w:w="2565"/>
            <w:shd w:fill="1F5A4E"/>
            <w:tcMar>
              <w:top w:w="70" w:type="dxa"/>
              <w:start w:w="90" w:type="dxa"/>
              <w:bottom w:w="70" w:type="dxa"/>
              <w:end w:w="90" w:type="dxa"/>
            </w:tcMar>
          </w:tcPr>
          <w:p>
            <w:r>
              <w:rPr>
                <w:rFonts w:ascii="Aptos" w:hAnsi="Aptos"/>
                <w:b/>
                <w:color w:val="FFFFFF"/>
                <w:sz w:val="16"/>
              </w:rPr>
              <w:t>Balanced Accuracy</w:t>
            </w:r>
          </w:p>
        </w:tc>
        <w:tc>
          <w:tcPr>
            <w:tcW w:type="dxa" w:w="2565"/>
            <w:shd w:fill="1F5A4E"/>
            <w:tcMar>
              <w:top w:w="70" w:type="dxa"/>
              <w:start w:w="90" w:type="dxa"/>
              <w:bottom w:w="70" w:type="dxa"/>
              <w:end w:w="90" w:type="dxa"/>
            </w:tcMar>
          </w:tcPr>
          <w:p>
            <w:r>
              <w:rPr>
                <w:rFonts w:ascii="Aptos" w:hAnsi="Aptos"/>
                <w:b/>
                <w:color w:val="FFFFFF"/>
                <w:sz w:val="16"/>
              </w:rPr>
              <w:t>Walk-forward AUC</w:t>
            </w:r>
          </w:p>
        </w:tc>
      </w:tr>
      <w:tr>
        <w:tc>
          <w:tcPr>
            <w:tcW w:type="dxa" w:w="3402"/>
            <w:tcMar>
              <w:top w:w="70" w:type="dxa"/>
              <w:start w:w="90" w:type="dxa"/>
              <w:bottom w:w="70" w:type="dxa"/>
              <w:end w:w="90" w:type="dxa"/>
            </w:tcMar>
          </w:tcPr>
          <w:p>
            <w:pPr>
              <w:spacing w:after="0"/>
            </w:pPr>
            <w:r>
              <w:rPr>
                <w:rFonts w:ascii="Aptos" w:hAnsi="Aptos"/>
                <w:color w:val="17201D"/>
                <w:sz w:val="15"/>
              </w:rPr>
              <w:t>Dummy (Mehrheitsklasse)</w:t>
            </w:r>
          </w:p>
        </w:tc>
        <w:tc>
          <w:tcPr>
            <w:tcW w:type="dxa" w:w="1814"/>
            <w:tcMar>
              <w:top w:w="70" w:type="dxa"/>
              <w:start w:w="90" w:type="dxa"/>
              <w:bottom w:w="70" w:type="dxa"/>
              <w:end w:w="90" w:type="dxa"/>
            </w:tcMar>
          </w:tcPr>
          <w:p>
            <w:pPr>
              <w:spacing w:after="0"/>
            </w:pPr>
            <w:r>
              <w:rPr>
                <w:rFonts w:ascii="Aptos" w:hAnsi="Aptos"/>
                <w:color w:val="17201D"/>
                <w:sz w:val="15"/>
              </w:rPr>
              <w:t>0,500</w:t>
            </w:r>
          </w:p>
        </w:tc>
        <w:tc>
          <w:tcPr>
            <w:tcW w:type="dxa" w:w="2381"/>
            <w:tcMar>
              <w:top w:w="70" w:type="dxa"/>
              <w:start w:w="90" w:type="dxa"/>
              <w:bottom w:w="70" w:type="dxa"/>
              <w:end w:w="90" w:type="dxa"/>
            </w:tcMar>
          </w:tcPr>
          <w:p>
            <w:pPr>
              <w:spacing w:after="0"/>
            </w:pPr>
            <w:r>
              <w:rPr>
                <w:rFonts w:ascii="Aptos" w:hAnsi="Aptos"/>
                <w:color w:val="17201D"/>
                <w:sz w:val="15"/>
              </w:rPr>
              <w:t>0,500</w:t>
            </w:r>
          </w:p>
        </w:tc>
        <w:tc>
          <w:tcPr>
            <w:tcW w:type="dxa" w:w="1984"/>
            <w:tcMar>
              <w:top w:w="70" w:type="dxa"/>
              <w:start w:w="90" w:type="dxa"/>
              <w:bottom w:w="70" w:type="dxa"/>
              <w:end w:w="90" w:type="dxa"/>
            </w:tcMar>
          </w:tcPr>
          <w:p>
            <w:pPr>
              <w:spacing w:after="0"/>
            </w:pPr>
            <w:r>
              <w:rPr>
                <w:rFonts w:ascii="Aptos" w:hAnsi="Aptos"/>
                <w:color w:val="17201D"/>
                <w:sz w:val="15"/>
              </w:rPr>
              <w:t>0,500</w:t>
            </w:r>
          </w:p>
        </w:tc>
      </w:tr>
      <w:tr>
        <w:tc>
          <w:tcPr>
            <w:tcW w:type="dxa" w:w="3402"/>
            <w:tcMar>
              <w:top w:w="70" w:type="dxa"/>
              <w:start w:w="90" w:type="dxa"/>
              <w:bottom w:w="70" w:type="dxa"/>
              <w:end w:w="90" w:type="dxa"/>
            </w:tcMar>
            <w:shd w:fill="F4F7F5"/>
          </w:tcPr>
          <w:p>
            <w:pPr>
              <w:spacing w:after="0"/>
            </w:pPr>
            <w:r>
              <w:rPr>
                <w:rFonts w:ascii="Aptos" w:hAnsi="Aptos"/>
                <w:color w:val="17201D"/>
                <w:sz w:val="15"/>
              </w:rPr>
              <w:t>Logistische Regression</w:t>
            </w:r>
          </w:p>
        </w:tc>
        <w:tc>
          <w:tcPr>
            <w:tcW w:type="dxa" w:w="1814"/>
            <w:tcMar>
              <w:top w:w="70" w:type="dxa"/>
              <w:start w:w="90" w:type="dxa"/>
              <w:bottom w:w="70" w:type="dxa"/>
              <w:end w:w="90" w:type="dxa"/>
            </w:tcMar>
            <w:shd w:fill="F4F7F5"/>
          </w:tcPr>
          <w:p>
            <w:pPr>
              <w:spacing w:after="0"/>
            </w:pPr>
            <w:r>
              <w:rPr>
                <w:rFonts w:ascii="Aptos" w:hAnsi="Aptos"/>
                <w:color w:val="17201D"/>
                <w:sz w:val="15"/>
              </w:rPr>
              <w:t>0,517</w:t>
            </w:r>
          </w:p>
        </w:tc>
        <w:tc>
          <w:tcPr>
            <w:tcW w:type="dxa" w:w="2381"/>
            <w:tcMar>
              <w:top w:w="70" w:type="dxa"/>
              <w:start w:w="90" w:type="dxa"/>
              <w:bottom w:w="70" w:type="dxa"/>
              <w:end w:w="90" w:type="dxa"/>
            </w:tcMar>
            <w:shd w:fill="F4F7F5"/>
          </w:tcPr>
          <w:p>
            <w:pPr>
              <w:spacing w:after="0"/>
            </w:pPr>
            <w:r>
              <w:rPr>
                <w:rFonts w:ascii="Aptos" w:hAnsi="Aptos"/>
                <w:color w:val="17201D"/>
                <w:sz w:val="15"/>
              </w:rPr>
              <w:t>0,504</w:t>
            </w:r>
          </w:p>
        </w:tc>
        <w:tc>
          <w:tcPr>
            <w:tcW w:type="dxa" w:w="1984"/>
            <w:tcMar>
              <w:top w:w="70" w:type="dxa"/>
              <w:start w:w="90" w:type="dxa"/>
              <w:bottom w:w="70" w:type="dxa"/>
              <w:end w:w="90" w:type="dxa"/>
            </w:tcMar>
            <w:shd w:fill="F4F7F5"/>
          </w:tcPr>
          <w:p>
            <w:pPr>
              <w:spacing w:after="0"/>
            </w:pPr>
            <w:r>
              <w:rPr>
                <w:rFonts w:ascii="Aptos" w:hAnsi="Aptos"/>
                <w:color w:val="17201D"/>
                <w:sz w:val="15"/>
              </w:rPr>
              <w:t>0,491</w:t>
            </w:r>
          </w:p>
        </w:tc>
      </w:tr>
      <w:tr>
        <w:tc>
          <w:tcPr>
            <w:tcW w:type="dxa" w:w="3402"/>
            <w:tcMar>
              <w:top w:w="70" w:type="dxa"/>
              <w:start w:w="90" w:type="dxa"/>
              <w:bottom w:w="70" w:type="dxa"/>
              <w:end w:w="90" w:type="dxa"/>
            </w:tcMar>
          </w:tcPr>
          <w:p>
            <w:pPr>
              <w:spacing w:after="0"/>
            </w:pPr>
            <w:r>
              <w:rPr>
                <w:rFonts w:ascii="Aptos" w:hAnsi="Aptos"/>
                <w:color w:val="17201D"/>
                <w:sz w:val="15"/>
              </w:rPr>
              <w:t>Entscheidungsbaum</w:t>
            </w:r>
          </w:p>
        </w:tc>
        <w:tc>
          <w:tcPr>
            <w:tcW w:type="dxa" w:w="1814"/>
            <w:tcMar>
              <w:top w:w="70" w:type="dxa"/>
              <w:start w:w="90" w:type="dxa"/>
              <w:bottom w:w="70" w:type="dxa"/>
              <w:end w:w="90" w:type="dxa"/>
            </w:tcMar>
          </w:tcPr>
          <w:p>
            <w:pPr>
              <w:spacing w:after="0"/>
            </w:pPr>
            <w:r>
              <w:rPr>
                <w:rFonts w:ascii="Aptos" w:hAnsi="Aptos"/>
                <w:color w:val="17201D"/>
                <w:sz w:val="15"/>
              </w:rPr>
              <w:t>0,518</w:t>
            </w:r>
          </w:p>
        </w:tc>
        <w:tc>
          <w:tcPr>
            <w:tcW w:type="dxa" w:w="2381"/>
            <w:tcMar>
              <w:top w:w="70" w:type="dxa"/>
              <w:start w:w="90" w:type="dxa"/>
              <w:bottom w:w="70" w:type="dxa"/>
              <w:end w:w="90" w:type="dxa"/>
            </w:tcMar>
          </w:tcPr>
          <w:p>
            <w:pPr>
              <w:spacing w:after="0"/>
            </w:pPr>
            <w:r>
              <w:rPr>
                <w:rFonts w:ascii="Aptos" w:hAnsi="Aptos"/>
                <w:color w:val="17201D"/>
                <w:sz w:val="15"/>
              </w:rPr>
              <w:t>0,513</w:t>
            </w:r>
          </w:p>
        </w:tc>
        <w:tc>
          <w:tcPr>
            <w:tcW w:type="dxa" w:w="1984"/>
            <w:tcMar>
              <w:top w:w="70" w:type="dxa"/>
              <w:start w:w="90" w:type="dxa"/>
              <w:bottom w:w="70" w:type="dxa"/>
              <w:end w:w="90" w:type="dxa"/>
            </w:tcMar>
          </w:tcPr>
          <w:p>
            <w:pPr>
              <w:spacing w:after="0"/>
            </w:pPr>
            <w:r>
              <w:rPr>
                <w:rFonts w:ascii="Aptos" w:hAnsi="Aptos"/>
                <w:color w:val="17201D"/>
                <w:sz w:val="15"/>
              </w:rPr>
              <w:t>0,515</w:t>
            </w:r>
          </w:p>
        </w:tc>
      </w:tr>
      <w:tr>
        <w:tc>
          <w:tcPr>
            <w:tcW w:type="dxa" w:w="3402"/>
            <w:tcMar>
              <w:top w:w="70" w:type="dxa"/>
              <w:start w:w="90" w:type="dxa"/>
              <w:bottom w:w="70" w:type="dxa"/>
              <w:end w:w="90" w:type="dxa"/>
            </w:tcMar>
            <w:shd w:fill="F4F7F5"/>
          </w:tcPr>
          <w:p>
            <w:pPr>
              <w:spacing w:after="0"/>
            </w:pPr>
            <w:r>
              <w:rPr>
                <w:rFonts w:ascii="Aptos" w:hAnsi="Aptos"/>
                <w:color w:val="17201D"/>
                <w:sz w:val="15"/>
              </w:rPr>
              <w:t>Linear SVM</w:t>
            </w:r>
          </w:p>
        </w:tc>
        <w:tc>
          <w:tcPr>
            <w:tcW w:type="dxa" w:w="1814"/>
            <w:tcMar>
              <w:top w:w="70" w:type="dxa"/>
              <w:start w:w="90" w:type="dxa"/>
              <w:bottom w:w="70" w:type="dxa"/>
              <w:end w:w="90" w:type="dxa"/>
            </w:tcMar>
            <w:shd w:fill="F4F7F5"/>
          </w:tcPr>
          <w:p>
            <w:pPr>
              <w:spacing w:after="0"/>
            </w:pPr>
            <w:r>
              <w:rPr>
                <w:rFonts w:ascii="Aptos" w:hAnsi="Aptos"/>
                <w:color w:val="17201D"/>
                <w:sz w:val="15"/>
              </w:rPr>
              <w:t>0,517</w:t>
            </w:r>
          </w:p>
        </w:tc>
        <w:tc>
          <w:tcPr>
            <w:tcW w:type="dxa" w:w="2381"/>
            <w:tcMar>
              <w:top w:w="70" w:type="dxa"/>
              <w:start w:w="90" w:type="dxa"/>
              <w:bottom w:w="70" w:type="dxa"/>
              <w:end w:w="90" w:type="dxa"/>
            </w:tcMar>
            <w:shd w:fill="F4F7F5"/>
          </w:tcPr>
          <w:p>
            <w:pPr>
              <w:spacing w:after="0"/>
            </w:pPr>
            <w:r>
              <w:rPr>
                <w:rFonts w:ascii="Aptos" w:hAnsi="Aptos"/>
                <w:color w:val="17201D"/>
                <w:sz w:val="15"/>
              </w:rPr>
              <w:t>0,504</w:t>
            </w:r>
          </w:p>
        </w:tc>
        <w:tc>
          <w:tcPr>
            <w:tcW w:type="dxa" w:w="1984"/>
            <w:tcMar>
              <w:top w:w="70" w:type="dxa"/>
              <w:start w:w="90" w:type="dxa"/>
              <w:bottom w:w="70" w:type="dxa"/>
              <w:end w:w="90" w:type="dxa"/>
            </w:tcMar>
            <w:shd w:fill="F4F7F5"/>
          </w:tcPr>
          <w:p>
            <w:pPr>
              <w:spacing w:after="0"/>
            </w:pPr>
            <w:r>
              <w:rPr>
                <w:rFonts w:ascii="Aptos" w:hAnsi="Aptos"/>
                <w:color w:val="17201D"/>
                <w:sz w:val="15"/>
              </w:rPr>
              <w:t>0,491</w:t>
            </w:r>
          </w:p>
        </w:tc>
      </w:tr>
      <w:tr>
        <w:tc>
          <w:tcPr>
            <w:tcW w:type="dxa" w:w="3402"/>
            <w:tcMar>
              <w:top w:w="70" w:type="dxa"/>
              <w:start w:w="90" w:type="dxa"/>
              <w:bottom w:w="70" w:type="dxa"/>
              <w:end w:w="90" w:type="dxa"/>
            </w:tcMar>
          </w:tcPr>
          <w:p>
            <w:pPr>
              <w:spacing w:after="0"/>
            </w:pPr>
            <w:r>
              <w:rPr>
                <w:rFonts w:ascii="Aptos" w:hAnsi="Aptos"/>
                <w:color w:val="17201D"/>
                <w:sz w:val="15"/>
              </w:rPr>
              <w:t>Random Forest</w:t>
            </w:r>
          </w:p>
        </w:tc>
        <w:tc>
          <w:tcPr>
            <w:tcW w:type="dxa" w:w="1814"/>
            <w:tcMar>
              <w:top w:w="70" w:type="dxa"/>
              <w:start w:w="90" w:type="dxa"/>
              <w:bottom w:w="70" w:type="dxa"/>
              <w:end w:w="90" w:type="dxa"/>
            </w:tcMar>
          </w:tcPr>
          <w:p>
            <w:pPr>
              <w:spacing w:after="0"/>
            </w:pPr>
            <w:r>
              <w:rPr>
                <w:rFonts w:ascii="Aptos" w:hAnsi="Aptos"/>
                <w:color w:val="17201D"/>
                <w:sz w:val="15"/>
              </w:rPr>
              <w:t>0,519</w:t>
            </w:r>
          </w:p>
        </w:tc>
        <w:tc>
          <w:tcPr>
            <w:tcW w:type="dxa" w:w="2381"/>
            <w:tcMar>
              <w:top w:w="70" w:type="dxa"/>
              <w:start w:w="90" w:type="dxa"/>
              <w:bottom w:w="70" w:type="dxa"/>
              <w:end w:w="90" w:type="dxa"/>
            </w:tcMar>
          </w:tcPr>
          <w:p>
            <w:pPr>
              <w:spacing w:after="0"/>
            </w:pPr>
            <w:r>
              <w:rPr>
                <w:rFonts w:ascii="Aptos" w:hAnsi="Aptos"/>
                <w:color w:val="17201D"/>
                <w:sz w:val="15"/>
              </w:rPr>
              <w:t>0,513</w:t>
            </w:r>
          </w:p>
        </w:tc>
        <w:tc>
          <w:tcPr>
            <w:tcW w:type="dxa" w:w="1984"/>
            <w:tcMar>
              <w:top w:w="70" w:type="dxa"/>
              <w:start w:w="90" w:type="dxa"/>
              <w:bottom w:w="70" w:type="dxa"/>
              <w:end w:w="90" w:type="dxa"/>
            </w:tcMar>
          </w:tcPr>
          <w:p>
            <w:pPr>
              <w:spacing w:after="0"/>
            </w:pPr>
            <w:r>
              <w:rPr>
                <w:rFonts w:ascii="Aptos" w:hAnsi="Aptos"/>
                <w:color w:val="17201D"/>
                <w:sz w:val="15"/>
              </w:rPr>
              <w:t>0,514</w:t>
            </w:r>
          </w:p>
        </w:tc>
      </w:tr>
    </w:tbl>
    <w:p>
      <w:pPr>
        <w:spacing w:after="0"/>
      </w:pPr>
    </w:p>
    <w:p>
      <w:pPr>
        <w:spacing w:after="80" w:line="250" w:lineRule="auto"/>
      </w:pPr>
      <w:r>
        <w:rPr>
          <w:rFonts w:ascii="Aptos" w:hAnsi="Aptos"/>
          <w:b w:val="0"/>
          <w:color w:val="58635E"/>
          <w:sz w:val="15"/>
        </w:rPr>
        <w:t>Tabelle 3: Identisches Out-of-Time-Testfenster; Zufallsniveau der ROC-AUC = 0,5. Quelle: eigene Berechnung mit scripts/train_and_diagnose.py.</w:t>
      </w:r>
    </w:p>
    <w:tbl>
      <w:tblPr>
        <w:tblStyle w:val="TableGrid"/>
        <w:tblW w:type="auto" w:w="0"/>
        <w:jc w:val="center"/>
        <w:tblLook w:firstColumn="1" w:firstRow="1" w:lastColumn="0" w:lastRow="0" w:noHBand="0" w:noVBand="1" w:val="04A0"/>
      </w:tblPr>
      <w:tblGrid>
        <w:gridCol w:w="3421"/>
        <w:gridCol w:w="3421"/>
        <w:gridCol w:w="3421"/>
      </w:tblGrid>
      <w:tr>
        <w:tc>
          <w:tcPr>
            <w:tcW w:type="dxa" w:w="3421"/>
            <w:shd w:fill="1F5A4E"/>
            <w:tcMar>
              <w:top w:w="70" w:type="dxa"/>
              <w:start w:w="90" w:type="dxa"/>
              <w:bottom w:w="70" w:type="dxa"/>
              <w:end w:w="90" w:type="dxa"/>
            </w:tcMar>
          </w:tcPr>
          <w:p>
            <w:r>
              <w:rPr>
                <w:rFonts w:ascii="Aptos" w:hAnsi="Aptos"/>
                <w:b/>
                <w:color w:val="FFFFFF"/>
                <w:sz w:val="16"/>
              </w:rPr>
              <w:t>Kennzahl</w:t>
            </w:r>
          </w:p>
        </w:tc>
        <w:tc>
          <w:tcPr>
            <w:tcW w:type="dxa" w:w="3421"/>
            <w:shd w:fill="1F5A4E"/>
            <w:tcMar>
              <w:top w:w="70" w:type="dxa"/>
              <w:start w:w="90" w:type="dxa"/>
              <w:bottom w:w="70" w:type="dxa"/>
              <w:end w:w="90" w:type="dxa"/>
            </w:tcMar>
          </w:tcPr>
          <w:p>
            <w:r>
              <w:rPr>
                <w:rFonts w:ascii="Aptos" w:hAnsi="Aptos"/>
                <w:b/>
                <w:color w:val="FFFFFF"/>
                <w:sz w:val="16"/>
              </w:rPr>
              <w:t>Random Forest</w:t>
            </w:r>
          </w:p>
        </w:tc>
        <w:tc>
          <w:tcPr>
            <w:tcW w:type="dxa" w:w="3421"/>
            <w:shd w:fill="1F5A4E"/>
            <w:tcMar>
              <w:top w:w="70" w:type="dxa"/>
              <w:start w:w="90" w:type="dxa"/>
              <w:bottom w:w="70" w:type="dxa"/>
              <w:end w:w="90" w:type="dxa"/>
            </w:tcMar>
          </w:tcPr>
          <w:p>
            <w:r>
              <w:rPr>
                <w:rFonts w:ascii="Aptos" w:hAnsi="Aptos"/>
                <w:b/>
                <w:color w:val="FFFFFF"/>
                <w:sz w:val="16"/>
              </w:rPr>
              <w:t>Einordnung</w:t>
            </w:r>
          </w:p>
        </w:tc>
      </w:tr>
      <w:tr>
        <w:tc>
          <w:tcPr>
            <w:tcW w:type="dxa" w:w="2268"/>
            <w:tcMar>
              <w:top w:w="70" w:type="dxa"/>
              <w:start w:w="90" w:type="dxa"/>
              <w:bottom w:w="70" w:type="dxa"/>
              <w:end w:w="90" w:type="dxa"/>
            </w:tcMar>
          </w:tcPr>
          <w:p>
            <w:pPr>
              <w:spacing w:after="0"/>
            </w:pPr>
            <w:r>
              <w:rPr>
                <w:rFonts w:ascii="Aptos" w:hAnsi="Aptos"/>
                <w:color w:val="17201D"/>
                <w:sz w:val="15"/>
              </w:rPr>
              <w:t>Accuracy</w:t>
            </w:r>
          </w:p>
        </w:tc>
        <w:tc>
          <w:tcPr>
            <w:tcW w:type="dxa" w:w="1928"/>
            <w:tcMar>
              <w:top w:w="70" w:type="dxa"/>
              <w:start w:w="90" w:type="dxa"/>
              <w:bottom w:w="70" w:type="dxa"/>
              <w:end w:w="90" w:type="dxa"/>
            </w:tcMar>
          </w:tcPr>
          <w:p>
            <w:pPr>
              <w:spacing w:after="0"/>
            </w:pPr>
            <w:r>
              <w:rPr>
                <w:rFonts w:ascii="Aptos" w:hAnsi="Aptos"/>
                <w:color w:val="17201D"/>
                <w:sz w:val="15"/>
              </w:rPr>
              <w:t>0,519</w:t>
            </w:r>
          </w:p>
        </w:tc>
        <w:tc>
          <w:tcPr>
            <w:tcW w:type="dxa" w:w="4535"/>
            <w:tcMar>
              <w:top w:w="70" w:type="dxa"/>
              <w:start w:w="90" w:type="dxa"/>
              <w:bottom w:w="70" w:type="dxa"/>
              <w:end w:w="90" w:type="dxa"/>
            </w:tcMar>
          </w:tcPr>
          <w:p>
            <w:pPr>
              <w:spacing w:after="0"/>
            </w:pPr>
            <w:r>
              <w:rPr>
                <w:rFonts w:ascii="Aptos" w:hAnsi="Aptos"/>
                <w:color w:val="17201D"/>
                <w:sz w:val="15"/>
              </w:rPr>
              <w:t>unter Mehrheitsbaseline 0,591</w:t>
            </w:r>
          </w:p>
        </w:tc>
      </w:tr>
      <w:tr>
        <w:tc>
          <w:tcPr>
            <w:tcW w:type="dxa" w:w="2268"/>
            <w:tcMar>
              <w:top w:w="70" w:type="dxa"/>
              <w:start w:w="90" w:type="dxa"/>
              <w:bottom w:w="70" w:type="dxa"/>
              <w:end w:w="90" w:type="dxa"/>
            </w:tcMar>
            <w:shd w:fill="F4F7F5"/>
          </w:tcPr>
          <w:p>
            <w:pPr>
              <w:spacing w:after="0"/>
            </w:pPr>
            <w:r>
              <w:rPr>
                <w:rFonts w:ascii="Aptos" w:hAnsi="Aptos"/>
                <w:color w:val="17201D"/>
                <w:sz w:val="15"/>
              </w:rPr>
              <w:t>Balanced Accuracy</w:t>
            </w:r>
          </w:p>
        </w:tc>
        <w:tc>
          <w:tcPr>
            <w:tcW w:type="dxa" w:w="1928"/>
            <w:tcMar>
              <w:top w:w="70" w:type="dxa"/>
              <w:start w:w="90" w:type="dxa"/>
              <w:bottom w:w="70" w:type="dxa"/>
              <w:end w:w="90" w:type="dxa"/>
            </w:tcMar>
            <w:shd w:fill="F4F7F5"/>
          </w:tcPr>
          <w:p>
            <w:pPr>
              <w:spacing w:after="0"/>
            </w:pPr>
            <w:r>
              <w:rPr>
                <w:rFonts w:ascii="Aptos" w:hAnsi="Aptos"/>
                <w:color w:val="17201D"/>
                <w:sz w:val="15"/>
              </w:rPr>
              <w:t>0,513</w:t>
            </w:r>
          </w:p>
        </w:tc>
        <w:tc>
          <w:tcPr>
            <w:tcW w:type="dxa" w:w="4535"/>
            <w:tcMar>
              <w:top w:w="70" w:type="dxa"/>
              <w:start w:w="90" w:type="dxa"/>
              <w:bottom w:w="70" w:type="dxa"/>
              <w:end w:w="90" w:type="dxa"/>
            </w:tcMar>
            <w:shd w:fill="F4F7F5"/>
          </w:tcPr>
          <w:p>
            <w:pPr>
              <w:spacing w:after="0"/>
            </w:pPr>
            <w:r>
              <w:rPr>
                <w:rFonts w:ascii="Aptos" w:hAnsi="Aptos"/>
                <w:color w:val="17201D"/>
                <w:sz w:val="15"/>
              </w:rPr>
              <w:t>nur knapp über Zufall</w:t>
            </w:r>
          </w:p>
        </w:tc>
      </w:tr>
      <w:tr>
        <w:tc>
          <w:tcPr>
            <w:tcW w:type="dxa" w:w="2268"/>
            <w:tcMar>
              <w:top w:w="70" w:type="dxa"/>
              <w:start w:w="90" w:type="dxa"/>
              <w:bottom w:w="70" w:type="dxa"/>
              <w:end w:w="90" w:type="dxa"/>
            </w:tcMar>
          </w:tcPr>
          <w:p>
            <w:pPr>
              <w:spacing w:after="0"/>
            </w:pPr>
            <w:r>
              <w:rPr>
                <w:rFonts w:ascii="Aptos" w:hAnsi="Aptos"/>
                <w:color w:val="17201D"/>
                <w:sz w:val="15"/>
              </w:rPr>
              <w:t>ROC-AUC</w:t>
            </w:r>
          </w:p>
        </w:tc>
        <w:tc>
          <w:tcPr>
            <w:tcW w:type="dxa" w:w="1928"/>
            <w:tcMar>
              <w:top w:w="70" w:type="dxa"/>
              <w:start w:w="90" w:type="dxa"/>
              <w:bottom w:w="70" w:type="dxa"/>
              <w:end w:w="90" w:type="dxa"/>
            </w:tcMar>
          </w:tcPr>
          <w:p>
            <w:pPr>
              <w:spacing w:after="0"/>
            </w:pPr>
            <w:r>
              <w:rPr>
                <w:rFonts w:ascii="Aptos" w:hAnsi="Aptos"/>
                <w:color w:val="17201D"/>
                <w:sz w:val="15"/>
              </w:rPr>
              <w:t>0,519</w:t>
            </w:r>
          </w:p>
        </w:tc>
        <w:tc>
          <w:tcPr>
            <w:tcW w:type="dxa" w:w="4535"/>
            <w:tcMar>
              <w:top w:w="70" w:type="dxa"/>
              <w:start w:w="90" w:type="dxa"/>
              <w:bottom w:w="70" w:type="dxa"/>
              <w:end w:w="90" w:type="dxa"/>
            </w:tcMar>
          </w:tcPr>
          <w:p>
            <w:pPr>
              <w:spacing w:after="0"/>
            </w:pPr>
            <w:r>
              <w:rPr>
                <w:rFonts w:ascii="Aptos" w:hAnsi="Aptos"/>
                <w:color w:val="17201D"/>
                <w:sz w:val="15"/>
              </w:rPr>
              <w:t>schwaches Ranking-Signal</w:t>
            </w:r>
          </w:p>
        </w:tc>
      </w:tr>
      <w:tr>
        <w:tc>
          <w:tcPr>
            <w:tcW w:type="dxa" w:w="2268"/>
            <w:tcMar>
              <w:top w:w="70" w:type="dxa"/>
              <w:start w:w="90" w:type="dxa"/>
              <w:bottom w:w="70" w:type="dxa"/>
              <w:end w:w="90" w:type="dxa"/>
            </w:tcMar>
            <w:shd w:fill="F4F7F5"/>
          </w:tcPr>
          <w:p>
            <w:pPr>
              <w:spacing w:after="0"/>
            </w:pPr>
            <w:r>
              <w:rPr>
                <w:rFonts w:ascii="Aptos" w:hAnsi="Aptos"/>
                <w:color w:val="17201D"/>
                <w:sz w:val="15"/>
              </w:rPr>
              <w:t>Walk-forward AUC</w:t>
            </w:r>
          </w:p>
        </w:tc>
        <w:tc>
          <w:tcPr>
            <w:tcW w:type="dxa" w:w="1928"/>
            <w:tcMar>
              <w:top w:w="70" w:type="dxa"/>
              <w:start w:w="90" w:type="dxa"/>
              <w:bottom w:w="70" w:type="dxa"/>
              <w:end w:w="90" w:type="dxa"/>
            </w:tcMar>
            <w:shd w:fill="F4F7F5"/>
          </w:tcPr>
          <w:p>
            <w:pPr>
              <w:spacing w:after="0"/>
            </w:pPr>
            <w:r>
              <w:rPr>
                <w:rFonts w:ascii="Aptos" w:hAnsi="Aptos"/>
                <w:color w:val="17201D"/>
                <w:sz w:val="15"/>
              </w:rPr>
              <w:t>0,514</w:t>
            </w:r>
          </w:p>
        </w:tc>
        <w:tc>
          <w:tcPr>
            <w:tcW w:type="dxa" w:w="4535"/>
            <w:tcMar>
              <w:top w:w="70" w:type="dxa"/>
              <w:start w:w="90" w:type="dxa"/>
              <w:bottom w:w="70" w:type="dxa"/>
              <w:end w:w="90" w:type="dxa"/>
            </w:tcMar>
            <w:shd w:fill="F4F7F5"/>
          </w:tcPr>
          <w:p>
            <w:pPr>
              <w:spacing w:after="0"/>
            </w:pPr>
            <w:r>
              <w:rPr>
                <w:rFonts w:ascii="Aptos" w:hAnsi="Aptos"/>
                <w:color w:val="17201D"/>
                <w:sz w:val="15"/>
              </w:rPr>
              <w:t>über Zeit nicht stabil stark</w:t>
            </w:r>
          </w:p>
        </w:tc>
      </w:tr>
    </w:tbl>
    <w:p>
      <w:pPr>
        <w:spacing w:after="0"/>
      </w:pPr>
    </w:p>
    <w:p>
      <w:pPr>
        <w:spacing w:before="20" w:after="40"/>
        <w:keepNext/>
      </w:pPr>
      <w:r>
        <w:rPr>
          <w:rFonts w:ascii="Aptos Display" w:hAnsi="Aptos Display"/>
          <w:b/>
          <w:color w:val="B98519"/>
          <w:sz w:val="22"/>
        </w:rPr>
        <w:t>7. Bewertung der Hypothesen</w:t>
      </w:r>
    </w:p>
    <w:p>
      <w:pPr>
        <w:pStyle w:val="ListBullet"/>
        <w:spacing w:after="30" w:line="240" w:lineRule="auto"/>
        <w:ind w:left="255" w:hanging="125"/>
      </w:pPr>
      <w:r>
        <w:rPr>
          <w:rFonts w:ascii="Aptos" w:hAnsi="Aptos"/>
          <w:color w:val="17201D"/>
          <w:sz w:val="17"/>
        </w:rPr>
        <w:t>H1 falsifiziert, nicht ungeprüft: AUC 0,519 liegt über 0,5, der Abstand ist jedoch klein und zeitlich instabil. Die Hypothese war so formuliert, dass sie scheitern konnte – genau das macht sie prüfbar.</w:t>
      </w:r>
    </w:p>
    <w:p>
      <w:pPr>
        <w:pStyle w:val="ListBullet"/>
        <w:spacing w:after="30" w:line="240" w:lineRule="auto"/>
        <w:ind w:left="255" w:hanging="125"/>
      </w:pPr>
      <w:r>
        <w:rPr>
          <w:rFonts w:ascii="Aptos" w:hAnsi="Aptos"/>
          <w:color w:val="17201D"/>
          <w:sz w:val="17"/>
        </w:rPr>
        <w:t>H2 im Prototyp umgesetzt: Methodik, Kennzahlen, Export und Lernstudio sind zugänglich; eine formale Nutzerstudie steht aus.</w:t>
      </w:r>
    </w:p>
    <w:p>
      <w:pPr>
        <w:pStyle w:val="ListBullet"/>
        <w:spacing w:after="30" w:line="240" w:lineRule="auto"/>
        <w:ind w:left="255" w:hanging="125"/>
      </w:pPr>
      <w:r>
        <w:rPr>
          <w:rFonts w:ascii="Aptos" w:hAnsi="Aptos"/>
          <w:color w:val="17201D"/>
          <w:sz w:val="17"/>
        </w:rPr>
        <w:t>H3 teilweise plausibel: Die Kombination verbessert Orientierung und Risikokommunikation, beweist aber keinen wirtschaftlichen Mehrwert.</w:t>
      </w:r>
    </w:p>
    <w:tbl>
      <w:tblPr>
        <w:tblW w:type="auto" w:w="0"/>
        <w:jc w:val="center"/>
        <w:tblLayout w:type="autofit"/>
        <w:tblLook w:firstColumn="1" w:firstRow="1" w:lastColumn="0" w:lastRow="0" w:noHBand="0" w:noVBand="1" w:val="04A0"/>
      </w:tblPr>
      <w:tblGrid>
        <w:gridCol w:w="10262"/>
      </w:tblGrid>
      <w:tr>
        <w:tc>
          <w:tcPr>
            <w:tcW w:type="dxa" w:w="10262"/>
            <w:shd w:fill="F7F1E3"/>
            <w:tcMar>
              <w:top w:w="100" w:type="dxa"/>
              <w:start w:w="130" w:type="dxa"/>
              <w:bottom w:w="100" w:type="dxa"/>
              <w:end w:w="130" w:type="dxa"/>
            </w:tcMar>
            <w:vAlign w:val="center"/>
          </w:tcPr>
          <w:p>
            <w:pPr>
              <w:spacing w:after="40"/>
            </w:pPr>
            <w:r>
              <w:rPr>
                <w:rFonts w:ascii="Aptos" w:hAnsi="Aptos"/>
                <w:b/>
                <w:color w:val="1F5A4E"/>
                <w:sz w:val="18"/>
              </w:rPr>
              <w:t>Zwei Gegenerklärungen wurden ausgeschlossen</w:t>
            </w:r>
          </w:p>
          <w:p>
            <w:pPr>
              <w:spacing w:after="0" w:line="240" w:lineRule="auto"/>
            </w:pPr>
            <w:r>
              <w:rPr>
                <w:rFonts w:ascii="Aptos" w:hAnsi="Aptos"/>
                <w:color w:val="17201D"/>
                <w:sz w:val="17"/>
              </w:rPr>
              <w:t>Modellkapazität: Über sieben Regularisierungsstufen von unbeschränkt (Trainings-AUC 1,000) bis stark gestutzt (0,543) bewegt sich der Test-AUC nur um 0,0071 (0,5121 bis 0,5192); die beste Einstellung ist max_depth=8, leaf=5 (v1.0). Die Trainings-Test-Lücke entsteht also ausschließlich auf der Trainingsseite – das Modell überanpasst Rauschen. Datenmenge: Über die 2,3-fache Trainingsmenge verändert sich der Validierungs-Score der Lernkurve nur um −0,005 und bleibt nahe Zufallsniveau. Weder mehr Kapazität noch mehr Daten heben das Signal.</w:t>
            </w:r>
          </w:p>
        </w:tc>
      </w:tr>
    </w:tbl>
    <w:p>
      <w:pPr>
        <w:spacing w:after="0"/>
      </w:pPr>
    </w:p>
    <w:p>
      <w:pPr>
        <w:spacing w:before="20" w:after="40"/>
        <w:keepNext/>
      </w:pPr>
      <w:r>
        <w:rPr>
          <w:rFonts w:ascii="Aptos Display" w:hAnsi="Aptos Display"/>
          <w:b/>
          <w:color w:val="B98519"/>
          <w:sz w:val="22"/>
        </w:rPr>
        <w:t>8. Fachliche Grenzen</w:t>
      </w:r>
    </w:p>
    <w:p>
      <w:pPr>
        <w:spacing w:after="60" w:line="250" w:lineRule="auto"/>
      </w:pPr>
      <w:r>
        <w:rPr>
          <w:rFonts w:ascii="Aptos" w:hAnsi="Aptos"/>
          <w:b w:val="0"/>
          <w:color w:val="17201D"/>
          <w:sz w:val="18"/>
        </w:rPr>
        <w:t>Historische Kurse enthalten wenig dauerhaftes Vorhersagesignal. Selektions- und Survivorship-Effekte, Transaktionskosten, Slippage, Steuern und Portfoliozwänge sind nicht modelliert. Live-Daten nach 2017 stellen einen Distribution Shift dar. Feature Importance und SHAP erklären statistische Zusammenhänge, aber keine Kausalität. Die ehrliche geringe Leistung ist deshalb das zentrale wissenschaftliche Ergebnis.</w:t>
      </w:r>
    </w:p>
    <w:p>
      <w:r>
        <w:br w:type="page"/>
      </w:r>
    </w:p>
    <w:p>
      <w:pPr>
        <w:spacing w:after="20"/>
      </w:pPr>
      <w:r>
        <w:rPr>
          <w:rFonts w:ascii="Aptos" w:hAnsi="Aptos"/>
          <w:b/>
          <w:color w:val="B98519"/>
          <w:sz w:val="16"/>
        </w:rPr>
        <w:t>K · KNOWLEDGE</w:t>
      </w:r>
    </w:p>
    <w:p>
      <w:pPr>
        <w:spacing w:before="40" w:after="80"/>
        <w:keepNext/>
      </w:pPr>
      <w:r>
        <w:rPr>
          <w:rFonts w:ascii="Aptos Display" w:hAnsi="Aptos Display"/>
          <w:b/>
          <w:color w:val="1F5A4E"/>
          <w:sz w:val="34"/>
        </w:rPr>
        <w:t>Wissenstransfer, Kursbezug und Fazit</w:t>
      </w:r>
    </w:p>
    <w:p>
      <w:pPr>
        <w:spacing w:before="20" w:after="40"/>
        <w:keepNext/>
      </w:pPr>
      <w:r>
        <w:rPr>
          <w:rFonts w:ascii="Aptos Display" w:hAnsi="Aptos Display"/>
          <w:b/>
          <w:color w:val="B98519"/>
          <w:sz w:val="22"/>
        </w:rPr>
        <w:t>9. Umsetzung in der Anwendung</w:t>
      </w:r>
    </w:p>
    <w:tbl>
      <w:tblPr>
        <w:tblStyle w:val="TableGrid"/>
        <w:tblW w:type="auto" w:w="0"/>
        <w:jc w:val="center"/>
        <w:tblLook w:firstColumn="1" w:firstRow="1" w:lastColumn="0" w:lastRow="0" w:noHBand="0" w:noVBand="1" w:val="04A0"/>
      </w:tblPr>
      <w:tblGrid>
        <w:gridCol w:w="5131"/>
        <w:gridCol w:w="5131"/>
      </w:tblGrid>
      <w:tr>
        <w:tc>
          <w:tcPr>
            <w:tcW w:type="dxa" w:w="5131"/>
            <w:shd w:fill="1F5A4E"/>
            <w:tcMar>
              <w:top w:w="70" w:type="dxa"/>
              <w:start w:w="90" w:type="dxa"/>
              <w:bottom w:w="70" w:type="dxa"/>
              <w:end w:w="90" w:type="dxa"/>
            </w:tcMar>
          </w:tcPr>
          <w:p>
            <w:r>
              <w:rPr>
                <w:rFonts w:ascii="Aptos" w:hAnsi="Aptos"/>
                <w:b/>
                <w:color w:val="FFFFFF"/>
                <w:sz w:val="16"/>
              </w:rPr>
              <w:t>Baustein</w:t>
            </w:r>
          </w:p>
        </w:tc>
        <w:tc>
          <w:tcPr>
            <w:tcW w:type="dxa" w:w="5131"/>
            <w:shd w:fill="1F5A4E"/>
            <w:tcMar>
              <w:top w:w="70" w:type="dxa"/>
              <w:start w:w="90" w:type="dxa"/>
              <w:bottom w:w="70" w:type="dxa"/>
              <w:end w:w="90" w:type="dxa"/>
            </w:tcMar>
          </w:tcPr>
          <w:p>
            <w:r>
              <w:rPr>
                <w:rFonts w:ascii="Aptos" w:hAnsi="Aptos"/>
                <w:b/>
                <w:color w:val="FFFFFF"/>
                <w:sz w:val="16"/>
              </w:rPr>
              <w:t>Funktion</w:t>
            </w:r>
          </w:p>
        </w:tc>
      </w:tr>
      <w:tr>
        <w:tc>
          <w:tcPr>
            <w:tcW w:type="dxa" w:w="2381"/>
            <w:tcMar>
              <w:top w:w="70" w:type="dxa"/>
              <w:start w:w="90" w:type="dxa"/>
              <w:bottom w:w="70" w:type="dxa"/>
              <w:end w:w="90" w:type="dxa"/>
            </w:tcMar>
          </w:tcPr>
          <w:p>
            <w:pPr>
              <w:spacing w:after="0"/>
            </w:pPr>
            <w:r>
              <w:rPr>
                <w:rFonts w:ascii="Aptos" w:hAnsi="Aptos"/>
                <w:color w:val="17201D"/>
                <w:sz w:val="15"/>
              </w:rPr>
              <w:t>Marktanalyse</w:t>
            </w:r>
          </w:p>
        </w:tc>
        <w:tc>
          <w:tcPr>
            <w:tcW w:type="dxa" w:w="6690"/>
            <w:tcMar>
              <w:top w:w="70" w:type="dxa"/>
              <w:start w:w="90" w:type="dxa"/>
              <w:bottom w:w="70" w:type="dxa"/>
              <w:end w:w="90" w:type="dxa"/>
            </w:tcMar>
          </w:tcPr>
          <w:p>
            <w:pPr>
              <w:spacing w:after="0"/>
            </w:pPr>
            <w:r>
              <w:rPr>
                <w:rFonts w:ascii="Aptos" w:hAnsi="Aptos"/>
                <w:color w:val="17201D"/>
                <w:sz w:val="15"/>
              </w:rPr>
              <w:t>Kurs, Moving Averages, Candlesticks, Volatilität und Drawdown</w:t>
            </w:r>
          </w:p>
        </w:tc>
      </w:tr>
      <w:tr>
        <w:tc>
          <w:tcPr>
            <w:tcW w:type="dxa" w:w="2381"/>
            <w:tcMar>
              <w:top w:w="70" w:type="dxa"/>
              <w:start w:w="90" w:type="dxa"/>
              <w:bottom w:w="70" w:type="dxa"/>
              <w:end w:w="90" w:type="dxa"/>
            </w:tcMar>
            <w:shd w:fill="F4F7F5"/>
          </w:tcPr>
          <w:p>
            <w:pPr>
              <w:spacing w:after="0"/>
            </w:pPr>
            <w:r>
              <w:rPr>
                <w:rFonts w:ascii="Aptos" w:hAnsi="Aptos"/>
                <w:color w:val="17201D"/>
                <w:sz w:val="15"/>
              </w:rPr>
              <w:t>ML Insights</w:t>
            </w:r>
          </w:p>
        </w:tc>
        <w:tc>
          <w:tcPr>
            <w:tcW w:type="dxa" w:w="6690"/>
            <w:tcMar>
              <w:top w:w="70" w:type="dxa"/>
              <w:start w:w="90" w:type="dxa"/>
              <w:bottom w:w="70" w:type="dxa"/>
              <w:end w:w="90" w:type="dxa"/>
            </w:tcMar>
            <w:shd w:fill="F4F7F5"/>
          </w:tcPr>
          <w:p>
            <w:pPr>
              <w:spacing w:after="0"/>
            </w:pPr>
            <w:r>
              <w:rPr>
                <w:rFonts w:ascii="Aptos" w:hAnsi="Aptos"/>
                <w:color w:val="17201D"/>
                <w:sz w:val="15"/>
              </w:rPr>
              <w:t>Modellvergleich, Konfusionsmatrix, ROC/PR, Lernkurve, Wichtigkeiten</w:t>
            </w:r>
          </w:p>
        </w:tc>
      </w:tr>
      <w:tr>
        <w:tc>
          <w:tcPr>
            <w:tcW w:type="dxa" w:w="2381"/>
            <w:tcMar>
              <w:top w:w="70" w:type="dxa"/>
              <w:start w:w="90" w:type="dxa"/>
              <w:bottom w:w="70" w:type="dxa"/>
              <w:end w:w="90" w:type="dxa"/>
            </w:tcMar>
          </w:tcPr>
          <w:p>
            <w:pPr>
              <w:spacing w:after="0"/>
            </w:pPr>
            <w:r>
              <w:rPr>
                <w:rFonts w:ascii="Aptos" w:hAnsi="Aptos"/>
                <w:color w:val="17201D"/>
                <w:sz w:val="15"/>
              </w:rPr>
              <w:t>Kapital-Kompass</w:t>
            </w:r>
          </w:p>
        </w:tc>
        <w:tc>
          <w:tcPr>
            <w:tcW w:type="dxa" w:w="6690"/>
            <w:tcMar>
              <w:top w:w="70" w:type="dxa"/>
              <w:start w:w="90" w:type="dxa"/>
              <w:bottom w:w="70" w:type="dxa"/>
              <w:end w:w="90" w:type="dxa"/>
            </w:tcMar>
          </w:tcPr>
          <w:p>
            <w:pPr>
              <w:spacing w:after="0"/>
            </w:pPr>
            <w:r>
              <w:rPr>
                <w:rFonts w:ascii="Aptos" w:hAnsi="Aptos"/>
                <w:color w:val="17201D"/>
                <w:sz w:val="15"/>
              </w:rPr>
              <w:t>Risikobasierte Positionsgröße mit transparenten Annahmen</w:t>
            </w:r>
          </w:p>
        </w:tc>
      </w:tr>
      <w:tr>
        <w:tc>
          <w:tcPr>
            <w:tcW w:type="dxa" w:w="2381"/>
            <w:tcMar>
              <w:top w:w="70" w:type="dxa"/>
              <w:start w:w="90" w:type="dxa"/>
              <w:bottom w:w="70" w:type="dxa"/>
              <w:end w:w="90" w:type="dxa"/>
            </w:tcMar>
            <w:shd w:fill="F4F7F5"/>
          </w:tcPr>
          <w:p>
            <w:pPr>
              <w:spacing w:after="0"/>
            </w:pPr>
            <w:r>
              <w:rPr>
                <w:rFonts w:ascii="Aptos" w:hAnsi="Aptos"/>
                <w:color w:val="17201D"/>
                <w:sz w:val="15"/>
              </w:rPr>
              <w:t>Portfolio-Simulator</w:t>
            </w:r>
          </w:p>
        </w:tc>
        <w:tc>
          <w:tcPr>
            <w:tcW w:type="dxa" w:w="6690"/>
            <w:tcMar>
              <w:top w:w="70" w:type="dxa"/>
              <w:start w:w="90" w:type="dxa"/>
              <w:bottom w:w="70" w:type="dxa"/>
              <w:end w:w="90" w:type="dxa"/>
            </w:tcMar>
            <w:shd w:fill="F4F7F5"/>
          </w:tcPr>
          <w:p>
            <w:pPr>
              <w:spacing w:after="0"/>
            </w:pPr>
            <w:r>
              <w:rPr>
                <w:rFonts w:ascii="Aptos" w:hAnsi="Aptos"/>
                <w:color w:val="17201D"/>
                <w:sz w:val="15"/>
              </w:rPr>
              <w:t>Szenarien statt Renditeversprechen</w:t>
            </w:r>
          </w:p>
        </w:tc>
      </w:tr>
      <w:tr>
        <w:tc>
          <w:tcPr>
            <w:tcW w:type="dxa" w:w="2381"/>
            <w:tcMar>
              <w:top w:w="70" w:type="dxa"/>
              <w:start w:w="90" w:type="dxa"/>
              <w:bottom w:w="70" w:type="dxa"/>
              <w:end w:w="90" w:type="dxa"/>
            </w:tcMar>
          </w:tcPr>
          <w:p>
            <w:pPr>
              <w:spacing w:after="0"/>
            </w:pPr>
            <w:r>
              <w:rPr>
                <w:rFonts w:ascii="Aptos" w:hAnsi="Aptos"/>
                <w:color w:val="17201D"/>
                <w:sz w:val="15"/>
              </w:rPr>
              <w:t>Lernstudio</w:t>
            </w:r>
          </w:p>
        </w:tc>
        <w:tc>
          <w:tcPr>
            <w:tcW w:type="dxa" w:w="6690"/>
            <w:tcMar>
              <w:top w:w="70" w:type="dxa"/>
              <w:start w:w="90" w:type="dxa"/>
              <w:bottom w:w="70" w:type="dxa"/>
              <w:end w:w="90" w:type="dxa"/>
            </w:tcMar>
          </w:tcPr>
          <w:p>
            <w:pPr>
              <w:spacing w:after="0"/>
            </w:pPr>
            <w:r>
              <w:rPr>
                <w:rFonts w:ascii="Aptos" w:hAnsi="Aptos"/>
                <w:color w:val="17201D"/>
                <w:sz w:val="15"/>
              </w:rPr>
              <w:t>Quiz, direktes Feedback und arsnova.eu-kompatibler Export</w:t>
            </w:r>
          </w:p>
        </w:tc>
      </w:tr>
      <w:tr>
        <w:tc>
          <w:tcPr>
            <w:tcW w:type="dxa" w:w="2381"/>
            <w:tcMar>
              <w:top w:w="70" w:type="dxa"/>
              <w:start w:w="90" w:type="dxa"/>
              <w:bottom w:w="70" w:type="dxa"/>
              <w:end w:w="90" w:type="dxa"/>
            </w:tcMar>
            <w:shd w:fill="F4F7F5"/>
          </w:tcPr>
          <w:p>
            <w:pPr>
              <w:spacing w:after="0"/>
            </w:pPr>
            <w:r>
              <w:rPr>
                <w:rFonts w:ascii="Aptos" w:hAnsi="Aptos"/>
                <w:color w:val="17201D"/>
                <w:sz w:val="15"/>
              </w:rPr>
              <w:t>Methodik &amp; Export</w:t>
            </w:r>
          </w:p>
        </w:tc>
        <w:tc>
          <w:tcPr>
            <w:tcW w:type="dxa" w:w="6690"/>
            <w:tcMar>
              <w:top w:w="70" w:type="dxa"/>
              <w:start w:w="90" w:type="dxa"/>
              <w:bottom w:w="70" w:type="dxa"/>
              <w:end w:w="90" w:type="dxa"/>
            </w:tcMar>
            <w:shd w:fill="F4F7F5"/>
          </w:tcPr>
          <w:p>
            <w:pPr>
              <w:spacing w:after="0"/>
            </w:pPr>
            <w:r>
              <w:rPr>
                <w:rFonts w:ascii="Aptos" w:hAnsi="Aptos"/>
                <w:color w:val="17201D"/>
                <w:sz w:val="15"/>
              </w:rPr>
              <w:t>QUA³CK, Model Card und reproduzierbare Dateien</w:t>
            </w:r>
          </w:p>
        </w:tc>
      </w:tr>
    </w:tbl>
    <w:p>
      <w:pPr>
        <w:spacing w:after="0"/>
      </w:pPr>
    </w:p>
    <w:tbl>
      <w:tblPr>
        <w:tblW w:type="auto" w:w="0"/>
        <w:jc w:val="center"/>
        <w:tblLayout w:type="autofit"/>
        <w:tblLook w:firstColumn="1" w:firstRow="1" w:lastColumn="0" w:lastRow="0" w:noHBand="0" w:noVBand="1" w:val="04A0"/>
      </w:tblPr>
      <w:tblGrid>
        <w:gridCol w:w="10262"/>
      </w:tblGrid>
      <w:tr>
        <w:tc>
          <w:tcPr>
            <w:tcW w:type="dxa" w:w="10262"/>
            <w:shd w:fill="EAF1ED"/>
            <w:tcMar>
              <w:top w:w="100" w:type="dxa"/>
              <w:start w:w="130" w:type="dxa"/>
              <w:bottom w:w="100" w:type="dxa"/>
              <w:end w:w="130" w:type="dxa"/>
            </w:tcMar>
          </w:tcPr>
          <w:p>
            <w:pPr>
              <w:spacing w:after="40"/>
            </w:pPr>
            <w:r>
              <w:rPr>
                <w:rFonts w:ascii="Aptos" w:hAnsi="Aptos"/>
                <w:b/>
                <w:color w:val="1F5A4E"/>
                <w:sz w:val="18"/>
              </w:rPr>
              <w:t>Zugang zur Anwendung</w:t>
            </w:r>
          </w:p>
          <w:p>
            <w:pPr>
              <w:spacing w:after="40" w:line="240" w:lineRule="auto"/>
            </w:pPr>
            <w:r>
              <w:rPr>
                <w:rFonts w:ascii="Aptos" w:hAnsi="Aptos"/>
                <w:color w:val="17201D"/>
                <w:sz w:val="17"/>
              </w:rPr>
              <w:t xml:space="preserve">Quellcode und vollständige Anwendung:  </w:t>
            </w:r>
            <w:hyperlink r:id="rId11">
              <w:r>
                <w:rPr>
                  <w:rFonts w:ascii="Aptos" w:hAnsi="Aptos"/>
                  <w:b/>
                  <w:color w:val="1F5A4E"/>
                  <w:u w:val="single"/>
                  <w:sz w:val="17"/>
                </w:rPr>
                <w:t>https://github.com/fedansoufiane-commits/forexscope-ai</w:t>
              </w:r>
            </w:hyperlink>
          </w:p>
          <w:p>
            <w:pPr>
              <w:spacing w:after="30" w:line="240" w:lineRule="auto"/>
            </w:pPr>
            <w:r>
              <w:rPr>
                <w:rFonts w:ascii="Aptos" w:hAnsi="Aptos"/>
                <w:color w:val="17201D"/>
                <w:sz w:val="17"/>
              </w:rPr>
              <w:t>Lokal starten (Python 3.11 oder neuer):   1) git clone https://github.com/fedansoufiane-commits/forexscope-ai.git    2) cd forexscope-ai    3) pip install -r requirements.txt    4) streamlit run app.py</w:t>
            </w:r>
          </w:p>
          <w:p>
            <w:pPr>
              <w:spacing w:after="30" w:line="240" w:lineRule="auto"/>
            </w:pPr>
            <w:r>
              <w:rPr>
                <w:rFonts w:ascii="Aptos" w:hAnsi="Aptos"/>
                <w:color w:val="17201D"/>
                <w:sz w:val="17"/>
              </w:rPr>
              <w:t>Schritt 2 nicht überspringen: ohne den Wechsel ins Projektverzeichnis startet Schritt 4 eine fremde app.py oder bricht ab. Kontrolle: ls app.py src/ models/ muss alle drei auflisten.</w:t>
            </w:r>
          </w:p>
          <w:p>
            <w:pPr>
              <w:spacing w:after="30" w:line="240" w:lineRule="auto"/>
            </w:pPr>
            <w:r>
              <w:rPr>
                <w:rFonts w:ascii="Aptos" w:hAnsi="Aptos"/>
                <w:color w:val="17201D"/>
                <w:sz w:val="17"/>
              </w:rPr>
              <w:t>Die App öffnet sich anschließend unter http://localhost:8501. Die Diagnostik-Artefakte sind versioniert im Repository enthalten, ein Neutraining ist für den Start nicht erforderlich.</w:t>
            </w:r>
          </w:p>
          <w:p>
            <w:pPr>
              <w:spacing w:after="0" w:line="240" w:lineRule="auto"/>
            </w:pPr>
            <w:r>
              <w:rPr>
                <w:rFonts w:ascii="Aptos" w:hAnsi="Aptos"/>
                <w:color w:val="17201D"/>
                <w:sz w:val="17"/>
              </w:rPr>
              <w:t>Kennzahlen reproduzieren: python scripts/train_and_diagnose.py (Benchmark) und python scripts/validation_experiments.py (Tabelle 2 sowie der Kapazitäts-Sweep).</w:t>
            </w:r>
          </w:p>
        </w:tc>
      </w:tr>
    </w:tbl>
    <w:p>
      <w:pPr>
        <w:spacing w:after="0"/>
      </w:pPr>
    </w:p>
    <w:p>
      <w:pPr>
        <w:spacing w:before="20" w:after="40"/>
        <w:keepNext/>
      </w:pPr>
      <w:r>
        <w:rPr>
          <w:rFonts w:ascii="Aptos Display" w:hAnsi="Aptos Display"/>
          <w:b/>
          <w:color w:val="B98519"/>
          <w:sz w:val="22"/>
        </w:rPr>
        <w:t>10. Bezug zur Vorlesung</w:t>
      </w:r>
    </w:p>
    <w:p>
      <w:pPr>
        <w:spacing w:after="60" w:line="250" w:lineRule="auto"/>
      </w:pPr>
      <w:r>
        <w:rPr>
          <w:rFonts w:ascii="Aptos" w:hAnsi="Aptos"/>
          <w:b w:val="0"/>
          <w:color w:val="17201D"/>
          <w:sz w:val="18"/>
        </w:rPr>
        <w:t>Die Ausarbeitung verbindet ML-Grundlagen und historische Modellgenerationen mit Klassifikationsmetriken, Lernkurven, SVM, Entscheidungsbäumen und Random Forests. Der StandardScaler macht dabei sichtbar, dass Vorverarbeitung kein Nebenschritt ist: Sie beeinflusst lineare und abstandsbasierte Verfahren und muss innerhalb der Pipeline liegen. QUA³CK strukturiert die technische Arbeit und verhindert, dass das Modell vor Datenverständnis und Fragestellung steht.</w:t>
      </w:r>
    </w:p>
    <w:p>
      <w:pPr>
        <w:spacing w:before="20" w:after="40"/>
        <w:keepNext/>
      </w:pPr>
      <w:r>
        <w:rPr>
          <w:rFonts w:ascii="Aptos Display" w:hAnsi="Aptos Display"/>
          <w:b/>
          <w:color w:val="B98519"/>
          <w:sz w:val="22"/>
        </w:rPr>
        <w:t>11. Fazit</w:t>
      </w:r>
    </w:p>
    <w:tbl>
      <w:tblPr>
        <w:tblW w:type="auto" w:w="0"/>
        <w:jc w:val="center"/>
        <w:tblLayout w:type="autofit"/>
        <w:tblLook w:firstColumn="1" w:firstRow="1" w:lastColumn="0" w:lastRow="0" w:noHBand="0" w:noVBand="1" w:val="04A0"/>
      </w:tblPr>
      <w:tblGrid>
        <w:gridCol w:w="10262"/>
      </w:tblGrid>
      <w:tr>
        <w:tc>
          <w:tcPr>
            <w:tcW w:type="dxa" w:w="10262"/>
            <w:shd w:fill="EAF1ED"/>
            <w:tcMar>
              <w:top w:w="100" w:type="dxa"/>
              <w:start w:w="130" w:type="dxa"/>
              <w:bottom w:w="100" w:type="dxa"/>
              <w:end w:w="130" w:type="dxa"/>
            </w:tcMar>
            <w:vAlign w:val="center"/>
          </w:tcPr>
          <w:p>
            <w:pPr>
              <w:spacing w:after="40"/>
            </w:pPr>
            <w:r>
              <w:rPr>
                <w:rFonts w:ascii="Aptos" w:hAnsi="Aptos"/>
                <w:b/>
                <w:color w:val="1F5A4E"/>
                <w:sz w:val="18"/>
              </w:rPr>
              <w:t>Kernaussage</w:t>
            </w:r>
          </w:p>
          <w:p>
            <w:pPr>
              <w:spacing w:after="0" w:line="240" w:lineRule="auto"/>
            </w:pPr>
            <w:r>
              <w:rPr>
                <w:rFonts w:ascii="Aptos" w:hAnsi="Aptos"/>
                <w:color w:val="17201D"/>
                <w:sz w:val="17"/>
              </w:rPr>
              <w:t>WealthScope AI 1.0 ist kein Kursorakel, sondern ein transparenter ML-Lern- und Analyseprototyp. Das Ergebnis der Arbeit ist nicht das Modell, sondern eine Messung: Wie viel verwertbare Information tragen rein kursbasierte technische Indikatoren? Antwort – nahezu keine, belegt an 190.527 Beobachtungen mit elf Jahren unangetastetem Testzeitraum und gegen zwei ausgeschlossene Gegenerklärungen. Das ist eine nachgerechnete, nicht bloß zitierte Bestätigung der Effizienzmarkthypothese. Der Mehrwert liegt in reproduzierbarer Methodik, fairem Modellvergleich und klarer Risikokommunikation. Der nächste wissenschaftliche Schritt ist ein Forward-Test mit Transaktionskosten, exogenen Variablen und formaler Nutzerstudie.</w:t>
            </w:r>
          </w:p>
        </w:tc>
      </w:tr>
    </w:tbl>
    <w:p>
      <w:pPr>
        <w:spacing w:after="0"/>
      </w:pPr>
    </w:p>
    <w:p>
      <w:pPr>
        <w:spacing w:before="20" w:after="40"/>
        <w:keepNext/>
      </w:pPr>
      <w:r>
        <w:rPr>
          <w:rFonts w:ascii="Aptos Display" w:hAnsi="Aptos Display"/>
          <w:b/>
          <w:color w:val="B98519"/>
          <w:sz w:val="22"/>
        </w:rPr>
        <w:t>Quellen (Auswahl)</w:t>
      </w:r>
    </w:p>
    <w:p>
      <w:pPr>
        <w:spacing w:after="0" w:line="250" w:lineRule="auto"/>
      </w:pPr>
      <w:r>
        <w:rPr>
          <w:rFonts w:ascii="Aptos" w:hAnsi="Aptos"/>
          <w:b w:val="0"/>
          <w:color w:val="58635E"/>
          <w:sz w:val="15"/>
        </w:rPr>
        <w:t>Fama, E. (1970): Efficient Capital Markets. Journal of Finance 25(2). · Géron, A. (2023): Praxiseinstieg Machine Learning, 3. Aufl. · Lundberg, S.; Lee, S.-I. (2017): A Unified Approach to Interpreting Model Predictions. NeurIPS. · Pedregosa, F. et al. (2011): Scikit-learn. JMLR 12. · Stock, A. et al. (2021): QUA³CK – A Machine Learning Development Process. · Marjanovic, B.: Huge Stock Market Dataset, Kaggle, CC0.</w:t>
      </w:r>
    </w:p>
    <w:sectPr w:rsidR="00FC693F" w:rsidRPr="0006063C" w:rsidSect="00034616">
      <w:headerReference w:type="default" r:id="rId9"/>
      <w:footerReference w:type="default" r:id="rId10"/>
      <w:pgSz w:w="11906" w:h="16838"/>
      <w:pgMar w:top="709" w:right="822" w:bottom="680" w:left="822" w:header="312" w:footer="31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8635E"/>
        <w:sz w:val="14"/>
      </w:rPr>
      <w:t xml:space="preserve">Soufiane Fedan  ·  IU Internationale Hochschule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1F5A4E"/>
        <w:sz w:val="14"/>
      </w:rPr>
      <w:t>WEALTHSCOPE AI 1.0  ·  PROJEKTAUSARBEITUNG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0" w:lineRule="auto"/>
    </w:pPr>
    <w:rPr>
      <w:rFonts w:ascii="Aptos" w:hAnsi="Aptos"/>
      <w:color w:val="17201D"/>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fedansoufiane-commits/forexscope-a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