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A6B3C"/>
          <w:sz w:val="72"/>
          <w:szCs w:val="72"/>
        </w:rPr>
        <w:t xml:space="preserve">FoodShield AI</w:t>
      </w:r>
    </w:p>
    <w:p>
      <w:pPr>
        <w:jc w:val="center"/>
      </w:pPr>
      <w:r>
        <w:rPr>
          <w:rFonts w:ascii="Arial" w:cs="Arial" w:eastAsia="Arial" w:hAnsi="Arial"/>
          <w:color w:val="0A1628"/>
          <w:sz w:val="36"/>
          <w:szCs w:val="36"/>
        </w:rPr>
        <w:t xml:space="preserve">Global Food Dependency &amp; Resilience Monitor</w:t>
      </w:r>
    </w:p>
    <w:p>
      <w:r>
        <w:t xml:space="preserve"> </w:t>
      </w:r>
    </w:p>
    <w:p>
      <w:pPr>
        <w:jc w:val="center"/>
      </w:pPr>
      <w:r>
        <w:rPr>
          <w:rFonts w:ascii="Arial" w:cs="Arial" w:eastAsia="Arial" w:hAnsi="Arial"/>
          <w:i/>
          <w:iCs/>
          <w:color w:val="4A5568"/>
          <w:sz w:val="24"/>
          <w:szCs w:val="24"/>
        </w:rPr>
        <w:t xml:space="preserve">Full Product Blueprint &amp; Development Roadmap</w:t>
      </w:r>
    </w:p>
    <w:p>
      <w:r>
        <w:t xml:space="preserve"> </w:t>
      </w:r>
    </w:p>
    <w:p>
      <w:r>
        <w:t xml:space="preserve"> </w:t>
      </w:r>
    </w:p>
    <w:p>
      <w:pPr>
        <w:jc w:val="center"/>
      </w:pPr>
      <w:r>
        <w:rPr>
          <w:rFonts w:ascii="Arial" w:cs="Arial" w:eastAsia="Arial" w:hAnsi="Arial"/>
          <w:i/>
          <w:iCs/>
          <w:color w:val="4A5568"/>
          <w:sz w:val="22"/>
          <w:szCs w:val="22"/>
        </w:rPr>
        <w:t xml:space="preserve">"Which countries are becoming structurally dependent on global food trade —</w:t>
      </w:r>
    </w:p>
    <w:p>
      <w:pPr>
        <w:jc w:val="center"/>
      </w:pPr>
      <w:r>
        <w:rPr>
          <w:rFonts w:ascii="Arial" w:cs="Arial" w:eastAsia="Arial" w:hAnsi="Arial"/>
          <w:i/>
          <w:iCs/>
          <w:color w:val="4A5568"/>
          <w:sz w:val="22"/>
          <w:szCs w:val="22"/>
        </w:rPr>
        <w:t xml:space="preserve">and what happens if trends continue?"</w:t>
      </w:r>
    </w:p>
    <w:p>
      <w:r>
        <w:t xml:space="preserve"> </w:t>
      </w:r>
    </w:p>
    <w:p>
      <w:r>
        <w:t xml:space="preserve"> </w:t>
      </w:r>
    </w:p>
    <w:p>
      <w:pPr>
        <w:jc w:val="center"/>
      </w:pPr>
      <w:r>
        <w:rPr>
          <w:rFonts w:ascii="Arial" w:cs="Arial" w:eastAsia="Arial" w:hAnsi="Arial"/>
          <w:color w:val="B0BEC5"/>
          <w:sz w:val="20"/>
          <w:szCs w:val="20"/>
        </w:rPr>
        <w:t xml:space="preserve">Version 1.0 | May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0A1628"/>
          <w:sz w:val="36"/>
          <w:szCs w:val="36"/>
        </w:rPr>
        <w:t xml:space="preserve">1. Product Concept</w:t>
      </w:r>
    </w:p>
    <w:p>
      <w:pPr>
        <w:spacing w:after="100" w:before="60"/>
      </w:pPr>
      <w:r>
        <w:rPr>
          <w:rFonts w:ascii="Arial" w:cs="Arial" w:eastAsia="Arial" w:hAnsi="Arial"/>
          <w:b w:val="false"/>
          <w:bCs w:val="false"/>
          <w:i w:val="false"/>
          <w:iCs w:val="false"/>
          <w:color w:val="0A1628"/>
          <w:sz w:val="22"/>
          <w:szCs w:val="22"/>
        </w:rPr>
        <w:t xml:space="preserve">FoodShield AI is a premium, interactive intelligence dashboard that maps, scores, and forecasts food dependency risk for every country in the world. It answers the single most urgent strategic question in global food policy: which countries are structurally vulnerable to food shocks — not just today, but by 2030 and beyond?</w:t>
      </w:r>
    </w:p>
    <w:p>
      <w:r>
        <w:t xml:space="preserve"> </w:t>
      </w:r>
    </w:p>
    <w:p>
      <w:pPr>
        <w:spacing w:after="100" w:before="60"/>
      </w:pPr>
      <w:r>
        <w:rPr>
          <w:rFonts w:ascii="Arial" w:cs="Arial" w:eastAsia="Arial" w:hAnsi="Arial"/>
          <w:b w:val="false"/>
          <w:bCs w:val="false"/>
          <w:i w:val="false"/>
          <w:iCs w:val="false"/>
          <w:color w:val="0A1628"/>
          <w:sz w:val="22"/>
          <w:szCs w:val="22"/>
        </w:rPr>
        <w:t xml:space="preserve">The dashboard is designed to feel like a Bloomberg Terminal for food dependency risk: data-dense, precise, and decision-ready — but with the visual clarity of Our World in Data and the narrative intelligence of a policy brief. It goes beyond hunger statistics. It connects the dots between import dependency, supplier concentration, climate volatility, food inflation, production gaps, and conflict disruption to produce a single, explainable risk score per country.</w:t>
      </w:r>
    </w:p>
    <w:p>
      <w:r>
        <w:t xml:space="preserve"> </w:t>
      </w:r>
    </w:p>
    <w:p>
      <w:pPr>
        <w:spacing w:after="100" w:before="60"/>
      </w:pPr>
      <w:r>
        <w:rPr>
          <w:rFonts w:ascii="Arial" w:cs="Arial" w:eastAsia="Arial" w:hAnsi="Arial"/>
          <w:b w:val="false"/>
          <w:bCs w:val="false"/>
          <w:i w:val="false"/>
          <w:iCs w:val="false"/>
          <w:color w:val="0A1628"/>
          <w:sz w:val="22"/>
          <w:szCs w:val="22"/>
        </w:rPr>
        <w:t xml:space="preserve">The core innovation is the proprietary Food Dependency Risk Score (FDRS) — a composite index that ranks countries by their structural exposure to food supply disruptions. The score powers an interactive world map, country deep-dives, forecasting scenarios, and AI-generated summaries for decision-makers across government, business, and the humanitarian sector.</w:t>
      </w:r>
    </w:p>
    <w:p>
      <w:r>
        <w:t xml:space="preserve"> </w:t>
      </w:r>
    </w:p>
    <w:p>
      <w:pPr>
        <w:spacing w:after="100" w:before="60"/>
      </w:pPr>
      <w:r>
        <w:rPr>
          <w:rFonts w:ascii="Arial" w:cs="Arial" w:eastAsia="Arial" w:hAnsi="Arial"/>
          <w:b w:val="false"/>
          <w:bCs w:val="false"/>
          <w:i w:val="false"/>
          <w:iCs w:val="false"/>
          <w:color w:val="0A1628"/>
          <w:sz w:val="22"/>
          <w:szCs w:val="22"/>
        </w:rPr>
        <w:t xml:space="preserve">The name FoodShield reflects the mission: to help governments, companies, investors, and NGOs understand risk before a crisis hits — and to act before food systems break.</w:t>
      </w:r>
    </w:p>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2. Target Users</w:t>
      </w:r>
    </w:p>
    <w:p>
      <w:pPr>
        <w:pStyle w:val="Heading2"/>
        <w:spacing w:after="120" w:before="280"/>
      </w:pPr>
      <w:r>
        <w:rPr>
          <w:rFonts w:ascii="Arial" w:cs="Arial" w:eastAsia="Arial" w:hAnsi="Arial"/>
          <w:b/>
          <w:bCs/>
          <w:color w:val="1A6B3C"/>
          <w:sz w:val="28"/>
          <w:szCs w:val="28"/>
        </w:rPr>
        <w:t xml:space="preserve">2.1  Government &amp; Policy Makers</w:t>
      </w:r>
    </w:p>
    <w:p>
      <w:pPr>
        <w:spacing w:after="100" w:before="60"/>
      </w:pPr>
      <w:r>
        <w:rPr>
          <w:rFonts w:ascii="Arial" w:cs="Arial" w:eastAsia="Arial" w:hAnsi="Arial"/>
          <w:b w:val="false"/>
          <w:bCs w:val="false"/>
          <w:i w:val="false"/>
          <w:iCs w:val="false"/>
          <w:color w:val="0A1628"/>
          <w:sz w:val="22"/>
          <w:szCs w:val="22"/>
        </w:rPr>
        <w:t xml:space="preserve">Ministers of Agriculture, Trade, and Finance; national food security councils; strategic reserves agencies; diplomatic trade teams.</w:t>
      </w:r>
    </w:p>
    <w:p>
      <w:pPr>
        <w:pStyle w:val="ListParagraph"/>
        <w:numPr>
          <w:ilvl w:val="0"/>
          <w:numId w:val="2"/>
        </w:numPr>
        <w:spacing w:after="40" w:before="40"/>
      </w:pPr>
      <w:r>
        <w:rPr>
          <w:rFonts w:ascii="Arial" w:cs="Arial" w:eastAsia="Arial" w:hAnsi="Arial"/>
          <w:color w:val="0A1628"/>
          <w:sz w:val="22"/>
          <w:szCs w:val="22"/>
        </w:rPr>
        <w:t xml:space="preserve">Identify import risks before a supply crisis unfolds</w:t>
      </w:r>
    </w:p>
    <w:p>
      <w:pPr>
        <w:pStyle w:val="ListParagraph"/>
        <w:numPr>
          <w:ilvl w:val="0"/>
          <w:numId w:val="2"/>
        </w:numPr>
        <w:spacing w:after="40" w:before="40"/>
      </w:pPr>
      <w:r>
        <w:rPr>
          <w:rFonts w:ascii="Arial" w:cs="Arial" w:eastAsia="Arial" w:hAnsi="Arial"/>
          <w:color w:val="0A1628"/>
          <w:sz w:val="22"/>
          <w:szCs w:val="22"/>
        </w:rPr>
        <w:t xml:space="preserve">Benchmark national resilience against peer countries</w:t>
      </w:r>
    </w:p>
    <w:p>
      <w:pPr>
        <w:pStyle w:val="ListParagraph"/>
        <w:numPr>
          <w:ilvl w:val="0"/>
          <w:numId w:val="2"/>
        </w:numPr>
        <w:spacing w:after="40" w:before="40"/>
      </w:pPr>
      <w:r>
        <w:rPr>
          <w:rFonts w:ascii="Arial" w:cs="Arial" w:eastAsia="Arial" w:hAnsi="Arial"/>
          <w:color w:val="0A1628"/>
          <w:sz w:val="22"/>
          <w:szCs w:val="22"/>
        </w:rPr>
        <w:t xml:space="preserve">Prioritize investment in strategic grain reserves</w:t>
      </w:r>
    </w:p>
    <w:p>
      <w:pPr>
        <w:pStyle w:val="ListParagraph"/>
        <w:numPr>
          <w:ilvl w:val="0"/>
          <w:numId w:val="2"/>
        </w:numPr>
        <w:spacing w:after="40" w:before="40"/>
      </w:pPr>
      <w:r>
        <w:rPr>
          <w:rFonts w:ascii="Arial" w:cs="Arial" w:eastAsia="Arial" w:hAnsi="Arial"/>
          <w:color w:val="0A1628"/>
          <w:sz w:val="22"/>
          <w:szCs w:val="22"/>
        </w:rPr>
        <w:t xml:space="preserve">Model the impact of trade policy changes on food security</w:t>
      </w:r>
    </w:p>
    <w:p>
      <w:r>
        <w:t xml:space="preserve"> </w:t>
      </w:r>
    </w:p>
    <w:p>
      <w:pPr>
        <w:pStyle w:val="Heading2"/>
        <w:spacing w:after="120" w:before="280"/>
      </w:pPr>
      <w:r>
        <w:rPr>
          <w:rFonts w:ascii="Arial" w:cs="Arial" w:eastAsia="Arial" w:hAnsi="Arial"/>
          <w:b/>
          <w:bCs/>
          <w:color w:val="1A6B3C"/>
          <w:sz w:val="28"/>
          <w:szCs w:val="28"/>
        </w:rPr>
        <w:t xml:space="preserve">2.2  Agrifood Companies &amp; Traders</w:t>
      </w:r>
    </w:p>
    <w:p>
      <w:pPr>
        <w:spacing w:after="100" w:before="60"/>
      </w:pPr>
      <w:r>
        <w:rPr>
          <w:rFonts w:ascii="Arial" w:cs="Arial" w:eastAsia="Arial" w:hAnsi="Arial"/>
          <w:b w:val="false"/>
          <w:bCs w:val="false"/>
          <w:i w:val="false"/>
          <w:iCs w:val="false"/>
          <w:color w:val="0A1628"/>
          <w:sz w:val="22"/>
          <w:szCs w:val="22"/>
        </w:rPr>
        <w:t xml:space="preserve">Commodity traders, food processors, agribusiness multinationals, supermarket procurement teams, feed companies.</w:t>
      </w:r>
    </w:p>
    <w:p>
      <w:pPr>
        <w:pStyle w:val="ListParagraph"/>
        <w:numPr>
          <w:ilvl w:val="0"/>
          <w:numId w:val="2"/>
        </w:numPr>
        <w:spacing w:after="40" w:before="40"/>
      </w:pPr>
      <w:r>
        <w:rPr>
          <w:rFonts w:ascii="Arial" w:cs="Arial" w:eastAsia="Arial" w:hAnsi="Arial"/>
          <w:color w:val="0A1628"/>
          <w:sz w:val="22"/>
          <w:szCs w:val="22"/>
        </w:rPr>
        <w:t xml:space="preserve">Monitor supplier country stability and concentration risk</w:t>
      </w:r>
    </w:p>
    <w:p>
      <w:pPr>
        <w:pStyle w:val="ListParagraph"/>
        <w:numPr>
          <w:ilvl w:val="0"/>
          <w:numId w:val="2"/>
        </w:numPr>
        <w:spacing w:after="40" w:before="40"/>
      </w:pPr>
      <w:r>
        <w:rPr>
          <w:rFonts w:ascii="Arial" w:cs="Arial" w:eastAsia="Arial" w:hAnsi="Arial"/>
          <w:color w:val="0A1628"/>
          <w:sz w:val="22"/>
          <w:szCs w:val="22"/>
        </w:rPr>
        <w:t xml:space="preserve">Anticipate supply chain disruptions early</w:t>
      </w:r>
    </w:p>
    <w:p>
      <w:pPr>
        <w:pStyle w:val="ListParagraph"/>
        <w:numPr>
          <w:ilvl w:val="0"/>
          <w:numId w:val="2"/>
        </w:numPr>
        <w:spacing w:after="40" w:before="40"/>
      </w:pPr>
      <w:r>
        <w:rPr>
          <w:rFonts w:ascii="Arial" w:cs="Arial" w:eastAsia="Arial" w:hAnsi="Arial"/>
          <w:color w:val="0A1628"/>
          <w:sz w:val="22"/>
          <w:szCs w:val="22"/>
        </w:rPr>
        <w:t xml:space="preserve">Identify emerging import markets for food exports</w:t>
      </w:r>
    </w:p>
    <w:p>
      <w:pPr>
        <w:pStyle w:val="ListParagraph"/>
        <w:numPr>
          <w:ilvl w:val="0"/>
          <w:numId w:val="2"/>
        </w:numPr>
        <w:spacing w:after="40" w:before="40"/>
      </w:pPr>
      <w:r>
        <w:rPr>
          <w:rFonts w:ascii="Arial" w:cs="Arial" w:eastAsia="Arial" w:hAnsi="Arial"/>
          <w:color w:val="0A1628"/>
          <w:sz w:val="22"/>
          <w:szCs w:val="22"/>
        </w:rPr>
        <w:t xml:space="preserve">Benchmark climate and logistics exposure across sourcing regions</w:t>
      </w:r>
    </w:p>
    <w:p>
      <w:r>
        <w:t xml:space="preserve"> </w:t>
      </w:r>
    </w:p>
    <w:p>
      <w:pPr>
        <w:pStyle w:val="Heading2"/>
        <w:spacing w:after="120" w:before="280"/>
      </w:pPr>
      <w:r>
        <w:rPr>
          <w:rFonts w:ascii="Arial" w:cs="Arial" w:eastAsia="Arial" w:hAnsi="Arial"/>
          <w:b/>
          <w:bCs/>
          <w:color w:val="1A6B3C"/>
          <w:sz w:val="28"/>
          <w:szCs w:val="28"/>
        </w:rPr>
        <w:t xml:space="preserve">2.3  Investors &amp; Financial Institutions</w:t>
      </w:r>
    </w:p>
    <w:p>
      <w:pPr>
        <w:spacing w:after="100" w:before="60"/>
      </w:pPr>
      <w:r>
        <w:rPr>
          <w:rFonts w:ascii="Arial" w:cs="Arial" w:eastAsia="Arial" w:hAnsi="Arial"/>
          <w:b w:val="false"/>
          <w:bCs w:val="false"/>
          <w:i w:val="false"/>
          <w:iCs w:val="false"/>
          <w:color w:val="0A1628"/>
          <w:sz w:val="22"/>
          <w:szCs w:val="22"/>
        </w:rPr>
        <w:t xml:space="preserve">Agricultural hedge funds, development finance institutions (DFIs), ESG investors, sovereign wealth funds, impact investors.</w:t>
      </w:r>
    </w:p>
    <w:p>
      <w:pPr>
        <w:pStyle w:val="ListParagraph"/>
        <w:numPr>
          <w:ilvl w:val="0"/>
          <w:numId w:val="2"/>
        </w:numPr>
        <w:spacing w:after="40" w:before="40"/>
      </w:pPr>
      <w:r>
        <w:rPr>
          <w:rFonts w:ascii="Arial" w:cs="Arial" w:eastAsia="Arial" w:hAnsi="Arial"/>
          <w:color w:val="0A1628"/>
          <w:sz w:val="22"/>
          <w:szCs w:val="22"/>
        </w:rPr>
        <w:t xml:space="preserve">Identify investable countries with food system growth potential</w:t>
      </w:r>
    </w:p>
    <w:p>
      <w:pPr>
        <w:pStyle w:val="ListParagraph"/>
        <w:numPr>
          <w:ilvl w:val="0"/>
          <w:numId w:val="2"/>
        </w:numPr>
        <w:spacing w:after="40" w:before="40"/>
      </w:pPr>
      <w:r>
        <w:rPr>
          <w:rFonts w:ascii="Arial" w:cs="Arial" w:eastAsia="Arial" w:hAnsi="Arial"/>
          <w:color w:val="0A1628"/>
          <w:sz w:val="22"/>
          <w:szCs w:val="22"/>
        </w:rPr>
        <w:t xml:space="preserve">Assess sovereign risk through a food security lens</w:t>
      </w:r>
    </w:p>
    <w:p>
      <w:pPr>
        <w:pStyle w:val="ListParagraph"/>
        <w:numPr>
          <w:ilvl w:val="0"/>
          <w:numId w:val="2"/>
        </w:numPr>
        <w:spacing w:after="40" w:before="40"/>
      </w:pPr>
      <w:r>
        <w:rPr>
          <w:rFonts w:ascii="Arial" w:cs="Arial" w:eastAsia="Arial" w:hAnsi="Arial"/>
          <w:color w:val="0A1628"/>
          <w:sz w:val="22"/>
          <w:szCs w:val="22"/>
        </w:rPr>
        <w:t xml:space="preserve">Screen ESG portfolios for food vulnerability exposure</w:t>
      </w:r>
    </w:p>
    <w:p>
      <w:pPr>
        <w:pStyle w:val="ListParagraph"/>
        <w:numPr>
          <w:ilvl w:val="0"/>
          <w:numId w:val="2"/>
        </w:numPr>
        <w:spacing w:after="40" w:before="40"/>
      </w:pPr>
      <w:r>
        <w:rPr>
          <w:rFonts w:ascii="Arial" w:cs="Arial" w:eastAsia="Arial" w:hAnsi="Arial"/>
          <w:color w:val="0A1628"/>
          <w:sz w:val="22"/>
          <w:szCs w:val="22"/>
        </w:rPr>
        <w:t xml:space="preserve">Spot infrastructure investment opportunities: storage, logistics, irrigation</w:t>
      </w:r>
    </w:p>
    <w:p>
      <w:r>
        <w:t xml:space="preserve"> </w:t>
      </w:r>
    </w:p>
    <w:p>
      <w:pPr>
        <w:pStyle w:val="Heading2"/>
        <w:spacing w:after="120" w:before="280"/>
      </w:pPr>
      <w:r>
        <w:rPr>
          <w:rFonts w:ascii="Arial" w:cs="Arial" w:eastAsia="Arial" w:hAnsi="Arial"/>
          <w:b/>
          <w:bCs/>
          <w:color w:val="1A6B3C"/>
          <w:sz w:val="28"/>
          <w:szCs w:val="28"/>
        </w:rPr>
        <w:t xml:space="preserve">2.4  NGOs &amp; Humanitarian Organizations</w:t>
      </w:r>
    </w:p>
    <w:p>
      <w:pPr>
        <w:spacing w:after="100" w:before="60"/>
      </w:pPr>
      <w:r>
        <w:rPr>
          <w:rFonts w:ascii="Arial" w:cs="Arial" w:eastAsia="Arial" w:hAnsi="Arial"/>
          <w:b w:val="false"/>
          <w:bCs w:val="false"/>
          <w:i w:val="false"/>
          <w:iCs w:val="false"/>
          <w:color w:val="0A1628"/>
          <w:sz w:val="22"/>
          <w:szCs w:val="22"/>
        </w:rPr>
        <w:t xml:space="preserve">WFP, FAO, IFRC, Oxfam, USAID, country-level humanitarian coordinators.</w:t>
      </w:r>
    </w:p>
    <w:p>
      <w:pPr>
        <w:pStyle w:val="ListParagraph"/>
        <w:numPr>
          <w:ilvl w:val="0"/>
          <w:numId w:val="2"/>
        </w:numPr>
        <w:spacing w:after="40" w:before="40"/>
      </w:pPr>
      <w:r>
        <w:rPr>
          <w:rFonts w:ascii="Arial" w:cs="Arial" w:eastAsia="Arial" w:hAnsi="Arial"/>
          <w:color w:val="0A1628"/>
          <w:sz w:val="22"/>
          <w:szCs w:val="22"/>
        </w:rPr>
        <w:t xml:space="preserve">Anticipate food crises before they become acute</w:t>
      </w:r>
    </w:p>
    <w:p>
      <w:pPr>
        <w:pStyle w:val="ListParagraph"/>
        <w:numPr>
          <w:ilvl w:val="0"/>
          <w:numId w:val="2"/>
        </w:numPr>
        <w:spacing w:after="40" w:before="40"/>
      </w:pPr>
      <w:r>
        <w:rPr>
          <w:rFonts w:ascii="Arial" w:cs="Arial" w:eastAsia="Arial" w:hAnsi="Arial"/>
          <w:color w:val="0A1628"/>
          <w:sz w:val="22"/>
          <w:szCs w:val="22"/>
        </w:rPr>
        <w:t xml:space="preserve">Prioritize program funding by structural vulnerability</w:t>
      </w:r>
    </w:p>
    <w:p>
      <w:pPr>
        <w:pStyle w:val="ListParagraph"/>
        <w:numPr>
          <w:ilvl w:val="0"/>
          <w:numId w:val="2"/>
        </w:numPr>
        <w:spacing w:after="40" w:before="40"/>
      </w:pPr>
      <w:r>
        <w:rPr>
          <w:rFonts w:ascii="Arial" w:cs="Arial" w:eastAsia="Arial" w:hAnsi="Arial"/>
          <w:color w:val="0A1628"/>
          <w:sz w:val="22"/>
          <w:szCs w:val="22"/>
        </w:rPr>
        <w:t xml:space="preserve">Communicate risk to donors and media with visual evidence</w:t>
      </w:r>
    </w:p>
    <w:p>
      <w:pPr>
        <w:pStyle w:val="ListParagraph"/>
        <w:numPr>
          <w:ilvl w:val="0"/>
          <w:numId w:val="2"/>
        </w:numPr>
        <w:spacing w:after="40" w:before="40"/>
      </w:pPr>
      <w:r>
        <w:rPr>
          <w:rFonts w:ascii="Arial" w:cs="Arial" w:eastAsia="Arial" w:hAnsi="Arial"/>
          <w:color w:val="0A1628"/>
          <w:sz w:val="22"/>
          <w:szCs w:val="22"/>
        </w:rPr>
        <w:t xml:space="preserve">Track trends over time to measure intervention effectiveness</w:t>
      </w:r>
    </w:p>
    <w:p>
      <w:r>
        <w:t xml:space="preserve"> </w:t>
      </w:r>
    </w:p>
    <w:p>
      <w:pPr>
        <w:pStyle w:val="Heading2"/>
        <w:spacing w:after="120" w:before="280"/>
      </w:pPr>
      <w:r>
        <w:rPr>
          <w:rFonts w:ascii="Arial" w:cs="Arial" w:eastAsia="Arial" w:hAnsi="Arial"/>
          <w:b/>
          <w:bCs/>
          <w:color w:val="1A6B3C"/>
          <w:sz w:val="28"/>
          <w:szCs w:val="28"/>
        </w:rPr>
        <w:t xml:space="preserve">2.5  Researchers &amp; Media</w:t>
      </w:r>
    </w:p>
    <w:p>
      <w:pPr>
        <w:spacing w:after="100" w:before="60"/>
      </w:pPr>
      <w:r>
        <w:rPr>
          <w:rFonts w:ascii="Arial" w:cs="Arial" w:eastAsia="Arial" w:hAnsi="Arial"/>
          <w:b w:val="false"/>
          <w:bCs w:val="false"/>
          <w:i w:val="false"/>
          <w:iCs w:val="false"/>
          <w:color w:val="0A1628"/>
          <w:sz w:val="22"/>
          <w:szCs w:val="22"/>
        </w:rPr>
        <w:t xml:space="preserve">Academic researchers, think tanks, investigative journalists, data journalists, policy institutes.</w:t>
      </w:r>
    </w:p>
    <w:p>
      <w:pPr>
        <w:pStyle w:val="ListParagraph"/>
        <w:numPr>
          <w:ilvl w:val="0"/>
          <w:numId w:val="2"/>
        </w:numPr>
        <w:spacing w:after="40" w:before="40"/>
      </w:pPr>
      <w:r>
        <w:rPr>
          <w:rFonts w:ascii="Arial" w:cs="Arial" w:eastAsia="Arial" w:hAnsi="Arial"/>
          <w:color w:val="0A1628"/>
          <w:sz w:val="22"/>
          <w:szCs w:val="22"/>
        </w:rPr>
        <w:t xml:space="preserve">Access a clean, citable composite index for food vulnerability research</w:t>
      </w:r>
    </w:p>
    <w:p>
      <w:pPr>
        <w:pStyle w:val="ListParagraph"/>
        <w:numPr>
          <w:ilvl w:val="0"/>
          <w:numId w:val="2"/>
        </w:numPr>
        <w:spacing w:after="40" w:before="40"/>
      </w:pPr>
      <w:r>
        <w:rPr>
          <w:rFonts w:ascii="Arial" w:cs="Arial" w:eastAsia="Arial" w:hAnsi="Arial"/>
          <w:color w:val="0A1628"/>
          <w:sz w:val="22"/>
          <w:szCs w:val="22"/>
        </w:rPr>
        <w:t xml:space="preserve">Download country-level data for further analysis</w:t>
      </w:r>
    </w:p>
    <w:p>
      <w:pPr>
        <w:pStyle w:val="ListParagraph"/>
        <w:numPr>
          <w:ilvl w:val="0"/>
          <w:numId w:val="2"/>
        </w:numPr>
        <w:spacing w:after="40" w:before="40"/>
      </w:pPr>
      <w:r>
        <w:rPr>
          <w:rFonts w:ascii="Arial" w:cs="Arial" w:eastAsia="Arial" w:hAnsi="Arial"/>
          <w:color w:val="0A1628"/>
          <w:sz w:val="22"/>
          <w:szCs w:val="22"/>
        </w:rPr>
        <w:t xml:space="preserve">Use visualizations for publications, articles, and presentations</w:t>
      </w:r>
    </w:p>
    <w:p>
      <w:pPr>
        <w:pStyle w:val="ListParagraph"/>
        <w:numPr>
          <w:ilvl w:val="0"/>
          <w:numId w:val="2"/>
        </w:numPr>
        <w:spacing w:after="40" w:before="40"/>
      </w:pPr>
      <w:r>
        <w:rPr>
          <w:rFonts w:ascii="Arial" w:cs="Arial" w:eastAsia="Arial" w:hAnsi="Arial"/>
          <w:color w:val="0A1628"/>
          <w:sz w:val="22"/>
          <w:szCs w:val="22"/>
        </w:rPr>
        <w:t xml:space="preserve">Compare national trends across regions and commodity exposures</w:t>
      </w:r>
    </w:p>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3.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What FoodShield AI Delivers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Single risk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 composite Food Dependency Risk Score (FDRS) combining 6 weighted dimensions into one explainable number per country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Global map view</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Color-coded interactive world map showing resilience vs. vulnerability at a glance — filterable by commodity, region, risk type, and timeframe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Country deep-dive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Full profile per country: imports, exports, production gaps, supplier concentration, inflation trends, climate exposure, and 2030 forecast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Trade flow mapping</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Sankey diagrams and choropleth maps showing where food comes from, who depends on whom, and where supply chains are fragile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Scenario simulation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Test food shock scenarios — e.g., wheat price +20%, drought reducing output 15%, a supplier banning exports — and see which countries suffer most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AI-generated insights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Plain-language explanations of each country's risk, trend, and recommended actions for different audience types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2030 forecasting</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Trend extrapolation showing whether countries are becoming more or less food-dependent over time — with linear, moving average, and scenario-based projections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Publishable quality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Premium dark-mode design that looks credible to policymakers, investors, and international organizations</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4.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Tab Overview</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Tab 1: Global Overview</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Interactive world map + global rankings + risk distribution + trend drivers + insight cards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Tab 2: Country Deep Dive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Full country profile with all FDRS components, trade flows, climate, conflict, and 2030 outlook</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Tab 3: Imports &amp; Exports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Trade flow detail: top 10 imports/exports, Sankey diagram, supplier maps, dependency trend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Tab 4: Dependency &amp; Resilience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FDRS methodology, radar chart, global ranking table, 2x2 matrix, country comparison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Tab 5: Future Trends &amp; Forecast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2030 projections for all FDRS components with trend line options and AI interpretation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Tab 6: Scenario Simulator</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Shock scenarios (wheat +20%, drought, export ban, FX collapse) with country impact rankings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Tab 7: Opportunity &amp; Action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Risk translated into policy, investment, and humanitarian recommendations by audience type</w:t>
            </w:r>
          </w:p>
        </w:tc>
      </w:tr>
    </w:tbl>
    <w:p>
      <w:r>
        <w:t xml:space="preserve"> </w:t>
      </w:r>
    </w:p>
    <w:p>
      <w:pPr>
        <w:pStyle w:val="Heading2"/>
        <w:spacing w:after="120" w:before="280"/>
      </w:pPr>
      <w:r>
        <w:rPr>
          <w:rFonts w:ascii="Arial" w:cs="Arial" w:eastAsia="Arial" w:hAnsi="Arial"/>
          <w:b/>
          <w:bCs/>
          <w:color w:val="1A6B3C"/>
          <w:sz w:val="28"/>
          <w:szCs w:val="28"/>
        </w:rPr>
        <w:t xml:space="preserve">4.1  Tab 1: Global Overview — Wireframe Description</w:t>
      </w:r>
    </w:p>
    <w:p>
      <w:pPr>
        <w:spacing w:after="100" w:before="60"/>
      </w:pPr>
      <w:r>
        <w:rPr>
          <w:rFonts w:ascii="Arial" w:cs="Arial" w:eastAsia="Arial" w:hAnsi="Arial"/>
          <w:b w:val="false"/>
          <w:bCs w:val="false"/>
          <w:i w:val="false"/>
          <w:iCs w:val="false"/>
          <w:color w:val="0A1628"/>
          <w:sz w:val="22"/>
          <w:szCs w:val="22"/>
        </w:rPr>
        <w:t xml:space="preserve">Layout: Full-width interactive world map (top 60% of screen). Below the map: two side-by-side ranking tables (most dependent vs. most resilient). Below that: a risk distribution bar showing count per category. Below that: a horizontal series of insight cards (scrollable).</w:t>
      </w:r>
    </w:p>
    <w:p>
      <w:r>
        <w:t xml:space="preserve"> </w:t>
      </w:r>
    </w:p>
    <w:p>
      <w:pPr>
        <w:spacing w:after="100" w:before="60"/>
      </w:pPr>
      <w:r>
        <w:rPr>
          <w:rFonts w:ascii="Arial" w:cs="Arial" w:eastAsia="Arial" w:hAnsi="Arial"/>
          <w:b w:val="false"/>
          <w:bCs w:val="false"/>
          <w:i w:val="false"/>
          <w:iCs w:val="false"/>
          <w:color w:val="0A1628"/>
          <w:sz w:val="22"/>
          <w:szCs w:val="22"/>
        </w:rPr>
        <w:t xml:space="preserve">Map: Countries colored by FDRS using 5-color risk scale. Hover shows country name + score. Click opens Country Side Panel on the right. Filter bar at top: Commodity | Risk Type | Region | Timeframe.</w:t>
      </w:r>
    </w:p>
    <w:p>
      <w:r>
        <w:t xml:space="preserve"> </w:t>
      </w:r>
    </w:p>
    <w:p>
      <w:pPr>
        <w:spacing w:after="100" w:before="60"/>
      </w:pPr>
      <w:r>
        <w:rPr>
          <w:rFonts w:ascii="Arial" w:cs="Arial" w:eastAsia="Arial" w:hAnsi="Arial"/>
          <w:b w:val="false"/>
          <w:bCs w:val="false"/>
          <w:i w:val="false"/>
          <w:iCs w:val="false"/>
          <w:color w:val="0A1628"/>
          <w:sz w:val="22"/>
          <w:szCs w:val="22"/>
        </w:rPr>
        <w:t xml:space="preserve">Side Panel (on country click): Country flag + name, FDRS score (large), risk badge, mini radar chart of score components, top 3 imports, top 3 suppliers, main vulnerability, 2030 outlook, AI summary (2–3 sentences).</w:t>
      </w:r>
    </w:p>
    <w:p>
      <w:r>
        <w:t xml:space="preserve"> </w:t>
      </w:r>
    </w:p>
    <w:p>
      <w:pPr>
        <w:pStyle w:val="Heading2"/>
        <w:spacing w:after="120" w:before="280"/>
      </w:pPr>
      <w:r>
        <w:rPr>
          <w:rFonts w:ascii="Arial" w:cs="Arial" w:eastAsia="Arial" w:hAnsi="Arial"/>
          <w:b/>
          <w:bCs/>
          <w:color w:val="1A6B3C"/>
          <w:sz w:val="28"/>
          <w:szCs w:val="28"/>
        </w:rPr>
        <w:t xml:space="preserve">4.2  Tab 2: Country Deep Dive — Wireframe Description</w:t>
      </w:r>
    </w:p>
    <w:p>
      <w:pPr>
        <w:spacing w:after="100" w:before="60"/>
      </w:pPr>
      <w:r>
        <w:rPr>
          <w:rFonts w:ascii="Arial" w:cs="Arial" w:eastAsia="Arial" w:hAnsi="Arial"/>
          <w:b w:val="false"/>
          <w:bCs w:val="false"/>
          <w:i w:val="false"/>
          <w:iCs w:val="false"/>
          <w:color w:val="0A1628"/>
          <w:sz w:val="22"/>
          <w:szCs w:val="22"/>
        </w:rPr>
        <w:t xml:space="preserve">Layout: Top bar with country selector + flag + FDRS badge. Below: 6-card row showing each score component as a mini metric card. Below: 3-column layout — left column (trade data), center column (production/consumption charts), right column (risk detail). Bottom: 2030 forecast section + AI narrative.</w:t>
      </w:r>
    </w:p>
    <w:p>
      <w:r>
        <w:t xml:space="preserve"> </w:t>
      </w:r>
    </w:p>
    <w:p>
      <w:pPr>
        <w:pStyle w:val="Heading2"/>
        <w:spacing w:after="120" w:before="280"/>
      </w:pPr>
      <w:r>
        <w:rPr>
          <w:rFonts w:ascii="Arial" w:cs="Arial" w:eastAsia="Arial" w:hAnsi="Arial"/>
          <w:b/>
          <w:bCs/>
          <w:color w:val="1A6B3C"/>
          <w:sz w:val="28"/>
          <w:szCs w:val="28"/>
        </w:rPr>
        <w:t xml:space="preserve">4.3  Tab 3: Imports &amp; Exports — Wireframe Description</w:t>
      </w:r>
    </w:p>
    <w:p>
      <w:pPr>
        <w:spacing w:after="100" w:before="60"/>
      </w:pPr>
      <w:r>
        <w:rPr>
          <w:rFonts w:ascii="Arial" w:cs="Arial" w:eastAsia="Arial" w:hAnsi="Arial"/>
          <w:b w:val="false"/>
          <w:bCs w:val="false"/>
          <w:i w:val="false"/>
          <w:iCs w:val="false"/>
          <w:color w:val="0A1628"/>
          <w:sz w:val="22"/>
          <w:szCs w:val="22"/>
        </w:rPr>
        <w:t xml:space="preserve">Layout: Country selector at top. Split screen: left side shows top 10 imports as a horizontal bar chart. Right side shows top 10 exports. Center bottom: Sankey diagram showing trade flows from supplier countries. Below: line chart of import/export volume over 10 years. Map overlay showing supplier countries in heat-map intensity.</w:t>
      </w:r>
    </w:p>
    <w:p>
      <w:r>
        <w:t xml:space="preserve"> </w:t>
      </w:r>
    </w:p>
    <w:p>
      <w:pPr>
        <w:pStyle w:val="Heading2"/>
        <w:spacing w:after="120" w:before="280"/>
      </w:pPr>
      <w:r>
        <w:rPr>
          <w:rFonts w:ascii="Arial" w:cs="Arial" w:eastAsia="Arial" w:hAnsi="Arial"/>
          <w:b/>
          <w:bCs/>
          <w:color w:val="1A6B3C"/>
          <w:sz w:val="28"/>
          <w:szCs w:val="28"/>
        </w:rPr>
        <w:t xml:space="preserve">4.4  Tab 4: Dependency &amp; Resilience Score — Wireframe Description</w:t>
      </w:r>
    </w:p>
    <w:p>
      <w:pPr>
        <w:spacing w:after="100" w:before="60"/>
      </w:pPr>
      <w:r>
        <w:rPr>
          <w:rFonts w:ascii="Arial" w:cs="Arial" w:eastAsia="Arial" w:hAnsi="Arial"/>
          <w:b w:val="false"/>
          <w:bCs w:val="false"/>
          <w:i w:val="false"/>
          <w:iCs w:val="false"/>
          <w:color w:val="0A1628"/>
          <w:sz w:val="22"/>
          <w:szCs w:val="22"/>
        </w:rPr>
        <w:t xml:space="preserve">Layout: Top section explains FDRS formula with a visual weight breakdown. Center: radar chart for selected country. Right: global ranking table (sortable). Middle section: 2x2 matrix (import dependency vs. domestic resilience) with all countries plotted as dots. Bottom: country comparison selector (A vs. B) with side-by-side radar charts and score trend lines.</w:t>
      </w:r>
    </w:p>
    <w:p>
      <w:r>
        <w:t xml:space="preserve"> </w:t>
      </w:r>
    </w:p>
    <w:p>
      <w:pPr>
        <w:pStyle w:val="Heading2"/>
        <w:spacing w:after="120" w:before="280"/>
      </w:pPr>
      <w:r>
        <w:rPr>
          <w:rFonts w:ascii="Arial" w:cs="Arial" w:eastAsia="Arial" w:hAnsi="Arial"/>
          <w:b/>
          <w:bCs/>
          <w:color w:val="1A6B3C"/>
          <w:sz w:val="28"/>
          <w:szCs w:val="28"/>
        </w:rPr>
        <w:t xml:space="preserve">4.5  Tab 5: Future Trends &amp; Forecast — Wireframe Description</w:t>
      </w:r>
    </w:p>
    <w:p>
      <w:pPr>
        <w:spacing w:after="100" w:before="60"/>
      </w:pPr>
      <w:r>
        <w:rPr>
          <w:rFonts w:ascii="Arial" w:cs="Arial" w:eastAsia="Arial" w:hAnsi="Arial"/>
          <w:b w:val="false"/>
          <w:bCs w:val="false"/>
          <w:i w:val="false"/>
          <w:iCs w:val="false"/>
          <w:color w:val="0A1628"/>
          <w:sz w:val="22"/>
          <w:szCs w:val="22"/>
        </w:rPr>
        <w:t xml:space="preserve">Layout: Country selector + forecast method toggle (5yr trend / 10yr trend / linear / moving average). Main section: large multi-line chart showing imports, exports, production, consumption, population projected to 2030. Below: 4 metric forecast cards (import dependency %, production gap, affordability pressure, staple exposure). Bottom: AI trend interpretation block.</w:t>
      </w:r>
    </w:p>
    <w:p>
      <w:r>
        <w:t xml:space="preserve"> </w:t>
      </w:r>
    </w:p>
    <w:p>
      <w:pPr>
        <w:pStyle w:val="Heading2"/>
        <w:spacing w:after="120" w:before="280"/>
      </w:pPr>
      <w:r>
        <w:rPr>
          <w:rFonts w:ascii="Arial" w:cs="Arial" w:eastAsia="Arial" w:hAnsi="Arial"/>
          <w:b/>
          <w:bCs/>
          <w:color w:val="1A6B3C"/>
          <w:sz w:val="28"/>
          <w:szCs w:val="28"/>
        </w:rPr>
        <w:t xml:space="preserve">4.6  Tab 6: Scenario Simulator — Wireframe Description</w:t>
      </w:r>
    </w:p>
    <w:p>
      <w:pPr>
        <w:spacing w:after="100" w:before="60"/>
      </w:pPr>
      <w:r>
        <w:rPr>
          <w:rFonts w:ascii="Arial" w:cs="Arial" w:eastAsia="Arial" w:hAnsi="Arial"/>
          <w:b w:val="false"/>
          <w:bCs w:val="false"/>
          <w:i w:val="false"/>
          <w:iCs w:val="false"/>
          <w:color w:val="0A1628"/>
          <w:sz w:val="22"/>
          <w:szCs w:val="22"/>
        </w:rPr>
        <w:t xml:space="preserve">Layout: Left column: scenario selector checkboxes (select one or combine multiple shocks). Center: world map updating to show which countries are most affected (score change highlighted). Right column: ranked impact table — countries sorted by score change, with commodity and vulnerability explanation. Bottom: per-country suggested response panel.</w:t>
      </w:r>
    </w:p>
    <w:p>
      <w:r>
        <w:t xml:space="preserve"> </w:t>
      </w:r>
    </w:p>
    <w:p>
      <w:pPr>
        <w:pStyle w:val="Heading2"/>
        <w:spacing w:after="120" w:before="280"/>
      </w:pPr>
      <w:r>
        <w:rPr>
          <w:rFonts w:ascii="Arial" w:cs="Arial" w:eastAsia="Arial" w:hAnsi="Arial"/>
          <w:b/>
          <w:bCs/>
          <w:color w:val="1A6B3C"/>
          <w:sz w:val="28"/>
          <w:szCs w:val="28"/>
        </w:rPr>
        <w:t xml:space="preserve">4.7  Tab 7: Opportunity &amp; Action — Wireframe Description</w:t>
      </w:r>
    </w:p>
    <w:p>
      <w:pPr>
        <w:spacing w:after="100" w:before="60"/>
      </w:pPr>
      <w:r>
        <w:rPr>
          <w:rFonts w:ascii="Arial" w:cs="Arial" w:eastAsia="Arial" w:hAnsi="Arial"/>
          <w:b w:val="false"/>
          <w:bCs w:val="false"/>
          <w:i w:val="false"/>
          <w:iCs w:val="false"/>
          <w:color w:val="0A1628"/>
          <w:sz w:val="22"/>
          <w:szCs w:val="22"/>
        </w:rPr>
        <w:t xml:space="preserve">Layout: Country selector + audience toggle (Government / Company / Investor / NGO / Researcher). Main area: 3-column cards — Policy Action | Investment Opportunity | Business/Humanitarian Priority. Below: a structured recommendation table with priority, action, rationale, and urgency rating.</w:t>
      </w:r>
    </w:p>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5. Data Model</w:t>
      </w:r>
    </w:p>
    <w:p>
      <w:pPr>
        <w:pStyle w:val="Heading2"/>
        <w:spacing w:after="120" w:before="280"/>
      </w:pPr>
      <w:r>
        <w:rPr>
          <w:rFonts w:ascii="Arial" w:cs="Arial" w:eastAsia="Arial" w:hAnsi="Arial"/>
          <w:b/>
          <w:bCs/>
          <w:color w:val="1A6B3C"/>
          <w:sz w:val="28"/>
          <w:szCs w:val="28"/>
        </w:rPr>
        <w:t xml:space="preserve">5.1  Primary Entity: Country</w:t>
      </w:r>
    </w:p>
    <w:p>
      <w:pPr>
        <w:spacing w:after="100" w:before="60"/>
      </w:pPr>
      <w:r>
        <w:rPr>
          <w:rFonts w:ascii="Arial" w:cs="Arial" w:eastAsia="Arial" w:hAnsi="Arial"/>
          <w:b w:val="false"/>
          <w:bCs w:val="false"/>
          <w:i w:val="false"/>
          <w:iCs w:val="false"/>
          <w:color w:val="0A1628"/>
          <w:sz w:val="22"/>
          <w:szCs w:val="22"/>
        </w:rPr>
        <w:t xml:space="preserve">Every data point in FoodShield AI is anchored to a country record. The country table is the spine of the entire data model.</w:t>
      </w:r>
    </w:p>
    <w:p>
      <w:r>
        <w:t xml:space="preserve"> </w:t>
      </w:r>
    </w:p>
    <w:p>
      <w:pPr>
        <w:pStyle w:val="Heading3"/>
        <w:spacing w:after="80" w:before="200"/>
      </w:pPr>
      <w:r>
        <w:rPr>
          <w:rFonts w:ascii="Arial" w:cs="Arial" w:eastAsia="Arial" w:hAnsi="Arial"/>
          <w:b/>
          <w:bCs/>
          <w:color w:val="0A1628"/>
          <w:sz w:val="24"/>
          <w:szCs w:val="24"/>
        </w:rPr>
        <w:t xml:space="preserve">Recommended Database Schema — countries_master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Core Identification Fields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country_id</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VARCHAR(3) PRIMARY KEY — ISO 3166-1 alpha-3 code (e.g., EGY, NLD, NGA)</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country_name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VARCHAR(100) — Full English name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region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VARCHAR(50) — Africa | Asia | Europe | Latin America | Middle East | North America | Oceania</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sub_region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VARCHAR(80) — e.g., North Africa, Southeast Asia</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lat / lon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Country centroid for map rendering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population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BIGINT — Latest year population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gdp_per_capita_usd</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World Bank WDI</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currency_code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VARCHAR(3)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Food Dependency Risk Score Fields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fdrs_total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DECIMAL(5,2) — Composite score 0–100</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fdrs_import_dependency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DECIMAL(5,2) — Component 1 (30% weight)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fdrs_supplier_concentration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DECIMAL(5,2) — Component 2 (20% weight)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fdrs_production_trend</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DECIMAL(5,2) — Component 3 (15% weight)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fdrs_food_inflation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DECIMAL(5,2) — Component 4 (15% weight)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fdrs_climate_volatility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DECIMAL(5,2) — Component 5 (10% weight)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fdrs_conflict_logistics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DECIMAL(5,2) — Component 6 (10% weight)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fdrs_category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VARCHAR(30) — Resilient | Exposed | Dependent | Structurally Vulnerable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fdrs_year</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INT — Reference year for the score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Staple Exposure Fields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wheat_import_share_pct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 of wheat consumed that is imported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rice_import_share_pct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maize_import_share_pct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soy_import_share_pct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veg_oil_import_share_pct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fertilizer_import_share_pct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top_wheat_supplier_1</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VARCHAR(3) — ISO3 of top supplier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top_wheat_supplier_share_1</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 of imports from that supplier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Trade Balance Fields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total_food_imports_usd_m</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USD millions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total_food_exports_usd_m</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USD millions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net_food_trade_usd_m</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exports minus imports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import_gdp_ratio</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food imports as % of GDP</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export_concentration_hhi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Herfindahl index of export commodity concentration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import_concentration_hhi</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Herfindahl index of import supplier concentration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Production &amp; Consumption Fields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domestic_production_kt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Kilotonnes, all food commodities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total_consumption_kt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production_consumption_gap</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Negative = deficit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production_growth_5yr_pct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5-year CAGR of production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consumption_growth_5yr_pct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caloric_self_sufficiency_ratio</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 of calories produced domestically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Context Fields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food_inflation_pct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Latest annual food CPI % change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food_expenditure_share_pct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 of household income spent on food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undernourishment_pct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FAO prevalence of undernourishment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spei_index</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Standardized Precipitation Evapotranspiration Index (drought)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conflict_events_count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INT — ACLED conflict events in last 12 months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logistics_performance_index</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World Bank LPI score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forecast_fdrs_2030</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DECIMAL — Projected FDRS score for 2030</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forecast_import_dep_2030</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DECIMAL — Projected import dependency % for 2030</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ai_summary</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TEXT — Pre-generated AI narrative for the country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last_updated</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TIMESTAMP</w:t>
            </w:r>
          </w:p>
        </w:tc>
      </w:tr>
    </w:tbl>
    <w:p>
      <w:r>
        <w:t xml:space="preserve"> </w:t>
      </w:r>
    </w:p>
    <w:p>
      <w:pPr>
        <w:pStyle w:val="Heading2"/>
        <w:spacing w:after="120" w:before="280"/>
      </w:pPr>
      <w:r>
        <w:rPr>
          <w:rFonts w:ascii="Arial" w:cs="Arial" w:eastAsia="Arial" w:hAnsi="Arial"/>
          <w:b/>
          <w:bCs/>
          <w:color w:val="1A6B3C"/>
          <w:sz w:val="28"/>
          <w:szCs w:val="28"/>
        </w:rPr>
        <w:t xml:space="preserve">5.2  Secondary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Supporting Tables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trade_flows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country_id | partner_id | commodity | year | volume_kt | value_usd_m | flow_type (import/export)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commodity_prices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commodity | date | price_usd | index_base100 | source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production_series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country_id | commodity | year | production_kt | yield_kg_ha | area_harvested_ha</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climate_series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country_id | year | month | precipitation_mm | temp_celsius | drought_index | flood_events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conflict_events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country_id | date | event_type | fatalities | region | source (ACLED)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score_history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country_id | year | fdrs_total | all component scores (for trend lines)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scenarios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scenario_id | name | commodity_affected | price_change_pct | country_impacts (JSON)</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6. Suggested Datasets &amp; Data Sources</w:t>
      </w:r>
    </w:p>
    <w:p>
      <w:pPr>
        <w:pStyle w:val="Heading2"/>
        <w:spacing w:after="120" w:before="280"/>
      </w:pPr>
      <w:r>
        <w:rPr>
          <w:rFonts w:ascii="Arial" w:cs="Arial" w:eastAsia="Arial" w:hAnsi="Arial"/>
          <w:b/>
          <w:bCs/>
          <w:color w:val="1A6B3C"/>
          <w:sz w:val="28"/>
          <w:szCs w:val="28"/>
        </w:rPr>
        <w:t xml:space="preserve">6.1  FAOSTAT — Food and Agriculture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FAOSTAT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Food balance sheets (production, imports, exports, consumption per commodity per country); crop production area and yield; food price indices; undernourishment prevalence; agricultural land data</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The most comprehensive global food supply database. Essential for calculating import dependency ratios, caloric self-sufficiency, and production trends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All three staple dependency scores; production vs. consumption gap; caloric self-sufficiency ratio; undernourishment rate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Easy — bulk CSV/Excel downloads available at faostat.fao.org; REST API also available for programmatic access</w:t>
            </w:r>
          </w:p>
        </w:tc>
      </w:tr>
    </w:tbl>
    <w:p>
      <w:r>
        <w:t xml:space="preserve"> </w:t>
      </w:r>
    </w:p>
    <w:p>
      <w:pPr>
        <w:pStyle w:val="Heading2"/>
        <w:spacing w:after="120" w:before="280"/>
      </w:pPr>
      <w:r>
        <w:rPr>
          <w:rFonts w:ascii="Arial" w:cs="Arial" w:eastAsia="Arial" w:hAnsi="Arial"/>
          <w:b/>
          <w:bCs/>
          <w:color w:val="1A6B3C"/>
          <w:sz w:val="28"/>
          <w:szCs w:val="28"/>
        </w:rPr>
        <w:t xml:space="preserve">6.2  UN Comtrade — United Nations Trade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UN Comtrade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Detailed bilateral trade data by commodity (HS code), country, year — volume (kg) and value (USD)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Essential for identifying which countries supply which commodities to each country. Powers supplier concentration analysis and Sankey trade flow diagrams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Top 10 imports/exports; supplier concentration (HHI); trade flow Sankey diagrams; import partner dependency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Medium — requires API key; some rate limits; large data volumes need filtering by HS code</w:t>
            </w:r>
          </w:p>
        </w:tc>
      </w:tr>
    </w:tbl>
    <w:p>
      <w:r>
        <w:t xml:space="preserve"> </w:t>
      </w:r>
    </w:p>
    <w:p>
      <w:pPr>
        <w:pStyle w:val="Heading2"/>
        <w:spacing w:after="120" w:before="280"/>
      </w:pPr>
      <w:r>
        <w:rPr>
          <w:rFonts w:ascii="Arial" w:cs="Arial" w:eastAsia="Arial" w:hAnsi="Arial"/>
          <w:b/>
          <w:bCs/>
          <w:color w:val="1A6B3C"/>
          <w:sz w:val="28"/>
          <w:szCs w:val="28"/>
        </w:rPr>
        <w:t xml:space="preserve">6.3  World Bank — World Development Indicators (WDI)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World Bank WDI</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GDP, GDP per capita, population, food inflation (CPI food), poverty headcount, logistics performance index, agricultural value added, rural population share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Macroeconomic context for food vulnerability. Food inflation and household food expenditure share are key FDRS components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Food inflation component of FDRS; affordability scoring; GDP per capita for contextualizing risk; LPI for logistics risk score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Easy — well-documented REST API at api.worldbank.org; Python wrappers available (wbgapi)</w:t>
            </w:r>
          </w:p>
        </w:tc>
      </w:tr>
    </w:tbl>
    <w:p>
      <w:r>
        <w:t xml:space="preserve"> </w:t>
      </w:r>
    </w:p>
    <w:p>
      <w:pPr>
        <w:pStyle w:val="Heading2"/>
        <w:spacing w:after="120" w:before="280"/>
      </w:pPr>
      <w:r>
        <w:rPr>
          <w:rFonts w:ascii="Arial" w:cs="Arial" w:eastAsia="Arial" w:hAnsi="Arial"/>
          <w:b/>
          <w:bCs/>
          <w:color w:val="1A6B3C"/>
          <w:sz w:val="28"/>
          <w:szCs w:val="28"/>
        </w:rPr>
        <w:t xml:space="preserve">6.4  WFP HungerMap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WFP HungerMap LIVE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Near real-time food security monitoring: food consumption scores (FCS), reduced coping strategy index (rCSI), acute hunger prevalence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Provides current food security ground truth — important for calibrating FDRS against observed acute hunger</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Validation benchmark for FDRS; acute hunger overlay on world map; humanitarian priority scoring in Tab 7</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Medium — public API available but some endpoints require WFP partner credentials</w:t>
            </w:r>
          </w:p>
        </w:tc>
      </w:tr>
    </w:tbl>
    <w:p>
      <w:r>
        <w:t xml:space="preserve"> </w:t>
      </w:r>
    </w:p>
    <w:p>
      <w:pPr>
        <w:pStyle w:val="Heading2"/>
        <w:spacing w:after="120" w:before="280"/>
      </w:pPr>
      <w:r>
        <w:rPr>
          <w:rFonts w:ascii="Arial" w:cs="Arial" w:eastAsia="Arial" w:hAnsi="Arial"/>
          <w:b/>
          <w:bCs/>
          <w:color w:val="1A6B3C"/>
          <w:sz w:val="28"/>
          <w:szCs w:val="28"/>
        </w:rPr>
        <w:t xml:space="preserve">6.5  IPC — Integrated Food Security Phase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IPC</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Standardized food insecurity classifications (Phase 1–5) for crisis-affected countries, with population counts per phase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Gold-standard classification of acute food crises. Phase 4–5 countries are highest-priority for FoodShield AI</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Crisis overlay on world map; acute vs. structural risk differentiation; humanitarian priority in Tab 7</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Medium — data available via ipcinfo.org; Excel/CSV downloads; API in development</w:t>
            </w:r>
          </w:p>
        </w:tc>
      </w:tr>
    </w:tbl>
    <w:p>
      <w:r>
        <w:t xml:space="preserve"> </w:t>
      </w:r>
    </w:p>
    <w:p>
      <w:pPr>
        <w:pStyle w:val="Heading2"/>
        <w:spacing w:after="120" w:before="280"/>
      </w:pPr>
      <w:r>
        <w:rPr>
          <w:rFonts w:ascii="Arial" w:cs="Arial" w:eastAsia="Arial" w:hAnsi="Arial"/>
          <w:b/>
          <w:bCs/>
          <w:color w:val="1A6B3C"/>
          <w:sz w:val="28"/>
          <w:szCs w:val="28"/>
        </w:rPr>
        <w:t xml:space="preserve">6.6  ACLED — Armed Conflict Location &amp; Event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ACLED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Geolocated conflict events: battles, protests, violence against civilians — with dates, fatalities, actor information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Conflict is a leading cause of food system disruption. ACLED data powers the conflict/logistics risk component of FDRS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Conflict events count and intensity per country; conflict/logistics risk score; conflict overlay on world map</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Easy — REST API at acleddata.com; free API key for researchers; Python package available</w:t>
            </w:r>
          </w:p>
        </w:tc>
      </w:tr>
    </w:tbl>
    <w:p>
      <w:r>
        <w:t xml:space="preserve"> </w:t>
      </w:r>
    </w:p>
    <w:p>
      <w:pPr>
        <w:pStyle w:val="Heading2"/>
        <w:spacing w:after="120" w:before="280"/>
      </w:pPr>
      <w:r>
        <w:rPr>
          <w:rFonts w:ascii="Arial" w:cs="Arial" w:eastAsia="Arial" w:hAnsi="Arial"/>
          <w:b/>
          <w:bCs/>
          <w:color w:val="1A6B3C"/>
          <w:sz w:val="28"/>
          <w:szCs w:val="28"/>
        </w:rPr>
        <w:t xml:space="preserve">6.7  NOAA / NASA / Copernicus — Climate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Climate Sources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NOAA: precipitation and temperature anomalies. NASA POWER: agricultural weather data. Copernicus ERA5: reanalysis climate data. SPEI Global Drought Monitor: drought index</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Climate shocks are the fastest-moving FDRS risk factor. Drought years directly cut domestic production and drive import dependency spikes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Climate volatility component of FDRS; drought index map overlay; climate shock scenarios in Tab 6</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Medium to Difficult — large datasets; NASA POWER has a food-security-focused API; Copernicus requires CDSAPI setup</w:t>
            </w:r>
          </w:p>
        </w:tc>
      </w:tr>
    </w:tbl>
    <w:p>
      <w:r>
        <w:t xml:space="preserve"> </w:t>
      </w:r>
    </w:p>
    <w:p>
      <w:pPr>
        <w:pStyle w:val="Heading2"/>
        <w:spacing w:after="120" w:before="280"/>
      </w:pPr>
      <w:r>
        <w:rPr>
          <w:rFonts w:ascii="Arial" w:cs="Arial" w:eastAsia="Arial" w:hAnsi="Arial"/>
          <w:b/>
          <w:bCs/>
          <w:color w:val="1A6B3C"/>
          <w:sz w:val="28"/>
          <w:szCs w:val="28"/>
        </w:rPr>
        <w:t xml:space="preserve">6.8  IMF — International Monetary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IMF</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Exchange rate data; current account balances; inflation forecasts; commodity price outlooks (World Economic Outlook); Primary Commodity Prices database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Currency depreciation multiplies food import costs. IMF commodity price forecasts power the scenario simulator</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Currency vulnerability sub-score; food affordability pressure metric; scenario price inputs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Easy — IMF Data REST API at datahelp.imf.org; WEO bulk download available</w:t>
            </w:r>
          </w:p>
        </w:tc>
      </w:tr>
    </w:tbl>
    <w:p>
      <w:r>
        <w:t xml:space="preserve"> </w:t>
      </w:r>
    </w:p>
    <w:p>
      <w:pPr>
        <w:pStyle w:val="Heading2"/>
        <w:spacing w:after="120" w:before="280"/>
      </w:pPr>
      <w:r>
        <w:rPr>
          <w:rFonts w:ascii="Arial" w:cs="Arial" w:eastAsia="Arial" w:hAnsi="Arial"/>
          <w:b/>
          <w:bCs/>
          <w:color w:val="1A6B3C"/>
          <w:sz w:val="28"/>
          <w:szCs w:val="28"/>
        </w:rPr>
        <w:t xml:space="preserve">6.9  FAO Food Price Index (FFPI)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FAO Food Price Index</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What it provides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Monthly global food commodity price indices for cereals, oilseeds, dairy, meat, and sugar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Why it matters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Global commodity prices are the fastest transmission mechanism of food vulnerability. A wheat price spike translates directly into import cost shocks for import-dependent countries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Dashboard use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Global risk driver panel on Tab 1; scenario simulator price inputs; food inflation component of FDRS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Easy — monthly CSV/Excel available at fao.org/food-agriculture-statistics</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7. Metrics &amp; Formulas</w:t>
      </w:r>
    </w:p>
    <w:p>
      <w:pPr>
        <w:pStyle w:val="Heading2"/>
        <w:spacing w:after="120" w:before="280"/>
      </w:pPr>
      <w:r>
        <w:rPr>
          <w:rFonts w:ascii="Arial" w:cs="Arial" w:eastAsia="Arial" w:hAnsi="Arial"/>
          <w:b/>
          <w:bCs/>
          <w:color w:val="1A6B3C"/>
          <w:sz w:val="28"/>
          <w:szCs w:val="28"/>
        </w:rPr>
        <w:t xml:space="preserve">7.1  Import Dependency Ratio (IDR)</w:t>
      </w:r>
    </w:p>
    <w:p>
      <w:pPr>
        <w:spacing w:after="100" w:before="60"/>
      </w:pPr>
      <w:r>
        <w:rPr>
          <w:rFonts w:ascii="Arial" w:cs="Arial" w:eastAsia="Arial" w:hAnsi="Arial"/>
          <w:b w:val="false"/>
          <w:bCs w:val="false"/>
          <w:i w:val="false"/>
          <w:iCs w:val="false"/>
          <w:color w:val="0A1628"/>
          <w:sz w:val="22"/>
          <w:szCs w:val="22"/>
        </w:rPr>
        <w:t xml:space="preserve">Formula: IDR = Imports / (Domestic Production + Imports – Exports) × 100</w:t>
      </w:r>
    </w:p>
    <w:p>
      <w:pPr>
        <w:spacing w:after="100" w:before="60"/>
      </w:pPr>
      <w:r>
        <w:rPr>
          <w:rFonts w:ascii="Arial" w:cs="Arial" w:eastAsia="Arial" w:hAnsi="Arial"/>
          <w:b w:val="false"/>
          <w:bCs w:val="false"/>
          <w:i/>
          <w:iCs/>
          <w:color w:val="0A1628"/>
          <w:sz w:val="22"/>
          <w:szCs w:val="22"/>
        </w:rPr>
        <w:t xml:space="preserve">This is the share of domestic consumption that is met by imports. A ratio above 50% indicates that more than half of what a country eats is imported.</w:t>
      </w:r>
    </w:p>
    <w:p>
      <w:r>
        <w:t xml:space="preserve"> </w:t>
      </w:r>
    </w:p>
    <w:p>
      <w:pPr>
        <w:pStyle w:val="Heading2"/>
        <w:spacing w:after="120" w:before="280"/>
      </w:pPr>
      <w:r>
        <w:rPr>
          <w:rFonts w:ascii="Arial" w:cs="Arial" w:eastAsia="Arial" w:hAnsi="Arial"/>
          <w:b/>
          <w:bCs/>
          <w:color w:val="1A6B3C"/>
          <w:sz w:val="28"/>
          <w:szCs w:val="28"/>
        </w:rPr>
        <w:t xml:space="preserve">7.2  Supplier Concentration Index (HHI)</w:t>
      </w:r>
    </w:p>
    <w:p>
      <w:pPr>
        <w:spacing w:after="100" w:before="60"/>
      </w:pPr>
      <w:r>
        <w:rPr>
          <w:rFonts w:ascii="Arial" w:cs="Arial" w:eastAsia="Arial" w:hAnsi="Arial"/>
          <w:b w:val="false"/>
          <w:bCs w:val="false"/>
          <w:i w:val="false"/>
          <w:iCs w:val="false"/>
          <w:color w:val="0A1628"/>
          <w:sz w:val="22"/>
          <w:szCs w:val="22"/>
        </w:rPr>
        <w:t xml:space="preserve">Formula: HHI = Σ (share_i)² where share_i = % of a commodity imported from supplier i</w:t>
      </w:r>
    </w:p>
    <w:p>
      <w:pPr>
        <w:spacing w:after="100" w:before="60"/>
      </w:pPr>
      <w:r>
        <w:rPr>
          <w:rFonts w:ascii="Arial" w:cs="Arial" w:eastAsia="Arial" w:hAnsi="Arial"/>
          <w:b w:val="false"/>
          <w:bCs w:val="false"/>
          <w:i/>
          <w:iCs/>
          <w:color w:val="0A1628"/>
          <w:sz w:val="22"/>
          <w:szCs w:val="22"/>
        </w:rPr>
        <w:t xml:space="preserve">Ranges from 0 (fully diversified) to 10,000 (single supplier). HHI &gt; 2,500 indicates high concentration risk. Normalized to 0–100 for FDRS scoring.</w:t>
      </w:r>
    </w:p>
    <w:p>
      <w:r>
        <w:t xml:space="preserve"> </w:t>
      </w:r>
    </w:p>
    <w:p>
      <w:pPr>
        <w:pStyle w:val="Heading2"/>
        <w:spacing w:after="120" w:before="280"/>
      </w:pPr>
      <w:r>
        <w:rPr>
          <w:rFonts w:ascii="Arial" w:cs="Arial" w:eastAsia="Arial" w:hAnsi="Arial"/>
          <w:b/>
          <w:bCs/>
          <w:color w:val="1A6B3C"/>
          <w:sz w:val="28"/>
          <w:szCs w:val="28"/>
        </w:rPr>
        <w:t xml:space="preserve">7.3  Production Trend Score</w:t>
      </w:r>
    </w:p>
    <w:p>
      <w:pPr>
        <w:spacing w:after="100" w:before="60"/>
      </w:pPr>
      <w:r>
        <w:rPr>
          <w:rFonts w:ascii="Arial" w:cs="Arial" w:eastAsia="Arial" w:hAnsi="Arial"/>
          <w:b w:val="false"/>
          <w:bCs w:val="false"/>
          <w:i w:val="false"/>
          <w:iCs w:val="false"/>
          <w:color w:val="0A1628"/>
          <w:sz w:val="22"/>
          <w:szCs w:val="22"/>
        </w:rPr>
        <w:t xml:space="preserve">Formula: 5-year compound annual growth rate (CAGR) of domestic food production, inverted and normalized. Negative CAGR (production falling) = higher risk score.</w:t>
      </w:r>
    </w:p>
    <w:p>
      <w:pPr>
        <w:spacing w:after="100" w:before="60"/>
      </w:pPr>
      <w:r>
        <w:rPr>
          <w:rFonts w:ascii="Arial" w:cs="Arial" w:eastAsia="Arial" w:hAnsi="Arial"/>
          <w:b w:val="false"/>
          <w:bCs w:val="false"/>
          <w:i/>
          <w:iCs/>
          <w:color w:val="0A1628"/>
          <w:sz w:val="22"/>
          <w:szCs w:val="22"/>
        </w:rPr>
        <w:t xml:space="preserve">CAGR = (Production_t / Production_t-5)^(1/5) – 1</w:t>
      </w:r>
    </w:p>
    <w:p>
      <w:r>
        <w:t xml:space="preserve"> </w:t>
      </w:r>
    </w:p>
    <w:p>
      <w:pPr>
        <w:pStyle w:val="Heading2"/>
        <w:spacing w:after="120" w:before="280"/>
      </w:pPr>
      <w:r>
        <w:rPr>
          <w:rFonts w:ascii="Arial" w:cs="Arial" w:eastAsia="Arial" w:hAnsi="Arial"/>
          <w:b/>
          <w:bCs/>
          <w:color w:val="1A6B3C"/>
          <w:sz w:val="28"/>
          <w:szCs w:val="28"/>
        </w:rPr>
        <w:t xml:space="preserve">7.4  Food Affordability Pressure Index</w:t>
      </w:r>
    </w:p>
    <w:p>
      <w:pPr>
        <w:spacing w:after="100" w:before="60"/>
      </w:pPr>
      <w:r>
        <w:rPr>
          <w:rFonts w:ascii="Arial" w:cs="Arial" w:eastAsia="Arial" w:hAnsi="Arial"/>
          <w:b w:val="false"/>
          <w:bCs w:val="false"/>
          <w:i w:val="false"/>
          <w:iCs w:val="false"/>
          <w:color w:val="0A1628"/>
          <w:sz w:val="22"/>
          <w:szCs w:val="22"/>
        </w:rPr>
        <w:t xml:space="preserve">Formula: Composite of (a) food CPI annual change %, (b) food expenditure as % of household income, and (c) IMF poverty-adjusted food inflation. Normalized to 0–100.</w:t>
      </w:r>
    </w:p>
    <w:p>
      <w:r>
        <w:t xml:space="preserve"> </w:t>
      </w:r>
    </w:p>
    <w:p>
      <w:pPr>
        <w:pStyle w:val="Heading2"/>
        <w:spacing w:after="120" w:before="280"/>
      </w:pPr>
      <w:r>
        <w:rPr>
          <w:rFonts w:ascii="Arial" w:cs="Arial" w:eastAsia="Arial" w:hAnsi="Arial"/>
          <w:b/>
          <w:bCs/>
          <w:color w:val="1A6B3C"/>
          <w:sz w:val="28"/>
          <w:szCs w:val="28"/>
        </w:rPr>
        <w:t xml:space="preserve">7.5  Climate Volatility Index</w:t>
      </w:r>
    </w:p>
    <w:p>
      <w:pPr>
        <w:spacing w:after="100" w:before="60"/>
      </w:pPr>
      <w:r>
        <w:rPr>
          <w:rFonts w:ascii="Arial" w:cs="Arial" w:eastAsia="Arial" w:hAnsi="Arial"/>
          <w:b w:val="false"/>
          <w:bCs w:val="false"/>
          <w:i w:val="false"/>
          <w:iCs w:val="false"/>
          <w:color w:val="0A1628"/>
          <w:sz w:val="22"/>
          <w:szCs w:val="22"/>
        </w:rPr>
        <w:t xml:space="preserve">Formula: 10-year standard deviation of SPEI drought index + frequency of extreme weather events (droughts + floods) per decade. Normalized to 0–100.</w:t>
      </w:r>
    </w:p>
    <w:p>
      <w:r>
        <w:t xml:space="preserve"> </w:t>
      </w:r>
    </w:p>
    <w:p>
      <w:pPr>
        <w:pStyle w:val="Heading2"/>
        <w:spacing w:after="120" w:before="280"/>
      </w:pPr>
      <w:r>
        <w:rPr>
          <w:rFonts w:ascii="Arial" w:cs="Arial" w:eastAsia="Arial" w:hAnsi="Arial"/>
          <w:b/>
          <w:bCs/>
          <w:color w:val="1A6B3C"/>
          <w:sz w:val="28"/>
          <w:szCs w:val="28"/>
        </w:rPr>
        <w:t xml:space="preserve">7.6  Conflict &amp; Logistics Risk Score</w:t>
      </w:r>
    </w:p>
    <w:p>
      <w:pPr>
        <w:spacing w:after="100" w:before="60"/>
      </w:pPr>
      <w:r>
        <w:rPr>
          <w:rFonts w:ascii="Arial" w:cs="Arial" w:eastAsia="Arial" w:hAnsi="Arial"/>
          <w:b w:val="false"/>
          <w:bCs w:val="false"/>
          <w:i w:val="false"/>
          <w:iCs w:val="false"/>
          <w:color w:val="0A1628"/>
          <w:sz w:val="22"/>
          <w:szCs w:val="22"/>
        </w:rPr>
        <w:t xml:space="preserve">Formula: Composite of (a) ACLED conflict event intensity score (events × severity weight), (b) World Bank Logistics Performance Index (inverted — lower LPI = higher risk), and (c) political stability index (World Governance Indicators). Normalized to 0–100.</w:t>
      </w:r>
    </w:p>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8. Risk Score Calculation — FDRS</w:t>
      </w:r>
    </w:p>
    <w:p>
      <w:pPr>
        <w:pStyle w:val="Heading2"/>
        <w:spacing w:after="120" w:before="280"/>
      </w:pPr>
      <w:r>
        <w:rPr>
          <w:rFonts w:ascii="Arial" w:cs="Arial" w:eastAsia="Arial" w:hAnsi="Arial"/>
          <w:b/>
          <w:bCs/>
          <w:color w:val="1A6B3C"/>
          <w:sz w:val="28"/>
          <w:szCs w:val="28"/>
        </w:rPr>
        <w:t xml:space="preserve">8.1  Formula</w:t>
      </w:r>
    </w:p>
    <w:p>
      <w:pPr>
        <w:spacing w:after="100" w:before="60"/>
      </w:pPr>
      <w:r>
        <w:rPr>
          <w:rFonts w:ascii="Arial" w:cs="Arial" w:eastAsia="Arial" w:hAnsi="Arial"/>
          <w:b w:val="false"/>
          <w:bCs w:val="false"/>
          <w:i w:val="false"/>
          <w:iCs w:val="false"/>
          <w:color w:val="0A1628"/>
          <w:sz w:val="22"/>
          <w:szCs w:val="22"/>
        </w:rPr>
        <w:t xml:space="preserve">FDRS = (IDR_score × 0.30) + (HHI_score × 0.20) + (Production_score × 0.15) + (Inflation_score × 0.15) + (Climate_score × 0.10) + (Conflict_score × 0.10)</w:t>
      </w:r>
    </w:p>
    <w:p>
      <w:r>
        <w:t xml:space="preserve"> </w:t>
      </w:r>
    </w:p>
    <w:p>
      <w:pPr>
        <w:pStyle w:val="Heading2"/>
        <w:spacing w:after="120" w:before="280"/>
      </w:pPr>
      <w:r>
        <w:rPr>
          <w:rFonts w:ascii="Arial" w:cs="Arial" w:eastAsia="Arial" w:hAnsi="Arial"/>
          <w:b/>
          <w:bCs/>
          <w:color w:val="1A6B3C"/>
          <w:sz w:val="28"/>
          <w:szCs w:val="28"/>
        </w:rPr>
        <w:t xml:space="preserve">8.2  Category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Score Categories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0 – 25</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Resilient — Low import dependency, diversified suppliers, stable production, low inflation exposure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26 – 50</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Exposed — Moderate import reliance, some supplier concentration, manageable inflation and climate risk</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51 – 75</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Dependent — High import dependency, notable supplier concentration, production not keeping pace with demand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76 – 100</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Structurally Vulnerable — Extreme import reliance, single supplier dominance, collapsing production, acute inflation, conflict or climate shocks layered on top</w:t>
            </w:r>
          </w:p>
        </w:tc>
      </w:tr>
    </w:tbl>
    <w:p>
      <w:r>
        <w:t xml:space="preserve"> </w:t>
      </w:r>
    </w:p>
    <w:p>
      <w:pPr>
        <w:pStyle w:val="Heading2"/>
        <w:spacing w:after="120" w:before="280"/>
      </w:pPr>
      <w:r>
        <w:rPr>
          <w:rFonts w:ascii="Arial" w:cs="Arial" w:eastAsia="Arial" w:hAnsi="Arial"/>
          <w:b/>
          <w:bCs/>
          <w:color w:val="1A6B3C"/>
          <w:sz w:val="28"/>
          <w:szCs w:val="28"/>
        </w:rPr>
        <w:t xml:space="preserve">8.3  2x2 Dependency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Matrix Quadrants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Q1: Low import dep + High resilience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Self-sufficient &amp; stable — Countries producing enough food domestically with diversified systems. Examples: Brazil, USA, India (partial)</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Q2: High import dep + High resilience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Wealthy importer — Import-dependent but with economic resilience to absorb shocks. Examples: Netherlands, UAE, Japan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Q3: Low import dep + Low resilience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Locally fragile — Mainly self-supplied but with fragile domestic systems (climate, conflict, poor yields). Examples: DRC, Chad (pre-crisis)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Q4: High import dep + Low resilience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Critical dependency risk — The most dangerous quadrant. Highly import-dependent with no buffer. Examples: Sudan, Yemen, Somalia</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9. Visual Design</w:t>
      </w:r>
    </w:p>
    <w:p>
      <w:pPr>
        <w:pStyle w:val="Heading2"/>
        <w:spacing w:after="120" w:before="280"/>
      </w:pPr>
      <w:r>
        <w:rPr>
          <w:rFonts w:ascii="Arial" w:cs="Arial" w:eastAsia="Arial" w:hAnsi="Arial"/>
          <w:b/>
          <w:bCs/>
          <w:color w:val="1A6B3C"/>
          <w:sz w:val="28"/>
          <w:szCs w:val="28"/>
        </w:rPr>
        <w:t xml:space="preserve">9.1  Design Philosophy</w:t>
      </w:r>
    </w:p>
    <w:p>
      <w:pPr>
        <w:spacing w:after="100" w:before="60"/>
      </w:pPr>
      <w:r>
        <w:rPr>
          <w:rFonts w:ascii="Arial" w:cs="Arial" w:eastAsia="Arial" w:hAnsi="Arial"/>
          <w:b w:val="false"/>
          <w:bCs w:val="false"/>
          <w:i w:val="false"/>
          <w:iCs w:val="false"/>
          <w:color w:val="0A1628"/>
          <w:sz w:val="22"/>
          <w:szCs w:val="22"/>
        </w:rPr>
        <w:t xml:space="preserve">FoodShield AI uses a dark-mode-first design that signals credibility, data density, and urgency — the same visual language as Bloomberg terminals, climate risk platforms, and intelligence dashboards. The design must be clean enough for a minister's presentation, detailed enough for a researcher's workflow, and compelling enough for a LinkedIn post.</w:t>
      </w:r>
    </w:p>
    <w:p>
      <w:r>
        <w:t xml:space="preserve"> </w:t>
      </w:r>
    </w:p>
    <w:p>
      <w:pPr>
        <w:pStyle w:val="Heading2"/>
        <w:spacing w:after="120" w:before="280"/>
      </w:pPr>
      <w:r>
        <w:rPr>
          <w:rFonts w:ascii="Arial" w:cs="Arial" w:eastAsia="Arial" w:hAnsi="Arial"/>
          <w:b/>
          <w:bCs/>
          <w:color w:val="1A6B3C"/>
          <w:sz w:val="28"/>
          <w:szCs w:val="28"/>
        </w:rPr>
        <w:t xml:space="preserve">9.2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Color Palette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Background (primary)</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#0A1628 — Deep navy — main canvas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Background (card)</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#111F38 — Slightly lighter navy for cards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Background (panel)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#1A2B45 — Sidebar and panel backgrounds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Accent (primary)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#2D9CDB — Sky blue — interactive elements, links, highlights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Accent (secondary)</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#1A6B3C — Deep green — positive/resilient indicators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Risk: Resilient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#27AE60 — Green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Risk: Exposed</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#F2C94C — Amber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Risk: Dependent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#F2994A — Orange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Risk: Structurally Vulnerable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#EB5757 — Red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Risk: Severe Systemic</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#7B1818 — Dark red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Text (primary)</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#F7F9FC — Near white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Text (secondary)</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#8DA2B5 — Muted blue-grey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Border</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#253550 — Subtle dark border</w:t>
            </w:r>
          </w:p>
        </w:tc>
      </w:tr>
    </w:tbl>
    <w:p>
      <w:r>
        <w:t xml:space="preserve"> </w:t>
      </w:r>
    </w:p>
    <w:p>
      <w:pPr>
        <w:pStyle w:val="Heading2"/>
        <w:spacing w:after="120" w:before="280"/>
      </w:pPr>
      <w:r>
        <w:rPr>
          <w:rFonts w:ascii="Arial" w:cs="Arial" w:eastAsia="Arial" w:hAnsi="Arial"/>
          <w:b/>
          <w:bCs/>
          <w:color w:val="1A6B3C"/>
          <w:sz w:val="28"/>
          <w:szCs w:val="28"/>
        </w:rPr>
        <w:t xml:space="preserve">9.3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Typography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Primary font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Inter (Google Fonts) — clean, modern, highly legible at small sizes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Monospace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JetBrains Mono — for data values, scores, and metric displays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Display/heading</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Inter 700 (bold) at 24–48px</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Body text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Inter 400 at 14–16px</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Data labels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JetBrains Mono 500 at 12–14px</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Minimum size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12px — never smaller for any visible label</w:t>
            </w:r>
          </w:p>
        </w:tc>
      </w:tr>
    </w:tbl>
    <w:p>
      <w:r>
        <w:t xml:space="preserve"> </w:t>
      </w:r>
    </w:p>
    <w:p>
      <w:pPr>
        <w:pStyle w:val="Heading2"/>
        <w:spacing w:after="120" w:before="280"/>
      </w:pPr>
      <w:r>
        <w:rPr>
          <w:rFonts w:ascii="Arial" w:cs="Arial" w:eastAsia="Arial" w:hAnsi="Arial"/>
          <w:b/>
          <w:bCs/>
          <w:color w:val="1A6B3C"/>
          <w:sz w:val="28"/>
          <w:szCs w:val="28"/>
        </w:rPr>
        <w:t xml:space="preserve">9.4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Key Visual Components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Interactive world map</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MapboxGL JS or Leaflet with GeoJSON country boundaries. Fill color = FDRS risk tier. Hover tooltip with score. Click opens side panel.</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Risk score card</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Large number (monospace), color-coded badge, component breakdown as 6 mini bars, trend arrow</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Radar chart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6-axis radar (one per FDRS component), dual-render for country comparison. Library: Recharts or ApexCharts.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Sankey diagram</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Trade flow Sankey: left nodes = supplier countries, right node = selected country. D3-Sankey or react-flow-chart.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2x2 scatter matrix</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D3.js scatter plot with quadrant overlays. Dot size = population. Hover shows country name.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Line/area charts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Recharts AreaChart for trend views. Dual y-axis support for production vs consumption.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Ranking table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Sortable table with inline color bars representing scores. Virtualized for 200+ countries.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Scenario impact table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Before/after score columns with delta arrows, colored by severity of change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AI summary card</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Text card with flag icon, italic font for AI-generated text, bordered with accent color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Filter bar</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Sticky top filter bar: dropdowns for Commodity / Risk Type / Region / Timeframe</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10. User Journey</w:t>
      </w:r>
    </w:p>
    <w:p>
      <w:pPr>
        <w:pStyle w:val="Heading2"/>
        <w:spacing w:after="120" w:before="280"/>
      </w:pPr>
      <w:r>
        <w:rPr>
          <w:rFonts w:ascii="Arial" w:cs="Arial" w:eastAsia="Arial" w:hAnsi="Arial"/>
          <w:b/>
          <w:bCs/>
          <w:color w:val="1A6B3C"/>
          <w:sz w:val="28"/>
          <w:szCs w:val="28"/>
        </w:rPr>
        <w:t xml:space="preserve">10.1  First-Time User (Policy Analyst)</w:t>
      </w:r>
    </w:p>
    <w:p>
      <w:pPr>
        <w:spacing w:after="100" w:before="60"/>
      </w:pPr>
      <w:r>
        <w:rPr>
          <w:rFonts w:ascii="Arial" w:cs="Arial" w:eastAsia="Arial" w:hAnsi="Arial"/>
          <w:b w:val="false"/>
          <w:bCs w:val="false"/>
          <w:i w:val="false"/>
          <w:iCs w:val="false"/>
          <w:color w:val="0A1628"/>
          <w:sz w:val="22"/>
          <w:szCs w:val="22"/>
        </w:rPr>
        <w:t xml:space="preserve">1. Lands on the dashboard. Sees the world map, immediately colored by risk. The darkest red countries jump out — Sudan, Yemen, Somalia.</w:t>
      </w:r>
    </w:p>
    <w:p>
      <w:pPr>
        <w:spacing w:after="100" w:before="60"/>
      </w:pPr>
      <w:r>
        <w:rPr>
          <w:rFonts w:ascii="Arial" w:cs="Arial" w:eastAsia="Arial" w:hAnsi="Arial"/>
          <w:b w:val="false"/>
          <w:bCs w:val="false"/>
          <w:i w:val="false"/>
          <w:iCs w:val="false"/>
          <w:color w:val="0A1628"/>
          <w:sz w:val="22"/>
          <w:szCs w:val="22"/>
        </w:rPr>
        <w:t xml:space="preserve">2. Hovers over Egypt. Sees the score: 74/100 (Dependent). Clicks.</w:t>
      </w:r>
    </w:p>
    <w:p>
      <w:pPr>
        <w:spacing w:after="100" w:before="60"/>
      </w:pPr>
      <w:r>
        <w:rPr>
          <w:rFonts w:ascii="Arial" w:cs="Arial" w:eastAsia="Arial" w:hAnsi="Arial"/>
          <w:b w:val="false"/>
          <w:bCs w:val="false"/>
          <w:i w:val="false"/>
          <w:iCs w:val="false"/>
          <w:color w:val="0A1628"/>
          <w:sz w:val="22"/>
          <w:szCs w:val="22"/>
        </w:rPr>
        <w:t xml:space="preserve">3. Side panel opens. Reads: wheat import dependency 85%, top supplier Russia (43%), food inflation 32%, 2030 outlook: deteriorating.</w:t>
      </w:r>
    </w:p>
    <w:p>
      <w:pPr>
        <w:spacing w:after="100" w:before="60"/>
      </w:pPr>
      <w:r>
        <w:rPr>
          <w:rFonts w:ascii="Arial" w:cs="Arial" w:eastAsia="Arial" w:hAnsi="Arial"/>
          <w:b w:val="false"/>
          <w:bCs w:val="false"/>
          <w:i w:val="false"/>
          <w:iCs w:val="false"/>
          <w:color w:val="0A1628"/>
          <w:sz w:val="22"/>
          <w:szCs w:val="22"/>
        </w:rPr>
        <w:t xml:space="preserve">4. Clicks 'Deep Dive' to go to Tab 2. Sees the full country profile with all charts.</w:t>
      </w:r>
    </w:p>
    <w:p>
      <w:pPr>
        <w:spacing w:after="100" w:before="60"/>
      </w:pPr>
      <w:r>
        <w:rPr>
          <w:rFonts w:ascii="Arial" w:cs="Arial" w:eastAsia="Arial" w:hAnsi="Arial"/>
          <w:b w:val="false"/>
          <w:bCs w:val="false"/>
          <w:i w:val="false"/>
          <w:iCs w:val="false"/>
          <w:color w:val="0A1628"/>
          <w:sz w:val="22"/>
          <w:szCs w:val="22"/>
        </w:rPr>
        <w:t xml:space="preserve">5. Goes to Tab 5 (Forecast). Selects 10-year trend. Reads AI text: 'If current trends continue, Egypt's wheat import dependency may rise from 85% to 91% by 2030, driven by population growth outpacing domestic production.'</w:t>
      </w:r>
    </w:p>
    <w:p>
      <w:pPr>
        <w:spacing w:after="100" w:before="60"/>
      </w:pPr>
      <w:r>
        <w:rPr>
          <w:rFonts w:ascii="Arial" w:cs="Arial" w:eastAsia="Arial" w:hAnsi="Arial"/>
          <w:b w:val="false"/>
          <w:bCs w:val="false"/>
          <w:i w:val="false"/>
          <w:iCs w:val="false"/>
          <w:color w:val="0A1628"/>
          <w:sz w:val="22"/>
          <w:szCs w:val="22"/>
        </w:rPr>
        <w:t xml:space="preserve">6. Goes to Tab 7 (Action). Selects 'Government' audience. Reads: 'Priority: Build strategic wheat reserve equivalent to 6 months of consumption. Diversify suppliers to include Australia and Canada.'</w:t>
      </w:r>
    </w:p>
    <w:p>
      <w:r>
        <w:t xml:space="preserve"> </w:t>
      </w:r>
    </w:p>
    <w:p>
      <w:pPr>
        <w:pStyle w:val="Heading2"/>
        <w:spacing w:after="120" w:before="280"/>
      </w:pPr>
      <w:r>
        <w:rPr>
          <w:rFonts w:ascii="Arial" w:cs="Arial" w:eastAsia="Arial" w:hAnsi="Arial"/>
          <w:b/>
          <w:bCs/>
          <w:color w:val="1A6B3C"/>
          <w:sz w:val="28"/>
          <w:szCs w:val="28"/>
        </w:rPr>
        <w:t xml:space="preserve">10.2  Returning User (Commodity Trader)</w:t>
      </w:r>
    </w:p>
    <w:p>
      <w:pPr>
        <w:spacing w:after="100" w:before="60"/>
      </w:pPr>
      <w:r>
        <w:rPr>
          <w:rFonts w:ascii="Arial" w:cs="Arial" w:eastAsia="Arial" w:hAnsi="Arial"/>
          <w:b w:val="false"/>
          <w:bCs w:val="false"/>
          <w:i w:val="false"/>
          <w:iCs w:val="false"/>
          <w:color w:val="0A1628"/>
          <w:sz w:val="22"/>
          <w:szCs w:val="22"/>
        </w:rPr>
        <w:t xml:space="preserve">1. Opens dashboard to Tab 6 (Scenario Simulator). Selects scenario: 'Wheat prices rise by 20%'.</w:t>
      </w:r>
    </w:p>
    <w:p>
      <w:pPr>
        <w:spacing w:after="100" w:before="60"/>
      </w:pPr>
      <w:r>
        <w:rPr>
          <w:rFonts w:ascii="Arial" w:cs="Arial" w:eastAsia="Arial" w:hAnsi="Arial"/>
          <w:b w:val="false"/>
          <w:bCs w:val="false"/>
          <w:i w:val="false"/>
          <w:iCs w:val="false"/>
          <w:color w:val="0A1628"/>
          <w:sz w:val="22"/>
          <w:szCs w:val="22"/>
        </w:rPr>
        <w:t xml:space="preserve">2. Map immediately recolors — highest-impact countries highlighted. Clicks the impact table. Sorts by score change.</w:t>
      </w:r>
    </w:p>
    <w:p>
      <w:pPr>
        <w:spacing w:after="100" w:before="60"/>
      </w:pPr>
      <w:r>
        <w:rPr>
          <w:rFonts w:ascii="Arial" w:cs="Arial" w:eastAsia="Arial" w:hAnsi="Arial"/>
          <w:b w:val="false"/>
          <w:bCs w:val="false"/>
          <w:i w:val="false"/>
          <w:iCs w:val="false"/>
          <w:color w:val="0A1628"/>
          <w:sz w:val="22"/>
          <w:szCs w:val="22"/>
        </w:rPr>
        <w:t xml:space="preserve">3. Sees Egypt, Indonesia, Pakistan, and Bangladesh in the top 5 most affected.</w:t>
      </w:r>
    </w:p>
    <w:p>
      <w:pPr>
        <w:spacing w:after="100" w:before="60"/>
      </w:pPr>
      <w:r>
        <w:rPr>
          <w:rFonts w:ascii="Arial" w:cs="Arial" w:eastAsia="Arial" w:hAnsi="Arial"/>
          <w:b w:val="false"/>
          <w:bCs w:val="false"/>
          <w:i w:val="false"/>
          <w:iCs w:val="false"/>
          <w:color w:val="0A1628"/>
          <w:sz w:val="22"/>
          <w:szCs w:val="22"/>
        </w:rPr>
        <w:t xml:space="preserve">4. Navigates to Tab 3 (Trade Flows) for Egypt. Sees Sankey diagram. Russia supplies 43% of Egypt's wheat imports.</w:t>
      </w:r>
    </w:p>
    <w:p>
      <w:pPr>
        <w:spacing w:after="100" w:before="60"/>
      </w:pPr>
      <w:r>
        <w:rPr>
          <w:rFonts w:ascii="Arial" w:cs="Arial" w:eastAsia="Arial" w:hAnsi="Arial"/>
          <w:b w:val="false"/>
          <w:bCs w:val="false"/>
          <w:i w:val="false"/>
          <w:iCs w:val="false"/>
          <w:color w:val="0A1628"/>
          <w:sz w:val="22"/>
          <w:szCs w:val="22"/>
        </w:rPr>
        <w:t xml:space="preserve">5. Downloads the country data. Uses it for sourcing risk assessment in a portfolio brief.</w:t>
      </w:r>
    </w:p>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11. MVP Version (Version 1)</w:t>
      </w:r>
    </w:p>
    <w:p>
      <w:pPr>
        <w:spacing w:after="100" w:before="60"/>
      </w:pPr>
      <w:r>
        <w:rPr>
          <w:rFonts w:ascii="Arial" w:cs="Arial" w:eastAsia="Arial" w:hAnsi="Arial"/>
          <w:b w:val="false"/>
          <w:bCs w:val="false"/>
          <w:i w:val="false"/>
          <w:iCs w:val="false"/>
          <w:color w:val="0A1628"/>
          <w:sz w:val="22"/>
          <w:szCs w:val="22"/>
        </w:rPr>
        <w:t xml:space="preserve">The MVP is a functional prototype built with static or semi-static data. It demonstrates the full concept and is presentable to stakeholders without a live data pipeline.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MVP Scope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Data</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Mock/curated data for 30–50 countries. Manual data entry from FAOSTAT and World Bank for key fields. CSV imported into the app.</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Map</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Interactive world map (Leaflet or MapboxGL) colored by FDRS. Click to open side panel. Filter by region only.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Tabs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Tab 1 (Global Overview) and Tab 2 (Country Deep Dive) fully functional. Tabs 3–7 as placeholder pages.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FDRS calculated from 6 components with hardcoded weights. Displayed as number + badge + radar chart.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AI text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Pre-written AI summaries for all 30–50 countries stored as static text in the database. No live LLM calls.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Design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Full dark-mode design system implemented. All components styled. Mobile-responsive.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Forecast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Simple linear projection displayed as a text statement: 'If trends continue, score may reach X by 2030.'</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Tech stack</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React + Next.js + Tailwind CSS + shadcn/ui + Recharts + Leaflet/MapboxGL. Data in JSON or Supabase.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Timeline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4–6 weeks for a solo developer. 2–3 weeks with a small team.</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12. Advanced Version (Versions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Version Progression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V2: Real data</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Automated ETL pipeline fetching from FAOSTAT, World Bank API, UN Comtrade, ACLED. Database: PostgreSQL on Supabase or PlanetScale. All 195 countries. Scheduled data refresh (weekly/monthly).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V3: Forecasting</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Statistical forecasting module: linear regression, ARIMA, and moving average models per country per metric. 2030 projections computed dynamically. Scenario simulator built with pre-computed sensitivity matrices.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V4: AI engine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OpenAI or Claude API integration for dynamic country summaries. Structured prompt with all country data as context. Summaries regenerated when data updates. Audience-specific prompt variants (government vs investor vs NGO).</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V5: Publishable product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Custom domain. SEO-optimized landing page. Embeddable country widgets. API access tier. Export to PDF/PNG. User accounts (saved country watchlists). LinkedIn sharing cards auto-generated per country.</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13. How to Make It Publishable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Publication Checklist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Custom domain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foodshield.ai or foodshieldai.com — registers the brand and signals seriousness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Landing page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Hero section explaining the mission. Key stats (195 countries tracked, 6-component score, 7 dashboard tabs). CTA: 'Explore the Map'.</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Methodology page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Transparent documentation of FDRS formula, data sources, limitations, and update frequency. This is essential for credibility with researchers and institutions.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Data citations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Every visualization cites its source in the footer. FAOSTAT, World Bank, UN Comtrade clearly credited.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Caveats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Explicit note that FDRS is a risk indicator, not a definitive measure of food security. Encourages use alongside IPC and WFP data.</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Embed widget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Provide a &lt;500px iframe embed of the world map that other sites can embed — this drives organic traffic.</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API access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 simple REST API returning FDRS scores by country (free tier: 100 calls/day) creates B2B and research use cases.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PDF export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One-click PDF export of any country's full profile. Adds enormous value for policy briefs and investment memos.</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14. How to Present on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LinkedIn Content Strategy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Launch post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Screenshot of the world map (dramatic colors). Hook: 'I built a Bloomberg Terminal for global food vulnerability. Here's what the map looks like.' Show Egypt, Sudan, Netherlands side by side.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Country spotlight series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Weekly post: 'Country Deep Dive: [Country X]'. Share the AI-generated risk summary + radar chart + one key insight. Use a carousel format.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Scenario post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'What if wheat prices rise 20% tomorrow? Here are the 10 countries most exposed.' Use the Scenario Simulator output as the visual.</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Methodology post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Explain the FDRS formula and why you weighted import dependency at 30%. Positions you as a thoughtful analyst.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Data source post</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'6 public datasets I combined to build FoodShield AI.' Tags FAOSTAT, World Bank, ACLED — attracts institutional attention.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Collaboration CTA</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Invite WFP, FAO, or World Bank data teams to collaborate. Tag them. Even a like or reshare from these accounts is massive reach.</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Target hashtags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#FoodSecurity #DataVisualization #AgriFood #GlobalRisk #FoodShieldAI #OpenData #PolicyIntelligence</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15. Potential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Revenue Streams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Free tier</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Full access to world map + Tab 1 + Tab 2 for any country. No account required. Drives traffic and credibility.</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 tier ($49/mo)</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All 7 tabs, scenario simulator, PDF export, API access (1,000 calls/day), saved watchlists, email alerts on country score changes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Enterprise ($499/mo)</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White-label, custom commodity scope, priority data refresh, private API, team accounts, custom scenario parameters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Data licensing</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License the FDRS dataset (CSV/JSON) to hedge funds, research firms, and insurance companies as a standalone product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Consulting</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Custom country risk reports for governments or agribusiness companies. Use FoodShield AI as the analytical backbone.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Grant funding</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Apply for EU, USAID, or Gates Foundation grants for food systems data infrastructure. The public-good framing is strong.</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Institutional sale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License the full platform to a UN agency, World Bank, or a major agribusiness (ADM, Cargill, Bunge) as a private intelligence tool</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16. What Makes FoodShield AI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Differentiation from Existing Tools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vs. WFP HungerMap</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HungerMap shows current acute hunger. FoodShield AI shows structural dependency and future risk — the '2030 outlook' layer that HungerMap does not have.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vs. FAOSTAT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FAOSTAT is a raw data portal. FoodShield AI is a decision-intelligence product built on top of that data — scored, visualized, and interpreted.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vs. Our World in Data</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OWID shows historical food trends beautifully but has no risk scoring, scenario simulation, or actionable recommendations.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vs. IPC</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IPC classifies acute crisis zones. FoodShield AI quantifies structural vulnerability before a crisis emerges — the pre-IPC warning layer.</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vs. Bloomberg/Refinitiv</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Those tools show commodity prices but not country-level food system fragility. FoodShield AI connects price risk to country-level structural exposure.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Unique combination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No existing public tool combines: composite risk scoring + interactive map + country deep-dive + trade flows + scenario simulation + AI explanations + 2030 forecasting in one product.</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17. Example Mock Data — 5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2760"/>
        <w:gridCol w:w="1800"/>
      </w:tblGrid>
      <w:tr>
        <w:tc>
          <w:tcPr>
            <w:tcW w:type="dxa" w:w="2000"/>
            <w:tcBorders>
              <w:top w:val="single" w:color="1A6B3C" w:sz="1"/>
              <w:left w:val="single" w:color="1A6B3C" w:sz="1"/>
              <w:bottom w:val="single" w:color="1A6B3C" w:sz="1"/>
              <w:right w:val="single" w:color="1A6B3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Country</w:t>
            </w:r>
          </w:p>
        </w:tc>
        <w:tc>
          <w:tcPr>
            <w:tcW w:type="dxa" w:w="1200"/>
            <w:tcBorders>
              <w:top w:val="single" w:color="1A6B3C" w:sz="1"/>
              <w:left w:val="single" w:color="1A6B3C" w:sz="1"/>
              <w:bottom w:val="single" w:color="1A6B3C" w:sz="1"/>
              <w:right w:val="single" w:color="1A6B3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Score</w:t>
            </w:r>
          </w:p>
        </w:tc>
        <w:tc>
          <w:tcPr>
            <w:tcW w:type="dxa" w:w="1600"/>
            <w:tcBorders>
              <w:top w:val="single" w:color="1A6B3C" w:sz="1"/>
              <w:left w:val="single" w:color="1A6B3C" w:sz="1"/>
              <w:bottom w:val="single" w:color="1A6B3C" w:sz="1"/>
              <w:right w:val="single" w:color="1A6B3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Category</w:t>
            </w:r>
          </w:p>
        </w:tc>
        <w:tc>
          <w:tcPr>
            <w:tcW w:type="dxa" w:w="2760"/>
            <w:tcBorders>
              <w:top w:val="single" w:color="1A6B3C" w:sz="1"/>
              <w:left w:val="single" w:color="1A6B3C" w:sz="1"/>
              <w:bottom w:val="single" w:color="1A6B3C" w:sz="1"/>
              <w:right w:val="single" w:color="1A6B3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Main Risk</w:t>
            </w:r>
          </w:p>
        </w:tc>
        <w:tc>
          <w:tcPr>
            <w:tcW w:type="dxa" w:w="1800"/>
            <w:tcBorders>
              <w:top w:val="single" w:color="1A6B3C" w:sz="1"/>
              <w:left w:val="single" w:color="1A6B3C" w:sz="1"/>
              <w:bottom w:val="single" w:color="1A6B3C" w:sz="1"/>
              <w:right w:val="single" w:color="1A6B3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2030 Outlook</w:t>
            </w:r>
          </w:p>
        </w:tc>
      </w:tr>
      <w:tr>
        <w:tc>
          <w:tcPr>
            <w:tcW w:type="dxa" w:w="20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Egypt</w:t>
            </w:r>
          </w:p>
        </w:tc>
        <w:tc>
          <w:tcPr>
            <w:tcW w:type="dxa" w:w="1200"/>
            <w:tcBorders>
              <w:top w:val="single" w:color="B0BEC5" w:sz="1"/>
              <w:left w:val="single" w:color="B0BEC5" w:sz="1"/>
              <w:bottom w:val="single" w:color="B0BEC5" w:sz="1"/>
              <w:right w:val="single" w:color="B0BEC5" w:sz="1"/>
            </w:tcBorders>
            <w:shd w:fill="F299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74</w:t>
            </w:r>
          </w:p>
        </w:tc>
        <w:tc>
          <w:tcPr>
            <w:tcW w:type="dxa" w:w="16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Dependent</w:t>
            </w:r>
          </w:p>
        </w:tc>
        <w:tc>
          <w:tcPr>
            <w:tcW w:type="dxa" w:w="276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Wheat import dependency (85%+), subsidized bread system, FX pressure</w:t>
            </w:r>
          </w:p>
        </w:tc>
        <w:tc>
          <w:tcPr>
            <w:tcW w:type="dxa" w:w="18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Rising toward Structurally Vulnerable by 2028 if wheat prices stay elevated</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Netherlands</w:t>
            </w:r>
          </w:p>
        </w:tc>
        <w:tc>
          <w:tcPr>
            <w:tcW w:type="dxa" w:w="1200"/>
            <w:tcBorders>
              <w:top w:val="single" w:color="B0BEC5" w:sz="1"/>
              <w:left w:val="single" w:color="B0BEC5" w:sz="1"/>
              <w:bottom w:val="single" w:color="B0BEC5" w:sz="1"/>
              <w:right w:val="single" w:color="B0BEC5"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18</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Resilient</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Minimal – highly diversified, strong logistics, major food exporter</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Remains resilient; ag-tech leadership growing</w:t>
            </w:r>
          </w:p>
        </w:tc>
      </w:tr>
      <w:tr>
        <w:tc>
          <w:tcPr>
            <w:tcW w:type="dxa" w:w="20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Nigeria</w:t>
            </w:r>
          </w:p>
        </w:tc>
        <w:tc>
          <w:tcPr>
            <w:tcW w:type="dxa" w:w="1200"/>
            <w:tcBorders>
              <w:top w:val="single" w:color="B0BEC5" w:sz="1"/>
              <w:left w:val="single" w:color="B0BEC5" w:sz="1"/>
              <w:bottom w:val="single" w:color="B0BEC5" w:sz="1"/>
              <w:right w:val="single" w:color="B0BEC5" w:sz="1"/>
            </w:tcBorders>
            <w:shd w:fill="F299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61</w:t>
            </w:r>
          </w:p>
        </w:tc>
        <w:tc>
          <w:tcPr>
            <w:tcW w:type="dxa" w:w="16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Dependent</w:t>
            </w:r>
          </w:p>
        </w:tc>
        <w:tc>
          <w:tcPr>
            <w:tcW w:type="dxa" w:w="276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Wheat/rice import surge, FX collapse driving food inflation &gt;40%</w:t>
            </w:r>
          </w:p>
        </w:tc>
        <w:tc>
          <w:tcPr>
            <w:tcW w:type="dxa" w:w="18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Deteriorating – approaching Structurally Vulnerable by 2030</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Brazil</w:t>
            </w:r>
          </w:p>
        </w:tc>
        <w:tc>
          <w:tcPr>
            <w:tcW w:type="dxa" w:w="1200"/>
            <w:tcBorders>
              <w:top w:val="single" w:color="B0BEC5" w:sz="1"/>
              <w:left w:val="single" w:color="B0BEC5" w:sz="1"/>
              <w:bottom w:val="single" w:color="B0BEC5" w:sz="1"/>
              <w:right w:val="single" w:color="B0BEC5"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Resilient</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Net food exporter; soy, beef, sugar dominant. Some domestic affordability gaps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Stable exporter; climate risk to cerrado farming a long-term watch</w:t>
            </w:r>
          </w:p>
        </w:tc>
      </w:tr>
      <w:tr>
        <w:tc>
          <w:tcPr>
            <w:tcW w:type="dxa" w:w="20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Sudan</w:t>
            </w:r>
          </w:p>
        </w:tc>
        <w:tc>
          <w:tcPr>
            <w:tcW w:type="dxa" w:w="1200"/>
            <w:tcBorders>
              <w:top w:val="single" w:color="B0BEC5" w:sz="1"/>
              <w:left w:val="single" w:color="B0BEC5" w:sz="1"/>
              <w:bottom w:val="single" w:color="B0BEC5" w:sz="1"/>
              <w:right w:val="single" w:color="B0BEC5" w:sz="1"/>
            </w:tcBorders>
            <w:shd w:fill="EB57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91</w:t>
            </w:r>
          </w:p>
        </w:tc>
        <w:tc>
          <w:tcPr>
            <w:tcW w:type="dxa" w:w="16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Structurally Vulnerable</w:t>
            </w:r>
          </w:p>
        </w:tc>
        <w:tc>
          <w:tcPr>
            <w:tcW w:type="dxa" w:w="276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Conflict, FX collapse, collapsed domestic production, aid dependency</w:t>
            </w:r>
          </w:p>
        </w:tc>
        <w:tc>
          <w:tcPr>
            <w:tcW w:type="dxa" w:w="1800"/>
            <w:tcBorders>
              <w:top w:val="single" w:color="B0BEC5" w:sz="1"/>
              <w:left w:val="single" w:color="B0BEC5" w:sz="1"/>
              <w:bottom w:val="single" w:color="B0BEC5" w:sz="1"/>
              <w:right w:val="single" w:color="B0BEC5" w:sz="1"/>
            </w:tcBorders>
            <w:shd w:fill="F7F9FC" w:val="clear"/>
            <w:tcMar>
              <w:top w:type="dxa" w:w="60"/>
              <w:left w:type="dxa" w:w="100"/>
              <w:bottom w:type="dxa" w:w="60"/>
              <w:right w:type="dxa" w:w="100"/>
            </w:tcMar>
          </w:tcPr>
          <w:p>
            <w:pPr>
              <w:jc w:val="left"/>
            </w:pPr>
            <w:r>
              <w:rPr>
                <w:rFonts w:ascii="Arial" w:cs="Arial" w:eastAsia="Arial" w:hAnsi="Arial"/>
                <w:b w:val="false"/>
                <w:bCs w:val="false"/>
                <w:color w:val="0A1628"/>
                <w:sz w:val="18"/>
                <w:szCs w:val="18"/>
              </w:rPr>
              <w:t xml:space="preserve">Severe – famine conditions likely without immediate intervention</w:t>
            </w:r>
          </w:p>
        </w:tc>
      </w:tr>
    </w:tbl>
    <w:p>
      <w:r>
        <w:t xml:space="preserve"> </w:t>
      </w:r>
    </w:p>
    <w:p>
      <w:pPr>
        <w:pStyle w:val="Heading2"/>
        <w:spacing w:after="120" w:before="280"/>
      </w:pPr>
      <w:r>
        <w:rPr>
          <w:rFonts w:ascii="Arial" w:cs="Arial" w:eastAsia="Arial" w:hAnsi="Arial"/>
          <w:b/>
          <w:bCs/>
          <w:color w:val="1A6B3C"/>
          <w:sz w:val="28"/>
          <w:szCs w:val="28"/>
        </w:rPr>
        <w:t xml:space="preserve">17.1  Egypt — Detailed Mock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Egypt (EGY)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 Total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74 / 100 — Dependent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 dependency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89 / 100 (wheat 85% imported, rice 35% imported)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Supplier concentration (HHI)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72 / 100 (Russia 43% of wheat, Ukraine 22% — extreme concentration)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Production trend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58 / 100 (production growing but slower than population)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Food inflation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71 / 100 (food CPI +32% YoY; bread is 65% of caloric intake for lowest quintile)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Climate volatility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55 / 100 (Nile water stress; heat stress on delta agriculture; SPEI deteriorating)</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Conflict/logistics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38 / 100 (internal stability OK; Red Sea shipping disruptions raise import costs)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Top wheat suppliers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Russia (43%), Ukraine (22%), France (11%), Romania (8%), Australia (16%)</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Net food trade balance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-$8.4bn (major food importer)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Food expenditure share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40% of household income for lowest quintile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2030 forecast FDRS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81 / 100 — approaching Structurally Vulnerable</w:t>
            </w:r>
          </w:p>
        </w:tc>
      </w:tr>
    </w:tbl>
    <w:p>
      <w:r>
        <w:t xml:space="preserve"> </w:t>
      </w:r>
    </w:p>
    <w:p>
      <w:pPr>
        <w:pStyle w:val="Heading2"/>
        <w:spacing w:after="120" w:before="280"/>
      </w:pPr>
      <w:r>
        <w:rPr>
          <w:rFonts w:ascii="Arial" w:cs="Arial" w:eastAsia="Arial" w:hAnsi="Arial"/>
          <w:b/>
          <w:bCs/>
          <w:color w:val="1A6B3C"/>
          <w:sz w:val="28"/>
          <w:szCs w:val="28"/>
        </w:rPr>
        <w:t xml:space="preserve">17.2  Netherlands — Detailed Mock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Netherlands (NLD)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 Total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18 / 100 — Resilient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 dependency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22 / 100 (imports large volumes but as a trading hub, not a food-insecure nation)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Supplier concentration (HHI)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14 / 100 (extremely diversified global sourcing)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Production trend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12 / 100 (high-tech ag; among world's top 2 food exporters per capita)</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Food inflation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19 / 100 (food CPI +4.2%; household spending on food &lt;12%)</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Climate volatility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21 / 100 (managed flood risk; precision agriculture; minor climate exposure)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Conflict/logistics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8 / 100 (Port of Rotterdam; world-class LPI; stable governance)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Top exports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Flowers, vegetables, dairy, meat, processed foods — €105bn annual ag exports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Net food trade balance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+€31bn (major net exporter)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2030 forecast FDRS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16 / 100 — Remains Resilient; ag-tech transition underway</w:t>
            </w:r>
          </w:p>
        </w:tc>
      </w:tr>
    </w:tbl>
    <w:p>
      <w:r>
        <w:t xml:space="preserve"> </w:t>
      </w:r>
    </w:p>
    <w:p>
      <w:pPr>
        <w:pStyle w:val="Heading2"/>
        <w:spacing w:after="120" w:before="280"/>
      </w:pPr>
      <w:r>
        <w:rPr>
          <w:rFonts w:ascii="Arial" w:cs="Arial" w:eastAsia="Arial" w:hAnsi="Arial"/>
          <w:b/>
          <w:bCs/>
          <w:color w:val="1A6B3C"/>
          <w:sz w:val="28"/>
          <w:szCs w:val="28"/>
        </w:rPr>
        <w:t xml:space="preserve">17.3  Nigeria — Detailed Mock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Nigeria (NGA)</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 Total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61 / 100 — Dependent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 dependency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67 / 100 (wheat 100% imported; rice ~35% imported despite large domestic production)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Supplier concentration (HHI)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54 / 100 (US, India, Brazil dominate; some diversification)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Production trend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62 / 100 (production growing but low yield; massive post-harvest losses ~40%)</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Food inflation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88 / 100 (food CPI +45% YoY; Naira collapse multiplying import costs)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Climate volatility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63 / 100 (Lake Chad shrinking; northern drought increasing; flooding in south)</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Conflict/logistics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71 / 100 (Boko Haram in NE; farmer-herder conflicts; poor logistics infrastructure)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Net food trade balance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-$3.2bn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2030 forecast FDRS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68–74 / 100 — approaching Structurally Vulnerable without policy intervention</w:t>
            </w:r>
          </w:p>
        </w:tc>
      </w:tr>
    </w:tbl>
    <w:p>
      <w:r>
        <w:t xml:space="preserve"> </w:t>
      </w:r>
    </w:p>
    <w:p>
      <w:pPr>
        <w:pStyle w:val="Heading2"/>
        <w:spacing w:after="120" w:before="280"/>
      </w:pPr>
      <w:r>
        <w:rPr>
          <w:rFonts w:ascii="Arial" w:cs="Arial" w:eastAsia="Arial" w:hAnsi="Arial"/>
          <w:b/>
          <w:bCs/>
          <w:color w:val="1A6B3C"/>
          <w:sz w:val="28"/>
          <w:szCs w:val="28"/>
        </w:rPr>
        <w:t xml:space="preserve">17.4  Brazil — Detailed Mock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Brazil (BRA)</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 Total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12 / 100 — Resilient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 dependency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11 / 100 (net exporter of soy, beef, sugar, orange juice, coffee, poultry)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Supplier concentration (HHI)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9 / 100 (export concentration is the monitor metric; import diversification strong)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Production trend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8 / 100 (production growing strongly — cerrado expansion, precision ag)</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Food inflation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28 / 100 (food CPI +8%; domestic affordability gap in low-income urban areas)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Climate volatility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35 / 100 (Amazon dieback and cerrado droughts are long-term threats; deforestation-linked)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Conflict/logistics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15 / 100 (stable; long port queues in harvest season; road logistics improving)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Top exports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Soy (world's #1 exporter), beef (world's #1 exporter), sugar, poultry, coffee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Net food trade balance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+$85bn — dominant global food exporter</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2030 forecast FDRS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14 / 100 — Remains Resilient; climate risk in cerrado is main watch point</w:t>
            </w:r>
          </w:p>
        </w:tc>
      </w:tr>
    </w:tbl>
    <w:p>
      <w:r>
        <w:t xml:space="preserve"> </w:t>
      </w:r>
    </w:p>
    <w:p>
      <w:pPr>
        <w:pStyle w:val="Heading2"/>
        <w:spacing w:after="120" w:before="280"/>
      </w:pPr>
      <w:r>
        <w:rPr>
          <w:rFonts w:ascii="Arial" w:cs="Arial" w:eastAsia="Arial" w:hAnsi="Arial"/>
          <w:b/>
          <w:bCs/>
          <w:color w:val="1A6B3C"/>
          <w:sz w:val="28"/>
          <w:szCs w:val="28"/>
        </w:rPr>
        <w:t xml:space="preserve">17.5  Sudan — Detailed Mock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Sudan (SDN)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FDRS Total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91 / 100 — Structurally Vulnerable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Import dependency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78 / 100 (domestic production collapsed 60% since 2023 conflict; sorghum production halved)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Supplier concentration (HHI)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81 / 100 (dependent on Gulf aid channels; commercial import capacity destroyed)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Production trend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95 / 100 (production in freefall; farmers displaced; livestock decimated)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Food inflation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98 / 100 (hyperinflation; Sudanese pound lost 90% of value; food unaffordable for &gt;70% of population)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Climate volatility score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82 / 100 (chronic drought in Sahel belt; seasonal floods in south; degraded farmland)</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Conflict/logistics score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96 / 100 (civil war ongoing; supply routes destroyed; humanitarian access severely restricted)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IPC Phase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Phase 4–5 (Emergency to Famine) for approximately 17.7 million people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Net food trade balance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-$1.1bn (was balanced pre-crisis; now aid-dependent)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2030 forecast FDRS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93–97 / 100 — Famine without peace and massive reconstruction</w:t>
            </w:r>
          </w:p>
        </w:tc>
      </w:tr>
    </w:tbl>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18. Example AI-Generated Insight Text</w:t>
      </w:r>
    </w:p>
    <w:p>
      <w:pPr>
        <w:pStyle w:val="Heading2"/>
        <w:spacing w:after="120" w:before="280"/>
      </w:pPr>
      <w:r>
        <w:rPr>
          <w:rFonts w:ascii="Arial" w:cs="Arial" w:eastAsia="Arial" w:hAnsi="Arial"/>
          <w:b/>
          <w:bCs/>
          <w:color w:val="1A6B3C"/>
          <w:sz w:val="28"/>
          <w:szCs w:val="28"/>
        </w:rPr>
        <w:t xml:space="preserve">Egypt</w:t>
      </w:r>
    </w:p>
    <w:p>
      <w:pPr>
        <w:pBdr>
          <w:left w:val="single" w:color="F2994A" w:sz="8"/>
        </w:pBdr>
        <w:spacing w:after="80" w:before="80"/>
        <w:ind w:left="240"/>
      </w:pPr>
      <w:r>
        <w:rPr>
          <w:rFonts w:ascii="Arial" w:cs="Arial" w:eastAsia="Arial" w:hAnsi="Arial"/>
          <w:i/>
          <w:iCs/>
          <w:color w:val="0A1628"/>
          <w:sz w:val="22"/>
          <w:szCs w:val="22"/>
        </w:rPr>
        <w:t xml:space="preserve">Egypt's food system sits on a knife's edge. The country imports more than 85% of its wheat — the foundation of its subsidized bread program that feeds 70 million people. Russia and Ukraine together supply over 65% of that wheat, meaning that any disruption to Black Sea export corridors — whether through conflict, export bans, or shipping constraints — hits Egypt immediately. Food inflation is running above 30%, and the government's FX reserves are under persistent pressure from a large current account deficit driven partly by food imports. If wheat prices remain elevated and the Nile water compact with Ethiopia deteriorates further, Egypt's FDRS could cross into Structurally Vulnerable territory by 2028. Policymakers should urgently diversify wheat sourcing to Australia, France, and Romania, and build strategic reserves equivalent to at least 9 months of consumption.</w:t>
      </w:r>
    </w:p>
    <w:p>
      <w:r>
        <w:t xml:space="preserve"> </w:t>
      </w:r>
    </w:p>
    <w:p>
      <w:pPr>
        <w:pStyle w:val="Heading2"/>
        <w:spacing w:after="120" w:before="280"/>
      </w:pPr>
      <w:r>
        <w:rPr>
          <w:rFonts w:ascii="Arial" w:cs="Arial" w:eastAsia="Arial" w:hAnsi="Arial"/>
          <w:b/>
          <w:bCs/>
          <w:color w:val="1A6B3C"/>
          <w:sz w:val="28"/>
          <w:szCs w:val="28"/>
        </w:rPr>
        <w:t xml:space="preserve">Netherlands</w:t>
      </w:r>
    </w:p>
    <w:p>
      <w:pPr>
        <w:pBdr>
          <w:left w:val="single" w:color="27AE60" w:sz="8"/>
        </w:pBdr>
        <w:spacing w:after="80" w:before="80"/>
        <w:ind w:left="240"/>
      </w:pPr>
      <w:r>
        <w:rPr>
          <w:rFonts w:ascii="Arial" w:cs="Arial" w:eastAsia="Arial" w:hAnsi="Arial"/>
          <w:i/>
          <w:iCs/>
          <w:color w:val="0A1628"/>
          <w:sz w:val="22"/>
          <w:szCs w:val="22"/>
        </w:rPr>
        <w:t xml:space="preserve">The Netherlands is the world's second-largest food exporter by value, and its FDRS of 18 reflects a food system that is not only self-sufficient in most categories, but a critical supplier to the rest of Europe and beyond. The country imports significant volumes of food commodities — but as a processing and re-export hub, not as a food-insecure nation. The Dutch supply chain is characterized by exceptional logistics infrastructure (Port of Rotterdam), world-leading precision agriculture, and extreme supply diversification. The primary long-term watch point is climate: rising sea levels and salinity intrusion into delta farmland, combined with nitrogen regulation that is reducing livestock and crop output. But the resilience buffer is deep. The Netherlands is a model for what wealthy-importer resilience looks like.</w:t>
      </w:r>
    </w:p>
    <w:p>
      <w:r>
        <w:t xml:space="preserve"> </w:t>
      </w:r>
    </w:p>
    <w:p>
      <w:pPr>
        <w:pStyle w:val="Heading2"/>
        <w:spacing w:after="120" w:before="280"/>
      </w:pPr>
      <w:r>
        <w:rPr>
          <w:rFonts w:ascii="Arial" w:cs="Arial" w:eastAsia="Arial" w:hAnsi="Arial"/>
          <w:b/>
          <w:bCs/>
          <w:color w:val="1A6B3C"/>
          <w:sz w:val="28"/>
          <w:szCs w:val="28"/>
        </w:rPr>
        <w:t xml:space="preserve">Nigeria</w:t>
      </w:r>
    </w:p>
    <w:p>
      <w:pPr>
        <w:pBdr>
          <w:left w:val="single" w:color="F2994A" w:sz="8"/>
        </w:pBdr>
        <w:spacing w:after="80" w:before="80"/>
        <w:ind w:left="240"/>
      </w:pPr>
      <w:r>
        <w:rPr>
          <w:rFonts w:ascii="Arial" w:cs="Arial" w:eastAsia="Arial" w:hAnsi="Arial"/>
          <w:i/>
          <w:iCs/>
          <w:color w:val="0A1628"/>
          <w:sz w:val="22"/>
          <w:szCs w:val="22"/>
        </w:rPr>
        <w:t xml:space="preserve">Nigeria is caught in a dangerous spiral: a currency in freefall, food inflation above 40%, and a growing dependence on imported wheat and rice at exactly the moment when import costs are exploding in Naira terms. Nigeria imports 100% of its wheat — it grows none commercially — and its rice import dependency remains significant despite major domestic production expansion. The Naira's collapse has effectively doubled food import costs in local currency terms, pushing basic food items out of reach for tens of millions of urban poor. Post-harvest losses estimated at 40% of domestic production represent a massive inefficiency that, if halved, could meaningfully reduce import dependency. The northern states face compounding pressures: Boko Haram displacement, Sahel drought, and Lake Chad shrinkage. If the currency and conflict crises are not addressed, Nigeria risks crossing into Structurally Vulnerable territory before 2030.</w:t>
      </w:r>
    </w:p>
    <w:p>
      <w:r>
        <w:t xml:space="preserve"> </w:t>
      </w:r>
    </w:p>
    <w:p>
      <w:pPr>
        <w:pStyle w:val="Heading2"/>
        <w:spacing w:after="120" w:before="280"/>
      </w:pPr>
      <w:r>
        <w:rPr>
          <w:rFonts w:ascii="Arial" w:cs="Arial" w:eastAsia="Arial" w:hAnsi="Arial"/>
          <w:b/>
          <w:bCs/>
          <w:color w:val="1A6B3C"/>
          <w:sz w:val="28"/>
          <w:szCs w:val="28"/>
        </w:rPr>
        <w:t xml:space="preserve">Brazil</w:t>
      </w:r>
    </w:p>
    <w:p>
      <w:pPr>
        <w:pBdr>
          <w:left w:val="single" w:color="27AE60" w:sz="8"/>
        </w:pBdr>
        <w:spacing w:after="80" w:before="80"/>
        <w:ind w:left="240"/>
      </w:pPr>
      <w:r>
        <w:rPr>
          <w:rFonts w:ascii="Arial" w:cs="Arial" w:eastAsia="Arial" w:hAnsi="Arial"/>
          <w:i/>
          <w:iCs/>
          <w:color w:val="0A1628"/>
          <w:sz w:val="22"/>
          <w:szCs w:val="22"/>
        </w:rPr>
        <w:t xml:space="preserve">Brazil is a food security success story at the macro level — the world's dominant exporter of soybeans and beef, a major supplier of sugar, poultry, coffee, and orange juice. Its FDRS of 12 reflects a food system that is robustly self-sufficient and highly diversified in export markets. However, two risks deserve monitoring. First, domestic food affordability: a large urban informal workforce is exposed to food price volatility, and the country has significant undernourishment in its northeast. Second, climate: the cerrado (Brazil's agricultural heartland) is experiencing increasing drought frequency linked to deforestation. If the Amazon tips past its ecological threshold, the regional rainfall system that feeds cerrado agriculture could shift structurally — this is Brazil's biggest 2030 food risk. For now, Brazil remains one of the world's most resilient food systems.</w:t>
      </w:r>
    </w:p>
    <w:p>
      <w:r>
        <w:t xml:space="preserve"> </w:t>
      </w:r>
    </w:p>
    <w:p>
      <w:pPr>
        <w:pStyle w:val="Heading2"/>
        <w:spacing w:after="120" w:before="280"/>
      </w:pPr>
      <w:r>
        <w:rPr>
          <w:rFonts w:ascii="Arial" w:cs="Arial" w:eastAsia="Arial" w:hAnsi="Arial"/>
          <w:b/>
          <w:bCs/>
          <w:color w:val="1A6B3C"/>
          <w:sz w:val="28"/>
          <w:szCs w:val="28"/>
        </w:rPr>
        <w:t xml:space="preserve">Sudan</w:t>
      </w:r>
    </w:p>
    <w:p>
      <w:pPr>
        <w:pBdr>
          <w:left w:val="single" w:color="EB5757" w:sz="8"/>
        </w:pBdr>
        <w:spacing w:after="80" w:before="80"/>
        <w:ind w:left="240"/>
      </w:pPr>
      <w:r>
        <w:rPr>
          <w:rFonts w:ascii="Arial" w:cs="Arial" w:eastAsia="Arial" w:hAnsi="Arial"/>
          <w:i/>
          <w:iCs/>
          <w:color w:val="0A1628"/>
          <w:sz w:val="22"/>
          <w:szCs w:val="22"/>
        </w:rPr>
        <w:t xml:space="preserve">Sudan's FDRS of 91 places it among the most food-vulnerable nations on Earth — not because of structural trade dependency in normal times, but because an ongoing civil war has catastrophically destroyed both domestic production capacity and the logistics infrastructure needed to import food commercially. Domestic sorghum production has halved since 2023. The Sudanese pound has lost 90% of its value, making commercial food imports practically impossible even where supply chains still function. An estimated 17.7 million people are in IPC Phase 4–5 (Emergency to Famine). Humanitarian access is severely restricted by active conflict. The 2030 outlook is that without a negotiated peace settlement and immediate reconstruction support, famine conditions will persist or worsen. This is a humanitarian emergency that has become a structural collapse — requiring military, political, and food system responses simultaneously.</w:t>
      </w:r>
    </w:p>
    <w:p>
      <w:pPr>
        <w:pBdr>
          <w:bottom w:val="single" w:color="2D9CDB" w:sz="4"/>
        </w:pBdr>
        <w:spacing w:after="200" w:before="200"/>
      </w:pPr>
      <w:r>
        <w:t xml:space="preserve"/>
      </w:r>
    </w:p>
    <w:p>
      <w:pPr>
        <w:pStyle w:val="Heading1"/>
        <w:spacing w:after="160" w:before="360"/>
      </w:pPr>
      <w:r>
        <w:rPr>
          <w:rFonts w:ascii="Arial" w:cs="Arial" w:eastAsia="Arial" w:hAnsi="Arial"/>
          <w:b/>
          <w:bCs/>
          <w:color w:val="0A1628"/>
          <w:sz w:val="36"/>
          <w:szCs w:val="36"/>
        </w:rPr>
        <w:t xml:space="preserve">19. Prioritized Development Roadmap</w:t>
      </w:r>
    </w:p>
    <w:p>
      <w:pPr>
        <w:pStyle w:val="Heading2"/>
        <w:spacing w:after="120" w:before="280"/>
      </w:pPr>
      <w:r>
        <w:rPr>
          <w:rFonts w:ascii="Arial" w:cs="Arial" w:eastAsia="Arial" w:hAnsi="Arial"/>
          <w:b/>
          <w:bCs/>
          <w:color w:val="1A6B3C"/>
          <w:sz w:val="28"/>
          <w:szCs w:val="28"/>
        </w:rPr>
        <w:t xml:space="preserve">Version 1 — Simple Prototype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V1 Deliverables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Goal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Proof of concept that demonstrates the full product vision. Presentable to stakeholders and shareable on LinkedIn.</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Data</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30–50 countries with manually curated FDRS scores from FAOSTAT + World Bank. Stored as JSON or in Supabase.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Features</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Interactive world map (Leaflet + GeoJSON), country side panel, Tab 1 (Global Overview), Tab 2 (Country Deep Dive), static AI summaries, radar chart, risk badge system.</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Design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Full dark-mode design system. shadcn/ui + Tailwind CSS + Recharts. Mobile responsive.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Tech stack</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Next.js 14, React, TypeScript, Tailwind CSS, shadcn/ui, Recharts, Leaflet.js, Supabase (Postgres + REST API).</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Deployment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Vercel free tier. Custom domain optional at this stage.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Success metric</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Working demo URL, world map loads and is interactive, 5+ countries with full deep-dive data.</w:t>
            </w:r>
          </w:p>
        </w:tc>
      </w:tr>
    </w:tbl>
    <w:p>
      <w:r>
        <w:t xml:space="preserve"> </w:t>
      </w:r>
    </w:p>
    <w:p>
      <w:pPr>
        <w:pStyle w:val="Heading2"/>
        <w:spacing w:after="120" w:before="280"/>
      </w:pPr>
      <w:r>
        <w:rPr>
          <w:rFonts w:ascii="Arial" w:cs="Arial" w:eastAsia="Arial" w:hAnsi="Arial"/>
          <w:b/>
          <w:bCs/>
          <w:color w:val="1A6B3C"/>
          <w:sz w:val="28"/>
          <w:szCs w:val="28"/>
        </w:rPr>
        <w:t xml:space="preserve">Version 2 — Real Data Integration (Weeks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V2 Deliverables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Goal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Replace mock data with real, automated data pipelines covering all 195 countries.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Data pipelines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Python ETL scripts fetching from FAOSTAT API, World Bank API (wbgapi), UN Comtrade API, ACLED API, IMF API. Scheduled via GitHub Actions or a cron job on Railway.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Features added</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All 195 countries fully scored. Tab 3 (Imports &amp; Exports) with Sankey diagrams. Tab 4 (Score Methodology) with global ranking table and 2x2 matrix. All 7 commodity filters working. Region filters working.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Database</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PostgreSQL on Supabase. Normalized schema with trade_flows, production_series, climate_series, score_history tables.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Success metric</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All 195 countries load with real data. FDRS scores validated against known food crisis countries.</w:t>
            </w:r>
          </w:p>
        </w:tc>
      </w:tr>
    </w:tbl>
    <w:p>
      <w:r>
        <w:t xml:space="preserve"> </w:t>
      </w:r>
    </w:p>
    <w:p>
      <w:pPr>
        <w:pStyle w:val="Heading2"/>
        <w:spacing w:after="120" w:before="280"/>
      </w:pPr>
      <w:r>
        <w:rPr>
          <w:rFonts w:ascii="Arial" w:cs="Arial" w:eastAsia="Arial" w:hAnsi="Arial"/>
          <w:b/>
          <w:bCs/>
          <w:color w:val="1A6B3C"/>
          <w:sz w:val="28"/>
          <w:szCs w:val="28"/>
        </w:rPr>
        <w:t xml:space="preserve">Version 3 — Forecasting &amp; Scenarios (Weeks 15–22)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V3 Deliverables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Goal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Add quantitative forecasting and the scenario simulator — the two features that make FoodShield AI unique.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Forecasting</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Python forecasting module (scikit-learn + statsmodels): linear regression, ARIMA, and moving average per country per metric. Output stored as forecast_series table. Tab 5 fully functional.</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Scenario engine</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Pre-computed sensitivity matrices: for each scenario (wheat +20%, drought -15%, etc.) and each country, pre-compute the delta impact on each FDRS component. Tab 6 fully functional with dynamic map recoloring.</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Features added</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Tab 5 (Forecast) and Tab 6 (Scenario Simulator) fully functional. 2030 projection text auto-generated from forecast output.</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Success metric</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Scenario simulator responds within 2 seconds. Forecast lines visible for all countries. Text projections accurate to 2 significant figures.</w:t>
            </w:r>
          </w:p>
        </w:tc>
      </w:tr>
    </w:tbl>
    <w:p>
      <w:r>
        <w:t xml:space="preserve"> </w:t>
      </w:r>
    </w:p>
    <w:p>
      <w:pPr>
        <w:pStyle w:val="Heading2"/>
        <w:spacing w:after="120" w:before="280"/>
      </w:pPr>
      <w:r>
        <w:rPr>
          <w:rFonts w:ascii="Arial" w:cs="Arial" w:eastAsia="Arial" w:hAnsi="Arial"/>
          <w:b/>
          <w:bCs/>
          <w:color w:val="1A6B3C"/>
          <w:sz w:val="28"/>
          <w:szCs w:val="28"/>
        </w:rPr>
        <w:t xml:space="preserve">Version 4 — AI Insight Engine (Weeks 23–28)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V4 Deliverables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Goal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Replace static AI text with dynamic, data-grounded AI summaries generated via LLM API.</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AI integration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Claude API (or OpenAI). Structured prompt template with full country data as context. Audience-specific variants (government / company / investor / NGO). Summaries cached in DB and regenerated on data update.</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Tab 7</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Opportunity &amp; Action tab fully functional with audience toggle. Per-country policy, investment, and humanitarian recommendations.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Features added</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Dynamic AI summaries. Audience-specific views in Tab 7. 'Explain this score' button in Tab 4. AI-generated trend interpretation in Tab 5.</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Success metric</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AI summaries load within 3 seconds. Text is factually grounded, audience-appropriate, and coherent for all 195 countries.</w:t>
            </w:r>
          </w:p>
        </w:tc>
      </w:tr>
    </w:tbl>
    <w:p>
      <w:r>
        <w:t xml:space="preserve"> </w:t>
      </w:r>
    </w:p>
    <w:p>
      <w:pPr>
        <w:pStyle w:val="Heading2"/>
        <w:spacing w:after="120" w:before="280"/>
      </w:pPr>
      <w:r>
        <w:rPr>
          <w:rFonts w:ascii="Arial" w:cs="Arial" w:eastAsia="Arial" w:hAnsi="Arial"/>
          <w:b/>
          <w:bCs/>
          <w:color w:val="1A6B3C"/>
          <w:sz w:val="28"/>
          <w:szCs w:val="28"/>
        </w:rPr>
        <w:t xml:space="preserve">Version 5 — Publishable Product &amp; Demo (Weeks 29–36)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6B3C" w:sz="1"/>
              <w:left w:val="single" w:color="1A6B3C" w:sz="1"/>
              <w:bottom w:val="single" w:color="1A6B3C" w:sz="1"/>
              <w:right w:val="single" w:color="1A6B3C" w:sz="1"/>
            </w:tcBorders>
            <w:shd w:fill="0A1628" w:val="clear"/>
            <w:tcMar>
              <w:top w:type="dxa" w:w="80"/>
              <w:left w:type="dxa" w:w="160"/>
              <w:bottom w:type="dxa" w:w="80"/>
              <w:right w:type="dxa" w:w="160"/>
            </w:tcMar>
          </w:tcPr>
          <w:p>
            <w:r>
              <w:rPr>
                <w:rFonts w:ascii="Arial" w:cs="Arial" w:eastAsia="Arial" w:hAnsi="Arial"/>
                <w:b/>
                <w:bCs/>
                <w:color w:val="FFFFFF"/>
                <w:sz w:val="22"/>
                <w:szCs w:val="22"/>
              </w:rPr>
              <w:t xml:space="preserve">V5 Deliverables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Goal</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Launch FoodShield AI as a publicly accessible, credible, and monetizable product.</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Publication</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Custom domain (foodshield.ai). SEO-optimized landing page. Methodology documentation page. Data attribution page. Blog/insights section.</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Monetization</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Pro tier ($49/mo) with Stripe integration: API access, PDF export, saved watchlists, email alerts. Enterprise inquiry form.</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Sharing</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One-click 'Share this country' generating a pre-designed card (OG image) for LinkedIn/Twitter. Embeddable widget (iframe) for third-party sites.</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API</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Public REST API: GET /api/countries, GET /api/countries/{iso3}, GET /api/scores?year=2025. Rate-limited. Documented.</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b/>
                <w:bCs/>
                <w:color w:val="4A5568"/>
                <w:sz w:val="20"/>
                <w:szCs w:val="20"/>
              </w:rPr>
              <w:t xml:space="preserve">PDF export</w:t>
            </w:r>
          </w:p>
        </w:tc>
        <w:tc>
          <w:tcPr>
            <w:tcW w:type="dxa" w:w="636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Arial" w:cs="Arial" w:eastAsia="Arial" w:hAnsi="Arial"/>
                <w:color w:val="0A1628"/>
                <w:sz w:val="20"/>
                <w:szCs w:val="20"/>
              </w:rPr>
              <w:t xml:space="preserve">Country profile PDF export using React-PDF or Puppeteer. Includes all charts, score breakdown, and AI summary.</w:t>
            </w:r>
          </w:p>
        </w:tc>
      </w:tr>
      <w:tr>
        <w:tc>
          <w:tcPr>
            <w:tcW w:type="dxa" w:w="300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b/>
                <w:bCs/>
                <w:color w:val="4A5568"/>
                <w:sz w:val="20"/>
                <w:szCs w:val="20"/>
              </w:rPr>
              <w:t xml:space="preserve">Success metric</w:t>
            </w:r>
          </w:p>
        </w:tc>
        <w:tc>
          <w:tcPr>
            <w:tcW w:type="dxa" w:w="6360"/>
            <w:tcBorders>
              <w:top w:val="single" w:color="B0BEC5" w:sz="1"/>
              <w:left w:val="single" w:color="B0BEC5" w:sz="1"/>
              <w:bottom w:val="single" w:color="B0BEC5" w:sz="1"/>
              <w:right w:val="single" w:color="B0BEC5" w:sz="1"/>
            </w:tcBorders>
            <w:shd w:fill="F7F9FC" w:val="clear"/>
            <w:tcMar>
              <w:top w:type="dxa" w:w="60"/>
              <w:left w:type="dxa" w:w="120"/>
              <w:bottom w:type="dxa" w:w="60"/>
              <w:right w:type="dxa" w:w="120"/>
            </w:tcMar>
          </w:tcPr>
          <w:p>
            <w:r>
              <w:rPr>
                <w:rFonts w:ascii="Arial" w:cs="Arial" w:eastAsia="Arial" w:hAnsi="Arial"/>
                <w:color w:val="0A1628"/>
                <w:sz w:val="20"/>
                <w:szCs w:val="20"/>
              </w:rPr>
              <w:t xml:space="preserve">Publicly launched. 1,000+ unique visitors in first month. At least 3 Pro subscribers or 1 institutional inquiry within 60 days of launch.</w:t>
            </w:r>
          </w:p>
        </w:tc>
      </w:tr>
    </w:tbl>
    <w:p>
      <w:r>
        <w:br w:type="page"/>
      </w:r>
    </w:p>
    <w:p>
      <w:pPr>
        <w:spacing w:before="2400"/>
        <w:jc w:val="center"/>
      </w:pPr>
      <w:r>
        <w:rPr>
          <w:rFonts w:ascii="Arial" w:cs="Arial" w:eastAsia="Arial" w:hAnsi="Arial"/>
          <w:i/>
          <w:iCs/>
          <w:color w:val="4A5568"/>
          <w:sz w:val="24"/>
          <w:szCs w:val="24"/>
        </w:rPr>
        <w:t xml:space="preserve">FoodShield AI Blueprint — End of Document</w:t>
      </w:r>
    </w:p>
    <w:p>
      <w:pPr>
        <w:jc w:val="center"/>
      </w:pPr>
      <w:r>
        <w:rPr>
          <w:rFonts w:ascii="Arial" w:cs="Arial" w:eastAsia="Arial" w:hAnsi="Arial"/>
          <w:color w:val="1A6B3C"/>
          <w:sz w:val="20"/>
          <w:szCs w:val="20"/>
        </w:rPr>
        <w:t xml:space="preserve">Built with purpose. Designed for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9CDB" w:sz="4" w:space="1"/>
      </w:pBdr>
      <w:tabs>
        <w:tab w:val="right" w:pos="9360"/>
      </w:tabs>
    </w:pPr>
    <w:r>
      <w:rPr>
        <w:rFonts w:ascii="Arial" w:cs="Arial" w:eastAsia="Arial" w:hAnsi="Arial"/>
        <w:color w:val="4A5568"/>
        <w:sz w:val="18"/>
        <w:szCs w:val="18"/>
      </w:rPr>
      <w:t xml:space="preserve">Confidential — Product Blueprint</w:t>
    </w:r>
    <w:r>
      <w:rPr>
        <w:rFonts w:ascii="Arial" w:cs="Arial" w:eastAsia="Arial" w:hAnsi="Arial"/>
        <w:color w:val="4A5568"/>
        <w:sz w:val="18"/>
        <w:szCs w:val="18"/>
      </w:rPr>
      <w:t xml:space="preserve">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9CDB" w:sz="4" w:space="1"/>
      </w:pBdr>
    </w:pPr>
    <w:r>
      <w:rPr>
        <w:rFonts w:ascii="Arial" w:cs="Arial" w:eastAsia="Arial" w:hAnsi="Arial"/>
        <w:color w:val="4A5568"/>
        <w:sz w:val="18"/>
        <w:szCs w:val="18"/>
      </w:rPr>
      <w:t xml:space="preserve">FoodShield AI — Global Food Dependency &amp; Resilience Monitor</w:t>
    </w:r>
    <w:r>
      <w:rPr>
        <w:rFonts w:ascii="Arial" w:cs="Arial" w:eastAsia="Arial" w:hAnsi="Arial"/>
        <w:color w:val="B0BEC5"/>
        <w:sz w:val="18"/>
        <w:szCs w:val="18"/>
      </w:rPr>
      <w:t xml:space="preserve">    Blueprint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1628"/>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2026-05-17T22:06:48.395Z</dcterms:created>
  <dcterms:modified xsi:type="dcterms:W3CDTF">2026-05-17T22:06:48.405Z</dcterms:modified>
</cp:coreProperties>
</file>

<file path=docProps/custom.xml><?xml version="1.0" encoding="utf-8"?>
<Properties xmlns="http://schemas.openxmlformats.org/officeDocument/2006/custom-properties" xmlns:vt="http://schemas.openxmlformats.org/officeDocument/2006/docPropsVTypes"/>
</file>