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SEGUROS LATAM S.A.</w:t>
      </w:r>
    </w:p>
    <w:p>
      <w:pPr>
        <w:jc w:val="center"/>
      </w:pPr>
      <w:r>
        <w:t>CONDICIONES GENERALES DEL SEGURO DE AUTOMÓVILES</w:t>
      </w:r>
    </w:p>
    <w:p/>
    <w:tbl>
      <w:tblPr>
        <w:tblW w:type="auto" w:w="0"/>
        <w:jc w:val="center"/>
        <w:tblLook w:firstColumn="1" w:firstRow="1" w:lastColumn="0" w:lastRow="0" w:noHBand="0" w:noVBand="1" w:val="04A0"/>
      </w:tblPr>
      <w:tblGrid>
        <w:gridCol w:w="4320"/>
        <w:gridCol w:w="4320"/>
      </w:tblGrid>
      <w:tr>
        <w:tc>
          <w:tcPr>
            <w:tcW w:type="dxa" w:w="4320"/>
          </w:tcPr>
          <w:p>
            <w:r>
              <w:t>Registro CNSF:</w:t>
            </w:r>
          </w:p>
        </w:tc>
        <w:tc>
          <w:tcPr>
            <w:tcW w:type="dxa" w:w="4320"/>
          </w:tcPr>
          <w:p>
            <w:r>
              <w:t>H-2299-11</w:t>
            </w:r>
          </w:p>
        </w:tc>
      </w:tr>
      <w:tr>
        <w:tc>
          <w:tcPr>
            <w:tcW w:type="dxa" w:w="4320"/>
          </w:tcPr>
          <w:p>
            <w:r>
              <w:t>Producto:</w:t>
            </w:r>
          </w:p>
        </w:tc>
        <w:tc>
          <w:tcPr>
            <w:tcW w:type="dxa" w:w="4320"/>
          </w:tcPr>
          <w:p>
            <w:r>
              <w:t>Cobertura Amplia Plus</w:t>
            </w:r>
          </w:p>
        </w:tc>
      </w:tr>
      <w:tr>
        <w:tc>
          <w:tcPr>
            <w:tcW w:type="dxa" w:w="4320"/>
          </w:tcPr>
          <w:p>
            <w:r>
              <w:t>Versión:</w:t>
            </w:r>
          </w:p>
        </w:tc>
        <w:tc>
          <w:tcPr>
            <w:tcW w:type="dxa" w:w="4320"/>
          </w:tcPr>
          <w:p>
            <w:r>
              <w:t>2026-v2</w:t>
            </w:r>
          </w:p>
        </w:tc>
      </w:tr>
      <w:tr>
        <w:tc>
          <w:tcPr>
            <w:tcW w:type="dxa" w:w="4320"/>
          </w:tcPr>
          <w:p>
            <w:r>
              <w:t>Aviso de Privacidad:</w:t>
            </w:r>
          </w:p>
        </w:tc>
        <w:tc>
          <w:tcPr>
            <w:tcW w:type="dxa" w:w="4320"/>
          </w:tcPr>
          <w:p>
            <w:r>
              <w:t>Consulte www.seguroslatam.com/privacidad</w:t>
            </w:r>
          </w:p>
        </w:tc>
      </w:tr>
    </w:tbl>
    <w:p/>
    <w:p>
      <w:pPr>
        <w:jc w:val="both"/>
      </w:pPr>
      <w:r>
        <w:t>IMPORTANTE: Este documento constituye el contrato de seguro. El asegurado declara conocer el contenido del artículo 25 de la Ley sobre el Contrato de Seguro. La compañía no será responsable por siniestros ocurridos bajo los efectos del alcohol o drogas...</w:t>
      </w:r>
    </w:p>
    <w:p>
      <w:r>
        <w:br w:type="page"/>
      </w:r>
    </w:p>
    <w:p>
      <w:pPr>
        <w:pStyle w:val="Heading1"/>
      </w:pPr>
      <w:r>
        <w:t>SECCIÓN I: DAÑOS MATERIALES</w:t>
      </w:r>
    </w:p>
    <w:p>
      <w:pPr>
        <w:pStyle w:val="Heading2"/>
      </w:pPr>
      <w:r>
        <w:t>1.1. Rotura de Cristales</w:t>
      </w:r>
    </w:p>
    <w:p>
      <w:r>
        <w:t>Se ampara la rotura de parabrisas, aletas, medallón y quemacocos con un deducible del 20%.</w:t>
      </w:r>
    </w:p>
    <w:p>
      <w:pPr>
        <w:pStyle w:val="Heading2"/>
      </w:pPr>
      <w:r>
        <w:t>1.2. Robo Parcial</w:t>
      </w:r>
    </w:p>
    <w:p>
      <w:r>
        <w:t>Queda excluido el robo de espejos laterales salvo contratación de cobertura accesoria.</w:t>
      </w:r>
    </w:p>
    <w:p>
      <w:pPr>
        <w:pStyle w:val="Heading2"/>
      </w:pPr>
      <w:r>
        <w:t>1.3. Baremos de Reparación y Pintura</w:t>
      </w:r>
    </w:p>
    <w:p>
      <w:r>
        <w:t>Para la indemnización de daños, se aplicarán estrictamente los siguientes límites: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rPr>
              <w:t>CONCEPTO</w:t>
            </w:r>
          </w:p>
        </w:tc>
        <w:tc>
          <w:tcPr>
            <w:tcW w:type="dxa" w:w="2880"/>
            <w:shd w:val="clear" w:color="auto" w:fill="003366"/>
          </w:tcPr>
          <w:p>
            <w:r>
              <w:rPr>
                <w:b/>
                <w:color w:val="FFFFFF"/>
              </w:rPr>
              <w:t>LÍMITE MÁXIMO</w:t>
            </w:r>
          </w:p>
        </w:tc>
        <w:tc>
          <w:tcPr>
            <w:tcW w:type="dxa" w:w="2880"/>
            <w:shd w:val="clear" w:color="auto" w:fill="003366"/>
          </w:tcPr>
          <w:p>
            <w:r>
              <w:rPr>
                <w:b/>
                <w:color w:val="FFFFFF"/>
              </w:rPr>
              <w:t>CONDICIÓN</w:t>
            </w:r>
          </w:p>
        </w:tc>
      </w:tr>
      <w:tr>
        <w:tc>
          <w:tcPr>
            <w:tcW w:type="dxa" w:w="2880"/>
          </w:tcPr>
          <w:p>
            <w:r>
              <w:t>Mano de Obra Mecánica</w:t>
            </w:r>
          </w:p>
        </w:tc>
        <w:tc>
          <w:tcPr>
            <w:tcW w:type="dxa" w:w="2880"/>
          </w:tcPr>
          <w:p>
            <w:r>
              <w:t>$600 MXN / hora</w:t>
            </w:r>
          </w:p>
        </w:tc>
        <w:tc>
          <w:tcPr>
            <w:tcW w:type="dxa" w:w="2880"/>
          </w:tcPr>
          <w:p>
            <w:r>
              <w:t>Según tabulador.</w:t>
            </w:r>
          </w:p>
        </w:tc>
      </w:tr>
      <w:tr>
        <w:tc>
          <w:tcPr>
            <w:tcW w:type="dxa" w:w="2880"/>
          </w:tcPr>
          <w:p>
            <w:r>
              <w:t>Pintura (Por Pieza)</w:t>
            </w:r>
          </w:p>
        </w:tc>
        <w:tc>
          <w:tcPr>
            <w:tcW w:type="dxa" w:w="2880"/>
          </w:tcPr>
          <w:p>
            <w:r>
              <w:t>$4,000.00 MXN</w:t>
            </w:r>
          </w:p>
        </w:tc>
        <w:tc>
          <w:tcPr>
            <w:tcW w:type="dxa" w:w="2880"/>
          </w:tcPr>
          <w:p>
            <w:r>
              <w:t>Tope máximo inapelable. Excedente a cargo del asegurado.</w:t>
            </w:r>
          </w:p>
        </w:tc>
      </w:tr>
      <w:tr>
        <w:tc>
          <w:tcPr>
            <w:tcW w:type="dxa" w:w="2880"/>
          </w:tcPr>
          <w:p>
            <w:r>
              <w:t>Partes Estructurales</w:t>
            </w:r>
          </w:p>
        </w:tc>
        <w:tc>
          <w:tcPr>
            <w:tcW w:type="dxa" w:w="2880"/>
          </w:tcPr>
          <w:p>
            <w:r>
              <w:t>Según Valuación</w:t>
            </w:r>
          </w:p>
        </w:tc>
        <w:tc>
          <w:tcPr>
            <w:tcW w:type="dxa" w:w="2880"/>
          </w:tcPr>
          <w:p>
            <w:r>
              <w:t>Daños ocultos requieren NOTA TÉCNICA justificativa para ser pagados.</w:t>
            </w:r>
          </w:p>
        </w:tc>
      </w:tr>
    </w:tbl>
    <w:p/>
    <w:p>
      <w:pPr>
        <w:pStyle w:val="Heading2"/>
      </w:pPr>
      <w:r>
        <w:t>1.4. Auto Sustituto</w:t>
      </w:r>
    </w:p>
    <w:p>
      <w:r>
        <w:t>Limitado a 10 días naturales en caso de Pérdida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