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Classe Main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METODI: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public static void main()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Classe DBConnection //classe per connettersi al database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ATTRIBUTI: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private String connectionString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private String user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private String password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private object connection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METODI: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public DBConnection (connectionString, user, password) //constructor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public object GetConnection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Classe Sentence //classe della domanda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ATTRIBUTI: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private short idSentence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private String sentenceStart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private List &lt;Answer&gt; answers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METODI: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public Sentence (idSentence, sentenceStart)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public void CreateAnswers()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public Boolean IsCorrect(string userAnswer)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Classe Answer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 xml:space="preserve">ATTRIBUTI:</w:t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private short idSentence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private string answer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private boolean isCorrect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METODI: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public Answer (idSentence, answer, isCorrect)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Classe </w:t>
      </w:r>
      <w:r w:rsidDel="00000000" w:rsidR="00000000" w:rsidRPr="00000000">
        <w:rPr>
          <w:rtl w:val="0"/>
        </w:rPr>
        <w:t xml:space="preserve">SentencesContainer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ATTRIBUTI: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private list &lt;Sentence&gt; Sentences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METODI: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public SentenceContainer()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public void ShuffleSentences()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