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59 Temple Place, Suite 330, Boston, MA  02111-1307 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59 Temple Place, Suite 330, Boston, MA  02111-1307  USA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