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7E00" w14:textId="43248D4D" w:rsidR="008439D4" w:rsidRDefault="00B720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Robert Smithson, </w:t>
      </w:r>
      <w:proofErr w:type="spellStart"/>
      <w:r>
        <w:rPr>
          <w:rStyle w:val="Emphasis"/>
          <w:rFonts w:ascii="Segoe UI" w:hAnsi="Segoe UI" w:cs="Segoe UI"/>
          <w:color w:val="212529"/>
          <w:shd w:val="clear" w:color="auto" w:fill="FFFFFF"/>
        </w:rPr>
        <w:t>Glue</w:t>
      </w:r>
      <w:proofErr w:type="spellEnd"/>
      <w:r>
        <w:rPr>
          <w:rStyle w:val="Emphasis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12529"/>
          <w:shd w:val="clear" w:color="auto" w:fill="FFFFFF"/>
        </w:rPr>
        <w:t>Pour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1969</w:t>
      </w:r>
    </w:p>
    <w:p w14:paraId="53BE0D1E" w14:textId="4016248F" w:rsidR="008A2830" w:rsidRDefault="00253C97" w:rsidP="008A283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 Smithson le interesa lo imperdurable. La obra de Da Vinci que cuelga hace años en un museo no invita transformaciones; la continuidad y las cualidades inalterables son las que hacen al entendimiento de la obra como expresión artística. E</w:t>
      </w:r>
      <w:r w:rsidR="008A2830">
        <w:rPr>
          <w:rFonts w:ascii="Segoe UI" w:hAnsi="Segoe UI" w:cs="Segoe UI"/>
          <w:color w:val="212529"/>
          <w:shd w:val="clear" w:color="auto" w:fill="FFFFFF"/>
        </w:rPr>
        <w:t>sto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8A2830">
        <w:rPr>
          <w:rFonts w:ascii="Segoe UI" w:hAnsi="Segoe UI" w:cs="Segoe UI"/>
          <w:color w:val="212529"/>
          <w:shd w:val="clear" w:color="auto" w:fill="FFFFFF"/>
        </w:rPr>
        <w:t xml:space="preserve">es lo que el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Art</w:t>
      </w:r>
      <w:r w:rsidR="008A2830">
        <w:rPr>
          <w:rFonts w:ascii="Segoe UI" w:hAnsi="Segoe UI" w:cs="Segoe UI"/>
          <w:color w:val="212529"/>
          <w:shd w:val="clear" w:color="auto" w:fill="FFFFFF"/>
        </w:rPr>
        <w:t xml:space="preserve"> transgrede, en busca de expandir los límites del arte, al incorporar los cambios naturales a la obra que los recibe. </w:t>
      </w:r>
      <w:r w:rsidR="008A2830">
        <w:rPr>
          <w:rFonts w:ascii="Segoe UI" w:hAnsi="Segoe UI" w:cs="Segoe UI"/>
          <w:color w:val="212529"/>
          <w:shd w:val="clear" w:color="auto" w:fill="FFFFFF"/>
        </w:rPr>
        <w:t xml:space="preserve">Pero no quiere negar el museo o la significación artística, sino que quiere afirmar su ausencia y traer adelante un tipo de arte que se extiende del mundo natural en el que se inscribe. </w:t>
      </w:r>
    </w:p>
    <w:p w14:paraId="6C4D9D09" w14:textId="71432ACA" w:rsidR="00B7200C" w:rsidRDefault="008A283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 Smithson le interesa esta idea y habla de ella en términos de la entropía: el decaimiento inevitable y el devenir caótico natural e inexorable de toda la materia física. Aquí, se expone el concepto desde la erosión y el tiempo cuya estética violenta y agresiva llama la atención a lo que no puede ser deshecho. La sustancia dispersa sobre la tierra realza esta concepción de lo que está predispuesto a decaer que es alcanzado por el arte.</w:t>
      </w:r>
    </w:p>
    <w:p w14:paraId="685107D8" w14:textId="36241EEA" w:rsidR="00253C97" w:rsidRPr="008A2830" w:rsidRDefault="00253C97"/>
    <w:sectPr w:rsidR="00253C97" w:rsidRPr="008A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C"/>
    <w:rsid w:val="00253C97"/>
    <w:rsid w:val="008439D4"/>
    <w:rsid w:val="008A2830"/>
    <w:rsid w:val="00B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9F24"/>
  <w15:chartTrackingRefBased/>
  <w15:docId w15:val="{187B56C1-3305-4635-BEDA-E24665BB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20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2021-06-15T01:57:00Z</dcterms:created>
  <dcterms:modified xsi:type="dcterms:W3CDTF">2021-06-15T02:25:00Z</dcterms:modified>
</cp:coreProperties>
</file>