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8107" w14:textId="77777777" w:rsidR="006150D7" w:rsidRDefault="00DC6FC4">
      <w:r>
        <w:rPr>
          <w:noProof/>
          <w:lang w:eastAsia="es-ES"/>
        </w:rPr>
        <w:drawing>
          <wp:inline distT="0" distB="0" distL="0" distR="0" wp14:anchorId="1FAA8108" wp14:editId="1FAA8109">
            <wp:extent cx="6312266" cy="7687159"/>
            <wp:effectExtent l="19050" t="0" r="12334" b="9041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150D7" w:rsidSect="00615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FC4"/>
    <w:rsid w:val="00164F90"/>
    <w:rsid w:val="0036658B"/>
    <w:rsid w:val="003D5D94"/>
    <w:rsid w:val="005326DE"/>
    <w:rsid w:val="006150D7"/>
    <w:rsid w:val="00774CAA"/>
    <w:rsid w:val="007E58F7"/>
    <w:rsid w:val="008240AB"/>
    <w:rsid w:val="00B35919"/>
    <w:rsid w:val="00B62E62"/>
    <w:rsid w:val="00BA0DDC"/>
    <w:rsid w:val="00CF0955"/>
    <w:rsid w:val="00DB1966"/>
    <w:rsid w:val="00DB7730"/>
    <w:rsid w:val="00DC6FC4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8107"/>
  <w15:docId w15:val="{ADD3E114-F964-41AE-8B7C-E3F56DAE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0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938251340656579"/>
          <c:y val="1.9852477758332682E-2"/>
          <c:w val="0.49387911853474181"/>
          <c:h val="0.9349350318073073"/>
        </c:manualLayout>
      </c:layout>
      <c:barChart>
        <c:barDir val="bar"/>
        <c:grouping val="stacked"/>
        <c:varyColors val="0"/>
        <c:ser>
          <c:idx val="1"/>
          <c:order val="0"/>
          <c:tx>
            <c:strRef>
              <c:f>Hoja1!$C$1</c:f>
              <c:strCache>
                <c:ptCount val="1"/>
                <c:pt idx="0">
                  <c:v>Household consumption expenditure (including Non-profit institutions serving households)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Hoja1!$A$2:$A$10</c:f>
              <c:strCache>
                <c:ptCount val="9"/>
                <c:pt idx="0">
                  <c:v>AUSTRIA</c:v>
                </c:pt>
                <c:pt idx="1">
                  <c:v>AUSTRALIA</c:v>
                </c:pt>
                <c:pt idx="2">
                  <c:v>CANADA</c:v>
                </c:pt>
                <c:pt idx="3">
                  <c:v>SERBIA</c:v>
                </c:pt>
                <c:pt idx="4">
                  <c:v>ARMENIA</c:v>
                </c:pt>
                <c:pt idx="5">
                  <c:v>UKRAINE</c:v>
                </c:pt>
                <c:pt idx="6">
                  <c:v>ARGENTINA</c:v>
                </c:pt>
                <c:pt idx="7">
                  <c:v>ISRAEL</c:v>
                </c:pt>
                <c:pt idx="8">
                  <c:v>MEXICO</c:v>
                </c:pt>
              </c:strCache>
            </c:strRef>
          </c:cat>
          <c:val>
            <c:numRef>
              <c:f>Hoja1!$C$2:$C$10</c:f>
              <c:numCache>
                <c:formatCode>0%</c:formatCode>
                <c:ptCount val="9"/>
                <c:pt idx="0">
                  <c:v>9.0000000000000011E-2</c:v>
                </c:pt>
                <c:pt idx="1">
                  <c:v>0.11</c:v>
                </c:pt>
                <c:pt idx="2">
                  <c:v>0.1</c:v>
                </c:pt>
                <c:pt idx="3">
                  <c:v>0.12000000000000001</c:v>
                </c:pt>
                <c:pt idx="4">
                  <c:v>0.13</c:v>
                </c:pt>
                <c:pt idx="5">
                  <c:v>0.11</c:v>
                </c:pt>
                <c:pt idx="6">
                  <c:v>0.13</c:v>
                </c:pt>
                <c:pt idx="7">
                  <c:v>0.1</c:v>
                </c:pt>
                <c:pt idx="8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28-4AC1-A1D7-911AE2CE71E3}"/>
            </c:ext>
          </c:extLst>
        </c:ser>
        <c:ser>
          <c:idx val="2"/>
          <c:order val="1"/>
          <c:tx>
            <c:strRef>
              <c:f>Hoja1!$D$1</c:f>
              <c:strCache>
                <c:ptCount val="1"/>
                <c:pt idx="0">
                  <c:v>General government final consumption expenditure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Hoja1!$A$2:$A$10</c:f>
              <c:strCache>
                <c:ptCount val="9"/>
                <c:pt idx="0">
                  <c:v>AUSTRIA</c:v>
                </c:pt>
                <c:pt idx="1">
                  <c:v>AUSTRALIA</c:v>
                </c:pt>
                <c:pt idx="2">
                  <c:v>CANADA</c:v>
                </c:pt>
                <c:pt idx="3">
                  <c:v>SERBIA</c:v>
                </c:pt>
                <c:pt idx="4">
                  <c:v>ARMENIA</c:v>
                </c:pt>
                <c:pt idx="5">
                  <c:v>UKRAINE</c:v>
                </c:pt>
                <c:pt idx="6">
                  <c:v>ARGENTINA</c:v>
                </c:pt>
                <c:pt idx="7">
                  <c:v>ISRAEL</c:v>
                </c:pt>
                <c:pt idx="8">
                  <c:v>MEXICO</c:v>
                </c:pt>
              </c:strCache>
            </c:strRef>
          </c:cat>
          <c:val>
            <c:numRef>
              <c:f>Hoja1!$D$2:$D$10</c:f>
              <c:numCache>
                <c:formatCode>0%</c:formatCode>
                <c:ptCount val="9"/>
                <c:pt idx="0">
                  <c:v>3.0000000000000002E-2</c:v>
                </c:pt>
                <c:pt idx="1">
                  <c:v>3.0000000000000002E-2</c:v>
                </c:pt>
                <c:pt idx="2">
                  <c:v>4.0000000000000008E-2</c:v>
                </c:pt>
                <c:pt idx="3">
                  <c:v>3.0000000000000002E-2</c:v>
                </c:pt>
                <c:pt idx="4">
                  <c:v>2.0000000000000004E-2</c:v>
                </c:pt>
                <c:pt idx="5">
                  <c:v>3.0000000000000002E-2</c:v>
                </c:pt>
                <c:pt idx="6">
                  <c:v>4.0000000000000008E-2</c:v>
                </c:pt>
                <c:pt idx="7">
                  <c:v>4.0000000000000008E-2</c:v>
                </c:pt>
                <c:pt idx="8">
                  <c:v>2.0000000000000004E-2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28-4AC1-A1D7-911AE2CE71E3}"/>
            </c:ext>
          </c:extLst>
        </c:ser>
        <c:ser>
          <c:idx val="3"/>
          <c:order val="2"/>
          <c:tx>
            <c:strRef>
              <c:f>Hoja1!$E$1</c:f>
              <c:strCache>
                <c:ptCount val="1"/>
                <c:pt idx="0">
                  <c:v>Gross capital formation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strRef>
              <c:f>Hoja1!$A$2:$A$10</c:f>
              <c:strCache>
                <c:ptCount val="9"/>
                <c:pt idx="0">
                  <c:v>AUSTRIA</c:v>
                </c:pt>
                <c:pt idx="1">
                  <c:v>AUSTRALIA</c:v>
                </c:pt>
                <c:pt idx="2">
                  <c:v>CANADA</c:v>
                </c:pt>
                <c:pt idx="3">
                  <c:v>SERBIA</c:v>
                </c:pt>
                <c:pt idx="4">
                  <c:v>ARMENIA</c:v>
                </c:pt>
                <c:pt idx="5">
                  <c:v>UKRAINE</c:v>
                </c:pt>
                <c:pt idx="6">
                  <c:v>ARGENTINA</c:v>
                </c:pt>
                <c:pt idx="7">
                  <c:v>ISRAEL</c:v>
                </c:pt>
                <c:pt idx="8">
                  <c:v>MEXICO</c:v>
                </c:pt>
              </c:strCache>
            </c:strRef>
          </c:cat>
          <c:val>
            <c:numRef>
              <c:f>Hoja1!$E$2:$E$10</c:f>
              <c:numCache>
                <c:formatCode>0%</c:formatCode>
                <c:ptCount val="9"/>
                <c:pt idx="0">
                  <c:v>4.5000000000000005E-2</c:v>
                </c:pt>
                <c:pt idx="1">
                  <c:v>0.05</c:v>
                </c:pt>
                <c:pt idx="2">
                  <c:v>4.0000000000000008E-2</c:v>
                </c:pt>
                <c:pt idx="3">
                  <c:v>3.0000000000000002E-2</c:v>
                </c:pt>
                <c:pt idx="4">
                  <c:v>4.0000000000000008E-2</c:v>
                </c:pt>
                <c:pt idx="5">
                  <c:v>3.0000000000000002E-2</c:v>
                </c:pt>
                <c:pt idx="6">
                  <c:v>3.0000000000000002E-2</c:v>
                </c:pt>
                <c:pt idx="7">
                  <c:v>4.0000000000000008E-2</c:v>
                </c:pt>
                <c:pt idx="8">
                  <c:v>4.0000000000000008E-2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128-4AC1-A1D7-911AE2CE71E3}"/>
            </c:ext>
          </c:extLst>
        </c:ser>
        <c:ser>
          <c:idx val="5"/>
          <c:order val="3"/>
          <c:tx>
            <c:strRef>
              <c:f>Hoja1!$G$1</c:f>
              <c:strCache>
                <c:ptCount val="1"/>
                <c:pt idx="0">
                  <c:v>Changes in inventories</c:v>
                </c:pt>
              </c:strCache>
            </c:strRef>
          </c:tx>
          <c:invertIfNegative val="0"/>
          <c:cat>
            <c:strRef>
              <c:f>Hoja1!$A$2:$A$10</c:f>
              <c:strCache>
                <c:ptCount val="9"/>
                <c:pt idx="0">
                  <c:v>AUSTRIA</c:v>
                </c:pt>
                <c:pt idx="1">
                  <c:v>AUSTRALIA</c:v>
                </c:pt>
                <c:pt idx="2">
                  <c:v>CANADA</c:v>
                </c:pt>
                <c:pt idx="3">
                  <c:v>SERBIA</c:v>
                </c:pt>
                <c:pt idx="4">
                  <c:v>ARMENIA</c:v>
                </c:pt>
                <c:pt idx="5">
                  <c:v>UKRAINE</c:v>
                </c:pt>
                <c:pt idx="6">
                  <c:v>ARGENTINA</c:v>
                </c:pt>
                <c:pt idx="7">
                  <c:v>ISRAEL</c:v>
                </c:pt>
                <c:pt idx="8">
                  <c:v>MEXICO</c:v>
                </c:pt>
              </c:strCache>
            </c:strRef>
          </c:cat>
          <c:val>
            <c:numRef>
              <c:f>Hoja1!$G$2:$G$10</c:f>
              <c:numCache>
                <c:formatCode>0%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128-4AC1-A1D7-911AE2CE71E3}"/>
            </c:ext>
          </c:extLst>
        </c:ser>
        <c:ser>
          <c:idx val="6"/>
          <c:order val="4"/>
          <c:tx>
            <c:strRef>
              <c:f>Hoja1!$H$1</c:f>
              <c:strCache>
                <c:ptCount val="1"/>
                <c:pt idx="0">
                  <c:v>Exports of goods and services</c:v>
                </c:pt>
              </c:strCache>
            </c:strRef>
          </c:tx>
          <c:spPr>
            <a:solidFill>
              <a:srgbClr val="002060"/>
            </a:solidFill>
          </c:spPr>
          <c:invertIfNegative val="0"/>
          <c:cat>
            <c:strRef>
              <c:f>Hoja1!$A$2:$A$10</c:f>
              <c:strCache>
                <c:ptCount val="9"/>
                <c:pt idx="0">
                  <c:v>AUSTRIA</c:v>
                </c:pt>
                <c:pt idx="1">
                  <c:v>AUSTRALIA</c:v>
                </c:pt>
                <c:pt idx="2">
                  <c:v>CANADA</c:v>
                </c:pt>
                <c:pt idx="3">
                  <c:v>SERBIA</c:v>
                </c:pt>
                <c:pt idx="4">
                  <c:v>ARMENIA</c:v>
                </c:pt>
                <c:pt idx="5">
                  <c:v>UKRAINE</c:v>
                </c:pt>
                <c:pt idx="6">
                  <c:v>ARGENTINA</c:v>
                </c:pt>
                <c:pt idx="7">
                  <c:v>ISRAEL</c:v>
                </c:pt>
                <c:pt idx="8">
                  <c:v>MEXICO</c:v>
                </c:pt>
              </c:strCache>
            </c:strRef>
          </c:cat>
          <c:val>
            <c:numRef>
              <c:f>Hoja1!$H$2:$H$10</c:f>
              <c:numCache>
                <c:formatCode>0%</c:formatCode>
                <c:ptCount val="9"/>
                <c:pt idx="0">
                  <c:v>9.0000000000000011E-2</c:v>
                </c:pt>
                <c:pt idx="1">
                  <c:v>4.0000000000000008E-2</c:v>
                </c:pt>
                <c:pt idx="2">
                  <c:v>6.0000000000000005E-2</c:v>
                </c:pt>
                <c:pt idx="3">
                  <c:v>8.0000000000000016E-2</c:v>
                </c:pt>
                <c:pt idx="4">
                  <c:v>0.05</c:v>
                </c:pt>
                <c:pt idx="5">
                  <c:v>9.0000000000000011E-2</c:v>
                </c:pt>
                <c:pt idx="6">
                  <c:v>2.0000000000000004E-2</c:v>
                </c:pt>
                <c:pt idx="7">
                  <c:v>6.0000000000000005E-2</c:v>
                </c:pt>
                <c:pt idx="8">
                  <c:v>6.0000000000000005E-2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128-4AC1-A1D7-911AE2CE71E3}"/>
            </c:ext>
          </c:extLst>
        </c:ser>
        <c:ser>
          <c:idx val="7"/>
          <c:order val="5"/>
          <c:tx>
            <c:strRef>
              <c:f>Hoja1!$I$1</c:f>
              <c:strCache>
                <c:ptCount val="1"/>
                <c:pt idx="0">
                  <c:v>Imports of goods and services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</c:spPr>
          <c:invertIfNegative val="0"/>
          <c:cat>
            <c:strRef>
              <c:f>Hoja1!$A$2:$A$10</c:f>
              <c:strCache>
                <c:ptCount val="9"/>
                <c:pt idx="0">
                  <c:v>AUSTRIA</c:v>
                </c:pt>
                <c:pt idx="1">
                  <c:v>AUSTRALIA</c:v>
                </c:pt>
                <c:pt idx="2">
                  <c:v>CANADA</c:v>
                </c:pt>
                <c:pt idx="3">
                  <c:v>SERBIA</c:v>
                </c:pt>
                <c:pt idx="4">
                  <c:v>ARMENIA</c:v>
                </c:pt>
                <c:pt idx="5">
                  <c:v>UKRAINE</c:v>
                </c:pt>
                <c:pt idx="6">
                  <c:v>ARGENTINA</c:v>
                </c:pt>
                <c:pt idx="7">
                  <c:v>ISRAEL</c:v>
                </c:pt>
                <c:pt idx="8">
                  <c:v>MEXICO</c:v>
                </c:pt>
              </c:strCache>
            </c:strRef>
          </c:cat>
          <c:val>
            <c:numRef>
              <c:f>Hoja1!$I$2:$I$10</c:f>
              <c:numCache>
                <c:formatCode>0%</c:formatCode>
                <c:ptCount val="9"/>
                <c:pt idx="0">
                  <c:v>8.0000000000000016E-2</c:v>
                </c:pt>
                <c:pt idx="1">
                  <c:v>4.0000000000000008E-2</c:v>
                </c:pt>
                <c:pt idx="2">
                  <c:v>6.0000000000000005E-2</c:v>
                </c:pt>
                <c:pt idx="3">
                  <c:v>9.0000000000000011E-2</c:v>
                </c:pt>
                <c:pt idx="4">
                  <c:v>7.0000000000000021E-2</c:v>
                </c:pt>
                <c:pt idx="5">
                  <c:v>9.0000000000000011E-2</c:v>
                </c:pt>
                <c:pt idx="6">
                  <c:v>2.0000000000000004E-2</c:v>
                </c:pt>
                <c:pt idx="7">
                  <c:v>0.05</c:v>
                </c:pt>
                <c:pt idx="8">
                  <c:v>6.0000000000000005E-2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128-4AC1-A1D7-911AE2CE7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6458624"/>
        <c:axId val="226505472"/>
      </c:barChart>
      <c:catAx>
        <c:axId val="2264586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solidFill>
            <a:schemeClr val="bg1"/>
          </a:solidFill>
        </c:spPr>
        <c:crossAx val="226505472"/>
        <c:crosses val="autoZero"/>
        <c:auto val="1"/>
        <c:lblAlgn val="ctr"/>
        <c:lblOffset val="100"/>
        <c:noMultiLvlLbl val="0"/>
      </c:catAx>
      <c:valAx>
        <c:axId val="226505472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2264586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4501524651508246"/>
          <c:y val="1.9180137790281875E-2"/>
          <c:w val="0.33717020163598943"/>
          <c:h val="0.979841685931603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Paso</dc:creator>
  <cp:lastModifiedBy>Federico Lopez</cp:lastModifiedBy>
  <cp:revision>6</cp:revision>
  <dcterms:created xsi:type="dcterms:W3CDTF">2021-06-10T18:29:00Z</dcterms:created>
  <dcterms:modified xsi:type="dcterms:W3CDTF">2021-06-11T04:26:00Z</dcterms:modified>
</cp:coreProperties>
</file>