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C595" w14:textId="29057648" w:rsidR="00495C40" w:rsidRDefault="00DE3376">
      <w:r w:rsidRPr="00DE3376">
        <w:t xml:space="preserve">La falta claridad del lenguaje jurídico es un tema que </w:t>
      </w:r>
      <w:r>
        <w:t>afecta</w:t>
      </w:r>
      <w:r w:rsidRPr="00DE3376">
        <w:t xml:space="preserve"> la vida de todos los miembros de la sociedad embebidos en el sistema jurídico </w:t>
      </w:r>
      <w:r>
        <w:t xml:space="preserve">e implica a </w:t>
      </w:r>
      <w:r w:rsidRPr="00DE3376">
        <w:t xml:space="preserve">los derechos civiles de los ciudadanos. Se querrá demostrar cómo </w:t>
      </w:r>
      <w:r>
        <w:t>un lenguaje jurídico que no es claro, moderno y disponible</w:t>
      </w:r>
      <w:r w:rsidRPr="00DE3376">
        <w:t xml:space="preserve"> previene el correcto acceso a la justicia tal como se lo reconoce un derecho humano. Lo que se propone es que la ausencia de claridad y retraso en la modernización de las pr</w:t>
      </w:r>
      <w:r>
        <w:t>á</w:t>
      </w:r>
      <w:r w:rsidRPr="00DE3376">
        <w:t>cticas comunicativas en el ámbito jurídico contraviene las normas y los estándares de derechos humanos en materia de acceso a la justicia.</w:t>
      </w:r>
    </w:p>
    <w:sectPr w:rsidR="0049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6"/>
    <w:rsid w:val="001F4737"/>
    <w:rsid w:val="009F7086"/>
    <w:rsid w:val="00D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8360"/>
  <w15:chartTrackingRefBased/>
  <w15:docId w15:val="{0D1363E1-55CD-48EC-ABD2-B388B63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2</cp:revision>
  <dcterms:created xsi:type="dcterms:W3CDTF">2021-05-12T19:25:00Z</dcterms:created>
  <dcterms:modified xsi:type="dcterms:W3CDTF">2021-05-12T19:28:00Z</dcterms:modified>
</cp:coreProperties>
</file>