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26B9" w14:textId="4D6ADFCD" w:rsidR="000C1AFE" w:rsidRPr="000C1AFE" w:rsidRDefault="000C1AFE" w:rsidP="000C1AF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1AFE">
        <w:rPr>
          <w:rFonts w:ascii="Times New Roman" w:hAnsi="Times New Roman" w:cs="Times New Roman"/>
          <w:sz w:val="24"/>
          <w:szCs w:val="24"/>
        </w:rPr>
        <w:t xml:space="preserve">TP 6 </w:t>
      </w:r>
      <w:r>
        <w:rPr>
          <w:rFonts w:ascii="Times New Roman" w:hAnsi="Times New Roman" w:cs="Times New Roman"/>
          <w:sz w:val="24"/>
          <w:szCs w:val="24"/>
        </w:rPr>
        <w:t>[INTRODUCCIÓN]</w:t>
      </w:r>
    </w:p>
    <w:p w14:paraId="45B58AC8" w14:textId="77777777" w:rsidR="000C1AFE" w:rsidRPr="000C1AFE" w:rsidRDefault="000C1AFE" w:rsidP="000C1AF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1AFE">
        <w:rPr>
          <w:rFonts w:ascii="Times New Roman" w:hAnsi="Times New Roman" w:cs="Times New Roman"/>
          <w:sz w:val="24"/>
          <w:szCs w:val="24"/>
        </w:rPr>
        <w:t xml:space="preserve">Este trabajo parte de los estudios que se han realizado en materia de la claridad en el lenguaje jurídico e intenta delinear algunos asuntos relacionados con la manifestación de esta problemática en la sociedad. Se explicará este problema en dos secciones. La primera estará referida a la función del lenguaje jurídico como género discursivo y sus exigencias en particular, desde la teoría lingüística de Bajtín (1999). Luego, se tratarán algunas consecuencias del lenguaje poco claro conjugadas en la limitación del acceso a la justicia, la deslegitimación del derecho y la ausencia de transparencia. El objetivo será contribuir a la defensa de aclarar el lenguaje jurídico y de la multiplicación de normas que tengan como propósito que esa se vuelva una realidad práctica. </w:t>
      </w:r>
    </w:p>
    <w:p w14:paraId="067AA3C5" w14:textId="6099FFCF" w:rsidR="000C1AFE" w:rsidRPr="000C1AFE" w:rsidRDefault="000C1AFE" w:rsidP="000C1AF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C1AFE">
        <w:rPr>
          <w:rFonts w:ascii="Times New Roman" w:hAnsi="Times New Roman" w:cs="Times New Roman"/>
          <w:sz w:val="24"/>
          <w:szCs w:val="24"/>
        </w:rPr>
        <w:t>Se utilizará como base los textos de Graiewski (2019), Montolío Durán (2012), Poblete y Fuenzalida González (2018), al igual que el comentario de Cruz-Rubio (2020) sobre el texto de Montolío. Asimismo, se tomarán posturas expuestas por Böhmer (2019) y Carvajal (2019) en el congreso internacional de la lengua española. También, se recurrirá a datos recolectados por el Instituto Nacional de la Administración Pública (Staiano, 2021).</w:t>
      </w:r>
    </w:p>
    <w:sectPr w:rsidR="000C1AFE" w:rsidRPr="000C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FE"/>
    <w:rsid w:val="000C1AFE"/>
    <w:rsid w:val="001F4737"/>
    <w:rsid w:val="009F7086"/>
    <w:rsid w:val="00B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AEE3"/>
  <w15:chartTrackingRefBased/>
  <w15:docId w15:val="{F0345259-63AA-4BB2-8FF3-91ABC07B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2021-06-06T22:14:00Z</dcterms:created>
  <dcterms:modified xsi:type="dcterms:W3CDTF">2021-06-06T23:36:00Z</dcterms:modified>
</cp:coreProperties>
</file>