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F0" w:rsidRPr="00BF4516" w:rsidRDefault="00131BF0" w:rsidP="00131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center"/>
        <w:rPr>
          <w:rFonts w:ascii="Cambria" w:hAnsi="Cambria"/>
        </w:rPr>
      </w:pPr>
      <w:r w:rsidRPr="00BF4516">
        <w:rPr>
          <w:rFonts w:ascii="Cambria" w:hAnsi="Cambria"/>
        </w:rPr>
        <w:t>CLASE 4</w:t>
      </w:r>
    </w:p>
    <w:p w:rsidR="00131BF0" w:rsidRPr="00C7111A" w:rsidRDefault="00131BF0" w:rsidP="00131BF0">
      <w:pPr>
        <w:spacing w:line="276" w:lineRule="auto"/>
        <w:jc w:val="both"/>
        <w:rPr>
          <w:rFonts w:ascii="Cambria" w:hAnsi="Cambria"/>
        </w:rPr>
      </w:pPr>
      <w:r w:rsidRPr="00C7111A">
        <w:rPr>
          <w:rFonts w:ascii="Cambria" w:hAnsi="Cambria"/>
        </w:rPr>
        <w:t>Una comparación de fuentes consiste en un trabajo de escritura que revela no solo la lectura de textos fuente, sino también, la articulación de posiciones</w:t>
      </w:r>
      <w:r>
        <w:rPr>
          <w:rFonts w:ascii="Cambria" w:hAnsi="Cambria"/>
        </w:rPr>
        <w:t xml:space="preserve"> por parte del estudiante</w:t>
      </w:r>
      <w:r w:rsidRPr="00C7111A">
        <w:rPr>
          <w:rFonts w:ascii="Cambria" w:hAnsi="Cambria"/>
        </w:rPr>
        <w:t xml:space="preserve">. En ese sentido, la lectura comprensiva se conjugará con operaciones de análisis de alta demanda cognitiva para establecer relaciones textuales. Estas </w:t>
      </w:r>
      <w:r>
        <w:rPr>
          <w:rFonts w:ascii="Cambria" w:hAnsi="Cambria"/>
        </w:rPr>
        <w:t xml:space="preserve">relaciones </w:t>
      </w:r>
      <w:r w:rsidRPr="00C7111A">
        <w:rPr>
          <w:rFonts w:ascii="Cambria" w:hAnsi="Cambria"/>
        </w:rPr>
        <w:t xml:space="preserve">pueden ser de: </w:t>
      </w:r>
    </w:p>
    <w:p w:rsidR="00131BF0" w:rsidRPr="00C7111A" w:rsidRDefault="00131BF0" w:rsidP="00131BF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C7111A">
        <w:rPr>
          <w:rFonts w:ascii="Cambria" w:hAnsi="Cambria"/>
          <w:b/>
        </w:rPr>
        <w:t xml:space="preserve">COMPLEMENTACIÓN: </w:t>
      </w:r>
      <w:r w:rsidRPr="00C7111A">
        <w:rPr>
          <w:rFonts w:ascii="Cambria" w:hAnsi="Cambria"/>
        </w:rPr>
        <w:t xml:space="preserve">supone la operación de puesta en relación de ideas que </w:t>
      </w:r>
      <w:r w:rsidRPr="00C7111A">
        <w:rPr>
          <w:rFonts w:ascii="Cambria" w:hAnsi="Cambria"/>
          <w:b/>
        </w:rPr>
        <w:t>comparten</w:t>
      </w:r>
      <w:r w:rsidRPr="00C7111A">
        <w:rPr>
          <w:rFonts w:ascii="Cambria" w:hAnsi="Cambria"/>
        </w:rPr>
        <w:t xml:space="preserve"> enfoque, perspectiva y/o manera de posicionarse frente a una cuestión problemática. </w:t>
      </w:r>
    </w:p>
    <w:p w:rsidR="00131BF0" w:rsidRDefault="00131BF0" w:rsidP="00131BF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C7111A">
        <w:rPr>
          <w:rFonts w:ascii="Cambria" w:hAnsi="Cambria"/>
          <w:b/>
        </w:rPr>
        <w:t xml:space="preserve">CONFRONTACIÓN: </w:t>
      </w:r>
      <w:r w:rsidRPr="00C7111A">
        <w:rPr>
          <w:rFonts w:ascii="Cambria" w:hAnsi="Cambria"/>
        </w:rPr>
        <w:t xml:space="preserve">supone la operación de puesta en relación de ideas que </w:t>
      </w:r>
      <w:r w:rsidRPr="00C7111A">
        <w:rPr>
          <w:rFonts w:ascii="Cambria" w:hAnsi="Cambria"/>
          <w:b/>
        </w:rPr>
        <w:t xml:space="preserve">NO comparten </w:t>
      </w:r>
      <w:r w:rsidRPr="00C7111A">
        <w:rPr>
          <w:rFonts w:ascii="Cambria" w:hAnsi="Cambria"/>
        </w:rPr>
        <w:t xml:space="preserve">enfoque, perspectiva y/o manera de posicionarse frente a una cuestión problemática, antes bien, expresan disidencia. </w:t>
      </w:r>
    </w:p>
    <w:p w:rsidR="00131BF0" w:rsidRDefault="00131BF0" w:rsidP="00131BF0">
      <w:pPr>
        <w:pStyle w:val="Prrafodelista"/>
        <w:spacing w:line="276" w:lineRule="auto"/>
        <w:ind w:left="0"/>
        <w:jc w:val="both"/>
        <w:rPr>
          <w:rFonts w:ascii="Cambria" w:hAnsi="Cambria"/>
          <w:b/>
        </w:rPr>
      </w:pPr>
    </w:p>
    <w:p w:rsidR="00131BF0" w:rsidRPr="00C7111A" w:rsidRDefault="00131BF0" w:rsidP="00131BF0">
      <w:pPr>
        <w:pStyle w:val="Prrafodelista"/>
        <w:spacing w:line="276" w:lineRule="auto"/>
        <w:ind w:left="0"/>
        <w:jc w:val="both"/>
        <w:rPr>
          <w:rFonts w:ascii="Cambria" w:hAnsi="Cambria"/>
        </w:rPr>
      </w:pPr>
      <w:r w:rsidRPr="00C7111A">
        <w:rPr>
          <w:rFonts w:ascii="Cambria" w:hAnsi="Cambria"/>
        </w:rPr>
        <w:t>En el texto del estudiante, estas relaciones se expresan mediante el uso de conectores. El cuadro esquematiza algunas posibilidades y provee ejemp</w:t>
      </w:r>
      <w:r>
        <w:rPr>
          <w:rFonts w:ascii="Cambria" w:hAnsi="Cambria"/>
        </w:rPr>
        <w:t>los: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1BF0" w:rsidTr="003A6C3C">
        <w:tc>
          <w:tcPr>
            <w:tcW w:w="2831" w:type="dxa"/>
            <w:shd w:val="clear" w:color="auto" w:fill="DEEAF6" w:themeFill="accent1" w:themeFillTint="33"/>
          </w:tcPr>
          <w:p w:rsidR="00131BF0" w:rsidRPr="00E600F9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>
              <w:rPr>
                <w:b/>
              </w:rPr>
              <w:t>OPERACIÓN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131BF0" w:rsidRPr="00E600F9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>
              <w:rPr>
                <w:b/>
              </w:rPr>
              <w:t>CONECTORES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 w:rsidRPr="00E600F9">
              <w:rPr>
                <w:b/>
              </w:rPr>
              <w:t>EJEMPLO</w:t>
            </w: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  <w:p w:rsidR="00131BF0" w:rsidRPr="003F0656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>
              <w:rPr>
                <w:b/>
              </w:rPr>
              <w:t>COMPLEMENTACIÓN</w:t>
            </w: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Del mismo modo, tanto como, igualmente, de la misma manera, así mismo, de igual modo, coincidentemente, análogamente, de manera congruente. </w:t>
            </w: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</w:pPr>
          </w:p>
          <w:p w:rsidR="00131BF0" w:rsidRDefault="00131BF0" w:rsidP="003A6C3C">
            <w:pPr>
              <w:tabs>
                <w:tab w:val="left" w:pos="1570"/>
              </w:tabs>
              <w:jc w:val="both"/>
            </w:pPr>
            <w:r w:rsidRPr="00BC5857">
              <w:rPr>
                <w:b/>
              </w:rPr>
              <w:t xml:space="preserve">Tanto </w:t>
            </w:r>
            <w:r>
              <w:t xml:space="preserve">Bajtín </w:t>
            </w:r>
            <w:r w:rsidRPr="00BC5857">
              <w:rPr>
                <w:b/>
              </w:rPr>
              <w:t xml:space="preserve">como </w:t>
            </w:r>
            <w:proofErr w:type="spellStart"/>
            <w:r>
              <w:t>Seoane</w:t>
            </w:r>
            <w:proofErr w:type="spellEnd"/>
            <w:r>
              <w:t xml:space="preserve"> se ocupan de analizar el lenguaje en situaciones reales de comunicación. </w:t>
            </w: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  <w:p w:rsidR="00131BF0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 w:rsidRPr="003F0656">
              <w:rPr>
                <w:b/>
              </w:rPr>
              <w:t>CONFRONTACIÓN</w:t>
            </w:r>
          </w:p>
          <w:p w:rsidR="00131BF0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  <w:p w:rsidR="00131BF0" w:rsidRPr="003F0656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De manera contraria, antes bien, contrariamente, en cambio, de otra manera, opuestamente, de otro modo, de modo contrapuesto. </w:t>
            </w: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</w:pPr>
          </w:p>
          <w:p w:rsidR="00131BF0" w:rsidRPr="00BC5857" w:rsidRDefault="00131BF0" w:rsidP="003A6C3C">
            <w:pPr>
              <w:tabs>
                <w:tab w:val="left" w:pos="1570"/>
              </w:tabs>
              <w:jc w:val="both"/>
            </w:pPr>
            <w:r>
              <w:t xml:space="preserve">Bajtín propone la categoría </w:t>
            </w:r>
            <w:r>
              <w:rPr>
                <w:i/>
              </w:rPr>
              <w:t xml:space="preserve">géneros discursivos, </w:t>
            </w:r>
            <w:r w:rsidRPr="00BC5857">
              <w:rPr>
                <w:b/>
              </w:rPr>
              <w:t>en cambio</w:t>
            </w:r>
            <w:r>
              <w:t xml:space="preserve">, </w:t>
            </w:r>
            <w:proofErr w:type="spellStart"/>
            <w:r>
              <w:t>Seoane</w:t>
            </w:r>
            <w:proofErr w:type="spellEnd"/>
            <w:r>
              <w:t xml:space="preserve"> se vale de ella para analizar los géneros académicos con propósitos didácticos.</w:t>
            </w:r>
          </w:p>
        </w:tc>
      </w:tr>
    </w:tbl>
    <w:p w:rsidR="00131BF0" w:rsidRDefault="00131BF0" w:rsidP="00131BF0">
      <w:pPr>
        <w:tabs>
          <w:tab w:val="left" w:pos="1570"/>
        </w:tabs>
      </w:pPr>
    </w:p>
    <w:p w:rsidR="00131BF0" w:rsidRDefault="00131BF0" w:rsidP="00131BF0">
      <w:pPr>
        <w:tabs>
          <w:tab w:val="left" w:pos="1570"/>
        </w:tabs>
        <w:rPr>
          <w:rFonts w:ascii="Cambria" w:hAnsi="Cambria"/>
        </w:rPr>
      </w:pPr>
      <w:r w:rsidRPr="00CA52A8">
        <w:rPr>
          <w:rFonts w:ascii="Cambria" w:hAnsi="Cambria"/>
        </w:rPr>
        <w:t>Una regla para pensar cone</w:t>
      </w:r>
      <w:r>
        <w:rPr>
          <w:rFonts w:ascii="Cambria" w:hAnsi="Cambria"/>
        </w:rPr>
        <w:t xml:space="preserve">ctores puede ser la siguiente: </w:t>
      </w:r>
    </w:p>
    <w:p w:rsidR="00131BF0" w:rsidRPr="00CA52A8" w:rsidRDefault="00131BF0" w:rsidP="00131BF0">
      <w:pPr>
        <w:tabs>
          <w:tab w:val="left" w:pos="1570"/>
        </w:tabs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1BF0" w:rsidTr="003A6C3C">
        <w:tc>
          <w:tcPr>
            <w:tcW w:w="2831" w:type="dxa"/>
            <w:shd w:val="clear" w:color="auto" w:fill="DEEAF6" w:themeFill="accent1" w:themeFillTint="33"/>
          </w:tcPr>
          <w:p w:rsidR="00131BF0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 w:rsidRPr="00371462">
              <w:rPr>
                <w:b/>
              </w:rPr>
              <w:t>Complementación</w:t>
            </w:r>
          </w:p>
          <w:p w:rsidR="00131BF0" w:rsidRPr="00371462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</w:tc>
        <w:tc>
          <w:tcPr>
            <w:tcW w:w="2831" w:type="dxa"/>
            <w:shd w:val="clear" w:color="auto" w:fill="DEEAF6" w:themeFill="accent1" w:themeFillTint="33"/>
          </w:tcPr>
          <w:p w:rsidR="00131BF0" w:rsidRPr="00371462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</w:p>
        </w:tc>
        <w:tc>
          <w:tcPr>
            <w:tcW w:w="2832" w:type="dxa"/>
            <w:shd w:val="clear" w:color="auto" w:fill="DEEAF6" w:themeFill="accent1" w:themeFillTint="33"/>
          </w:tcPr>
          <w:p w:rsidR="00131BF0" w:rsidRPr="00371462" w:rsidRDefault="00131BF0" w:rsidP="003A6C3C">
            <w:pPr>
              <w:tabs>
                <w:tab w:val="left" w:pos="1570"/>
              </w:tabs>
              <w:jc w:val="center"/>
              <w:rPr>
                <w:b/>
              </w:rPr>
            </w:pPr>
            <w:r w:rsidRPr="00371462">
              <w:rPr>
                <w:b/>
              </w:rPr>
              <w:t>Confrontación</w:t>
            </w: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>A partir de una visión</w:t>
            </w:r>
            <w:r w:rsidRPr="00CA52A8">
              <w:rPr>
                <w:b/>
              </w:rPr>
              <w:t xml:space="preserve"> similar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>
              <w:t>Visión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Desde una visión </w:t>
            </w:r>
            <w:r w:rsidRPr="00371462">
              <w:rPr>
                <w:b/>
              </w:rPr>
              <w:t>diferente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Partiendo de una mirada </w:t>
            </w:r>
            <w:r w:rsidRPr="00CA52A8">
              <w:rPr>
                <w:b/>
              </w:rPr>
              <w:t>análoga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>
              <w:t>Mirada</w:t>
            </w: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A partir de una mirada </w:t>
            </w:r>
            <w:r w:rsidRPr="00371462">
              <w:rPr>
                <w:b/>
              </w:rPr>
              <w:t>contraria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Desde una perspectiva </w:t>
            </w:r>
            <w:r w:rsidRPr="00CA52A8">
              <w:rPr>
                <w:b/>
              </w:rPr>
              <w:t>semejante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>
              <w:t>Perspectiva</w:t>
            </w:r>
          </w:p>
          <w:p w:rsidR="00131BF0" w:rsidRDefault="00131BF0" w:rsidP="003A6C3C">
            <w:pPr>
              <w:tabs>
                <w:tab w:val="left" w:pos="1570"/>
              </w:tabs>
              <w:jc w:val="center"/>
            </w:pP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  <w:rPr>
                <w:b/>
              </w:rPr>
            </w:pPr>
            <w:r>
              <w:t xml:space="preserve">Posicionado en una perspectiva </w:t>
            </w:r>
            <w:r w:rsidRPr="00371462">
              <w:rPr>
                <w:b/>
              </w:rPr>
              <w:t>contrapuesta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Ubicado en una posición </w:t>
            </w:r>
            <w:r w:rsidRPr="00CA52A8">
              <w:rPr>
                <w:b/>
              </w:rPr>
              <w:t>compartida</w:t>
            </w: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>
              <w:t>Posición</w:t>
            </w:r>
          </w:p>
          <w:p w:rsidR="00131BF0" w:rsidRDefault="00131BF0" w:rsidP="003A6C3C">
            <w:pPr>
              <w:tabs>
                <w:tab w:val="left" w:pos="1570"/>
              </w:tabs>
              <w:jc w:val="center"/>
            </w:pP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Ubicado en una posición </w:t>
            </w:r>
            <w:r w:rsidRPr="00CA52A8">
              <w:rPr>
                <w:b/>
              </w:rPr>
              <w:t>distinta</w:t>
            </w:r>
          </w:p>
        </w:tc>
      </w:tr>
      <w:tr w:rsidR="00131BF0" w:rsidTr="003A6C3C"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</w:pPr>
            <w:r>
              <w:t xml:space="preserve">Desde un enfoque </w:t>
            </w:r>
            <w:r w:rsidRPr="00CA52A8">
              <w:rPr>
                <w:b/>
              </w:rPr>
              <w:t>parecido</w:t>
            </w:r>
          </w:p>
        </w:tc>
        <w:tc>
          <w:tcPr>
            <w:tcW w:w="2831" w:type="dxa"/>
          </w:tcPr>
          <w:p w:rsidR="00131BF0" w:rsidRDefault="00131BF0" w:rsidP="003A6C3C">
            <w:pPr>
              <w:tabs>
                <w:tab w:val="left" w:pos="1570"/>
              </w:tabs>
              <w:jc w:val="center"/>
            </w:pPr>
            <w:r>
              <w:t>Enfoque</w:t>
            </w:r>
          </w:p>
          <w:p w:rsidR="00131BF0" w:rsidRDefault="00131BF0" w:rsidP="003A6C3C">
            <w:pPr>
              <w:tabs>
                <w:tab w:val="left" w:pos="1570"/>
              </w:tabs>
              <w:jc w:val="center"/>
            </w:pPr>
          </w:p>
        </w:tc>
        <w:tc>
          <w:tcPr>
            <w:tcW w:w="2832" w:type="dxa"/>
          </w:tcPr>
          <w:p w:rsidR="00131BF0" w:rsidRDefault="00131BF0" w:rsidP="003A6C3C">
            <w:pPr>
              <w:tabs>
                <w:tab w:val="left" w:pos="1570"/>
              </w:tabs>
              <w:rPr>
                <w:b/>
              </w:rPr>
            </w:pPr>
            <w:r w:rsidRPr="00371462">
              <w:t>Desde un enfoque</w:t>
            </w:r>
            <w:r>
              <w:rPr>
                <w:b/>
              </w:rPr>
              <w:t xml:space="preserve"> opuesto</w:t>
            </w:r>
          </w:p>
          <w:p w:rsidR="00131BF0" w:rsidRDefault="00131BF0" w:rsidP="003A6C3C">
            <w:pPr>
              <w:tabs>
                <w:tab w:val="left" w:pos="1570"/>
              </w:tabs>
            </w:pPr>
          </w:p>
        </w:tc>
      </w:tr>
    </w:tbl>
    <w:p w:rsidR="00131BF0" w:rsidRDefault="00131BF0" w:rsidP="00131BF0">
      <w:pPr>
        <w:tabs>
          <w:tab w:val="left" w:pos="1570"/>
        </w:tabs>
      </w:pPr>
    </w:p>
    <w:p w:rsidR="00131BF0" w:rsidRPr="00932DB8" w:rsidRDefault="00131BF0" w:rsidP="00131BF0">
      <w:pPr>
        <w:tabs>
          <w:tab w:val="left" w:pos="1570"/>
        </w:tabs>
        <w:spacing w:line="276" w:lineRule="auto"/>
        <w:jc w:val="both"/>
        <w:rPr>
          <w:rFonts w:ascii="Cambria" w:hAnsi="Cambria"/>
        </w:rPr>
      </w:pPr>
      <w:r w:rsidRPr="00932DB8">
        <w:rPr>
          <w:rFonts w:ascii="Cambria" w:hAnsi="Cambria"/>
        </w:rPr>
        <w:t xml:space="preserve">Por último, podemos advertir los diferentes usos que los verbos de decir tienen en este tipo de textos. </w:t>
      </w:r>
    </w:p>
    <w:p w:rsidR="00131BF0" w:rsidRPr="00932DB8" w:rsidRDefault="00131BF0" w:rsidP="00131BF0">
      <w:pPr>
        <w:pStyle w:val="Prrafodelista"/>
        <w:numPr>
          <w:ilvl w:val="0"/>
          <w:numId w:val="2"/>
        </w:numPr>
        <w:tabs>
          <w:tab w:val="left" w:pos="1570"/>
        </w:tabs>
        <w:rPr>
          <w:rFonts w:ascii="Cambria" w:hAnsi="Cambria"/>
        </w:rPr>
      </w:pPr>
      <w:r w:rsidRPr="00932DB8">
        <w:rPr>
          <w:rFonts w:ascii="Cambria" w:hAnsi="Cambria"/>
          <w:b/>
        </w:rPr>
        <w:t>Neutralidad:</w:t>
      </w:r>
      <w:r w:rsidRPr="00932DB8">
        <w:rPr>
          <w:rFonts w:ascii="Cambria" w:hAnsi="Cambria"/>
        </w:rPr>
        <w:t xml:space="preserve"> “expresar”, “declarar”, “afirmar”, “aseverar”, “sostener”, “explicar”, “señalar”. </w:t>
      </w:r>
    </w:p>
    <w:p w:rsidR="00131BF0" w:rsidRPr="00932DB8" w:rsidRDefault="00131BF0" w:rsidP="00131BF0">
      <w:pPr>
        <w:pStyle w:val="Prrafodelista"/>
        <w:numPr>
          <w:ilvl w:val="0"/>
          <w:numId w:val="2"/>
        </w:numPr>
        <w:tabs>
          <w:tab w:val="left" w:pos="1570"/>
        </w:tabs>
        <w:rPr>
          <w:rFonts w:ascii="Cambria" w:hAnsi="Cambria"/>
        </w:rPr>
      </w:pPr>
      <w:r w:rsidRPr="00932DB8">
        <w:rPr>
          <w:rFonts w:ascii="Cambria" w:hAnsi="Cambria"/>
          <w:b/>
        </w:rPr>
        <w:t>Acuerdo:</w:t>
      </w:r>
      <w:r w:rsidRPr="00932DB8">
        <w:rPr>
          <w:rFonts w:ascii="Cambria" w:hAnsi="Cambria"/>
        </w:rPr>
        <w:t xml:space="preserve"> “coincidir con”, “acordar con”, “rescatar”.</w:t>
      </w:r>
    </w:p>
    <w:p w:rsidR="00131BF0" w:rsidRDefault="00131BF0" w:rsidP="00131BF0">
      <w:pPr>
        <w:pStyle w:val="Prrafodelista"/>
        <w:numPr>
          <w:ilvl w:val="0"/>
          <w:numId w:val="2"/>
        </w:numPr>
        <w:tabs>
          <w:tab w:val="left" w:pos="1570"/>
        </w:tabs>
        <w:rPr>
          <w:rFonts w:ascii="Cambria" w:hAnsi="Cambria"/>
        </w:rPr>
      </w:pPr>
      <w:r w:rsidRPr="00932DB8">
        <w:rPr>
          <w:rFonts w:ascii="Cambria" w:hAnsi="Cambria"/>
          <w:b/>
        </w:rPr>
        <w:t>Desacuerdo:</w:t>
      </w:r>
      <w:r w:rsidRPr="00932DB8">
        <w:rPr>
          <w:rFonts w:ascii="Cambria" w:hAnsi="Cambria"/>
        </w:rPr>
        <w:t xml:space="preserve"> “contestar”, “cuestionar”, “criticar”, “acusar”, “replicar”, “refutar”, “objetar”. </w:t>
      </w:r>
    </w:p>
    <w:p w:rsidR="00DC6ABA" w:rsidRDefault="00DC6ABA">
      <w:bookmarkStart w:id="0" w:name="_GoBack"/>
      <w:bookmarkEnd w:id="0"/>
    </w:p>
    <w:sectPr w:rsidR="00DC6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61C8"/>
    <w:multiLevelType w:val="hybridMultilevel"/>
    <w:tmpl w:val="09C07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309D3"/>
    <w:multiLevelType w:val="hybridMultilevel"/>
    <w:tmpl w:val="44865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F0"/>
    <w:rsid w:val="00131BF0"/>
    <w:rsid w:val="00D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4E82E-B173-4912-A122-70FCFDC7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BF0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BF0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1</cp:revision>
  <dcterms:created xsi:type="dcterms:W3CDTF">2020-04-01T17:18:00Z</dcterms:created>
  <dcterms:modified xsi:type="dcterms:W3CDTF">2020-04-01T17:18:00Z</dcterms:modified>
</cp:coreProperties>
</file>