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CLASE TUTORIAL</w:t>
      </w: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u w:val="single"/>
          <w:rtl w:val="0"/>
        </w:rPr>
        <w:t xml:space="preserve">Lectura</w:t>
      </w:r>
      <w:r w:rsidDel="00000000" w:rsidR="00000000" w:rsidRPr="00000000">
        <w:rPr>
          <w:rtl w:val="0"/>
        </w:rPr>
        <w:t xml:space="preserve">: Eley, Geoff, </w:t>
      </w:r>
      <w:r w:rsidDel="00000000" w:rsidR="00000000" w:rsidRPr="00000000">
        <w:rPr>
          <w:i w:val="1"/>
          <w:rtl w:val="0"/>
        </w:rPr>
        <w:t xml:space="preserve">Un mundo que ganar: historia de la izquierda en Europa, 1850-2000</w:t>
      </w:r>
      <w:r w:rsidDel="00000000" w:rsidR="00000000" w:rsidRPr="00000000">
        <w:rPr>
          <w:rtl w:val="0"/>
        </w:rPr>
        <w:t xml:space="preserve">, Barcelona, Crítica, 2004, Capítulo: “La democracia en Europa” </w:t>
      </w:r>
    </w:p>
    <w:p w:rsidR="00000000" w:rsidDel="00000000" w:rsidP="00000000" w:rsidRDefault="00000000" w:rsidRPr="00000000" w14:paraId="00000003">
      <w:pPr>
        <w:numPr>
          <w:ilvl w:val="0"/>
          <w:numId w:val="1"/>
        </w:numPr>
        <w:spacing w:line="360" w:lineRule="auto"/>
        <w:ind w:left="720" w:hanging="360"/>
        <w:jc w:val="both"/>
        <w:rPr>
          <w:u w:val="none"/>
        </w:rPr>
      </w:pPr>
      <w:r w:rsidDel="00000000" w:rsidR="00000000" w:rsidRPr="00000000">
        <w:rPr>
          <w:rtl w:val="0"/>
        </w:rPr>
        <w:t xml:space="preserve">La democracia como una realidad</w:t>
      </w:r>
    </w:p>
    <w:p w:rsidR="00000000" w:rsidDel="00000000" w:rsidP="00000000" w:rsidRDefault="00000000" w:rsidRPr="00000000" w14:paraId="00000004">
      <w:pPr>
        <w:numPr>
          <w:ilvl w:val="1"/>
          <w:numId w:val="1"/>
        </w:numPr>
        <w:spacing w:line="360" w:lineRule="auto"/>
        <w:ind w:left="1440" w:hanging="360"/>
        <w:jc w:val="both"/>
        <w:rPr>
          <w:color w:val="ff9900"/>
        </w:rPr>
      </w:pPr>
      <w:r w:rsidDel="00000000" w:rsidR="00000000" w:rsidRPr="00000000">
        <w:rPr>
          <w:color w:val="ff9900"/>
          <w:rtl w:val="0"/>
        </w:rPr>
        <w:t xml:space="preserve">“La democracia en Europa ha sido un fenómeno frágil, discutido, inacabado y relativamente reciente. Data de la crisis revolucionaria que siguió a la Primera Guerra Mundial y pasó de manera fugaz antes de ser barrida brutalmente. Hasta después de 1945, como resultado de la victoria frente al fascismo, no se conservaron realmente los bienes democráticos. Incluso entonces, en la Europa del Este socialista sobrevino de inmediato una contrarrevolución estalinista, al tiempo que en la periferia meridional España, Portugal y Grecia eran gobernadas por dictaduras derechistas. Cuando finalmente también en estas regiones se crearon sistemas de gobierno democráticos, la democracia se convirtió en una realidad general de Europa” </w:t>
      </w:r>
      <w:r w:rsidDel="00000000" w:rsidR="00000000" w:rsidRPr="00000000">
        <w:rPr>
          <w:rtl w:val="0"/>
        </w:rPr>
      </w:r>
    </w:p>
    <w:p w:rsidR="00000000" w:rsidDel="00000000" w:rsidP="00000000" w:rsidRDefault="00000000" w:rsidRPr="00000000" w14:paraId="00000005">
      <w:pPr>
        <w:numPr>
          <w:ilvl w:val="1"/>
          <w:numId w:val="1"/>
        </w:numPr>
        <w:spacing w:line="360" w:lineRule="auto"/>
        <w:ind w:left="1440" w:hanging="360"/>
        <w:jc w:val="both"/>
        <w:rPr>
          <w:u w:val="none"/>
        </w:rPr>
      </w:pPr>
      <w:r w:rsidDel="00000000" w:rsidR="00000000" w:rsidRPr="00000000">
        <w:rPr>
          <w:rtl w:val="0"/>
        </w:rPr>
        <w:t xml:space="preserve">Entre 1918 y 1945, se empezaron a dar las circunstancias revolucionarios que le dieron lugar a que en 1945 se instalen las políticas democráticas</w:t>
      </w:r>
    </w:p>
    <w:p w:rsidR="00000000" w:rsidDel="00000000" w:rsidP="00000000" w:rsidRDefault="00000000" w:rsidRPr="00000000" w14:paraId="00000006">
      <w:pPr>
        <w:numPr>
          <w:ilvl w:val="0"/>
          <w:numId w:val="1"/>
        </w:numPr>
        <w:spacing w:line="360" w:lineRule="auto"/>
        <w:ind w:left="720" w:hanging="360"/>
        <w:jc w:val="both"/>
        <w:rPr>
          <w:u w:val="none"/>
        </w:rPr>
      </w:pPr>
      <w:r w:rsidDel="00000000" w:rsidR="00000000" w:rsidRPr="00000000">
        <w:rPr>
          <w:rtl w:val="0"/>
        </w:rPr>
        <w:t xml:space="preserve">Definiciones de Democracia</w:t>
      </w:r>
    </w:p>
    <w:p w:rsidR="00000000" w:rsidDel="00000000" w:rsidP="00000000" w:rsidRDefault="00000000" w:rsidRPr="00000000" w14:paraId="00000007">
      <w:pPr>
        <w:numPr>
          <w:ilvl w:val="1"/>
          <w:numId w:val="1"/>
        </w:numPr>
        <w:spacing w:line="360" w:lineRule="auto"/>
        <w:ind w:left="1440" w:hanging="360"/>
        <w:jc w:val="both"/>
        <w:rPr>
          <w:color w:val="ff9900"/>
        </w:rPr>
      </w:pPr>
      <w:r w:rsidDel="00000000" w:rsidR="00000000" w:rsidRPr="00000000">
        <w:rPr>
          <w:color w:val="ff9900"/>
          <w:rtl w:val="0"/>
        </w:rPr>
        <w:t xml:space="preserve">“Que quede bien claro: la democracia no se &lt;&lt;da&gt;&gt; ni se &lt;&lt;concede&gt;&gt;. Requiere</w:t>
      </w:r>
      <w:r w:rsidDel="00000000" w:rsidR="00000000" w:rsidRPr="00000000">
        <w:rPr>
          <w:i w:val="1"/>
          <w:color w:val="ff9900"/>
          <w:rtl w:val="0"/>
        </w:rPr>
        <w:t xml:space="preserve"> conflictos</w:t>
      </w:r>
      <w:r w:rsidDel="00000000" w:rsidR="00000000" w:rsidRPr="00000000">
        <w:rPr>
          <w:color w:val="ff9900"/>
          <w:rtl w:val="0"/>
        </w:rPr>
        <w:t xml:space="preserve">, a saber: desafíos valerosos a la autoridad, riesgos y temerarios actos ejemplares, testimonio ético, enfrentamientos violentos y crisis generales en las cuales se desmorone el orden sociopolítico dado. En Europa, la democracia no fue el resultado de la evolución natural ni de la prosperidad económica. Desde luego, no apareció como consecuencia inevitable del individualismo o del mercado. Avanzó porque masas de personas se organizaron colectivamente para exigirla”</w:t>
      </w:r>
    </w:p>
    <w:p w:rsidR="00000000" w:rsidDel="00000000" w:rsidP="00000000" w:rsidRDefault="00000000" w:rsidRPr="00000000" w14:paraId="00000008">
      <w:pPr>
        <w:numPr>
          <w:ilvl w:val="0"/>
          <w:numId w:val="1"/>
        </w:numPr>
        <w:spacing w:line="360" w:lineRule="auto"/>
        <w:ind w:left="720" w:hanging="360"/>
        <w:jc w:val="both"/>
        <w:rPr>
          <w:u w:val="none"/>
        </w:rPr>
      </w:pPr>
      <w:r w:rsidDel="00000000" w:rsidR="00000000" w:rsidRPr="00000000">
        <w:rPr>
          <w:rtl w:val="0"/>
        </w:rPr>
        <w:t xml:space="preserve">Dimensión transnacional </w:t>
      </w:r>
    </w:p>
    <w:p w:rsidR="00000000" w:rsidDel="00000000" w:rsidP="00000000" w:rsidRDefault="00000000" w:rsidRPr="00000000" w14:paraId="00000009">
      <w:pPr>
        <w:numPr>
          <w:ilvl w:val="1"/>
          <w:numId w:val="1"/>
        </w:numPr>
        <w:spacing w:line="360" w:lineRule="auto"/>
        <w:ind w:left="1440" w:hanging="360"/>
        <w:jc w:val="both"/>
        <w:rPr>
          <w:color w:val="ff9900"/>
        </w:rPr>
      </w:pPr>
      <w:r w:rsidDel="00000000" w:rsidR="00000000" w:rsidRPr="00000000">
        <w:rPr>
          <w:color w:val="ff9900"/>
          <w:rtl w:val="0"/>
        </w:rPr>
        <w:t xml:space="preserve">“Ha habido cinco de estos momentos de gestación constitucional transnacional en la historia moderna de Europa, los cuales determinaron los límites y las posibilidades para los decenios venideros: 1176-1815, 1859-1871, 1914-1923, 1943-1949, 1989-1992”</w:t>
      </w:r>
    </w:p>
    <w:p w:rsidR="00000000" w:rsidDel="00000000" w:rsidP="00000000" w:rsidRDefault="00000000" w:rsidRPr="00000000" w14:paraId="0000000A">
      <w:pPr>
        <w:numPr>
          <w:ilvl w:val="0"/>
          <w:numId w:val="1"/>
        </w:numPr>
        <w:spacing w:line="360" w:lineRule="auto"/>
        <w:ind w:left="720" w:hanging="360"/>
        <w:jc w:val="both"/>
        <w:rPr>
          <w:u w:val="none"/>
        </w:rPr>
      </w:pPr>
      <w:r w:rsidDel="00000000" w:rsidR="00000000" w:rsidRPr="00000000">
        <w:rPr>
          <w:rtl w:val="0"/>
        </w:rPr>
        <w:t xml:space="preserve">Papel de la Revolución Francesa </w:t>
      </w:r>
    </w:p>
    <w:p w:rsidR="00000000" w:rsidDel="00000000" w:rsidP="00000000" w:rsidRDefault="00000000" w:rsidRPr="00000000" w14:paraId="0000000B">
      <w:pPr>
        <w:numPr>
          <w:ilvl w:val="0"/>
          <w:numId w:val="1"/>
        </w:numPr>
        <w:spacing w:line="360" w:lineRule="auto"/>
        <w:ind w:left="720" w:hanging="360"/>
        <w:jc w:val="both"/>
        <w:rPr>
          <w:u w:val="none"/>
        </w:rPr>
      </w:pPr>
      <w:r w:rsidDel="00000000" w:rsidR="00000000" w:rsidRPr="00000000">
        <w:rPr>
          <w:rtl w:val="0"/>
        </w:rPr>
        <w:t xml:space="preserve">Etapa liberal / Aparición de los partidos socialistas </w:t>
      </w:r>
    </w:p>
    <w:p w:rsidR="00000000" w:rsidDel="00000000" w:rsidP="00000000" w:rsidRDefault="00000000" w:rsidRPr="00000000" w14:paraId="0000000C">
      <w:pPr>
        <w:numPr>
          <w:ilvl w:val="1"/>
          <w:numId w:val="1"/>
        </w:numPr>
        <w:spacing w:line="360" w:lineRule="auto"/>
        <w:ind w:left="1440" w:hanging="360"/>
        <w:jc w:val="both"/>
        <w:rPr>
          <w:color w:val="ff9900"/>
        </w:rPr>
      </w:pPr>
      <w:r w:rsidDel="00000000" w:rsidR="00000000" w:rsidRPr="00000000">
        <w:rPr>
          <w:color w:val="ff9900"/>
          <w:rtl w:val="0"/>
        </w:rPr>
        <w:t xml:space="preserve">“Entre el decenio de 1870 y el de 1890, en todos los países de Europa se formaron partidos socialistas para dar una forma política coherente, centralizada y duradera al gobierno del pueblo. Hasta la Primera Guerra Mundial, y en gran medida desde ella, aquellos partidos llevaron el peso principal de la promulgación de la democracia en Europa. (…) Con el arraigo posterior de los movimientos obreros nacionales, esta propugnación se vio reforzada, hasta que en 1914 los partidos socialdemócratas ya se habían convertido en elementos permanentes de sus sistemas políticos, que adquirieron su mayor fuerza en el &lt;&lt;núcleo&gt;&gt; del norte y el centro de Europa, donde entre el 25 y el 40 por 100 de los electorados nacionales daba sus votos a los socialistas”</w:t>
      </w:r>
    </w:p>
    <w:p w:rsidR="00000000" w:rsidDel="00000000" w:rsidP="00000000" w:rsidRDefault="00000000" w:rsidRPr="00000000" w14:paraId="0000000D">
      <w:pPr>
        <w:numPr>
          <w:ilvl w:val="0"/>
          <w:numId w:val="1"/>
        </w:numPr>
        <w:spacing w:line="360" w:lineRule="auto"/>
        <w:ind w:left="720" w:hanging="360"/>
        <w:jc w:val="both"/>
        <w:rPr>
          <w:u w:val="none"/>
        </w:rPr>
      </w:pPr>
      <w:r w:rsidDel="00000000" w:rsidR="00000000" w:rsidRPr="00000000">
        <w:rPr>
          <w:rtl w:val="0"/>
        </w:rPr>
        <w:t xml:space="preserve">La izquierda como agente democrático </w:t>
      </w:r>
    </w:p>
    <w:p w:rsidR="00000000" w:rsidDel="00000000" w:rsidP="00000000" w:rsidRDefault="00000000" w:rsidRPr="00000000" w14:paraId="0000000E">
      <w:pPr>
        <w:numPr>
          <w:ilvl w:val="0"/>
          <w:numId w:val="1"/>
        </w:numPr>
        <w:spacing w:line="360" w:lineRule="auto"/>
        <w:ind w:left="720" w:hanging="360"/>
        <w:jc w:val="both"/>
        <w:rPr>
          <w:u w:val="none"/>
        </w:rPr>
      </w:pPr>
      <w:r w:rsidDel="00000000" w:rsidR="00000000" w:rsidRPr="00000000">
        <w:rPr>
          <w:rtl w:val="0"/>
        </w:rPr>
        <w:t xml:space="preserve">El socialismo y la izquierda. Colapso del Comunismo </w:t>
      </w:r>
    </w:p>
    <w:p w:rsidR="00000000" w:rsidDel="00000000" w:rsidP="00000000" w:rsidRDefault="00000000" w:rsidRPr="00000000" w14:paraId="0000000F">
      <w:pPr>
        <w:numPr>
          <w:ilvl w:val="0"/>
          <w:numId w:val="1"/>
        </w:numPr>
        <w:spacing w:line="360" w:lineRule="auto"/>
        <w:ind w:left="720" w:hanging="360"/>
        <w:jc w:val="both"/>
        <w:rPr>
          <w:u w:val="none"/>
        </w:rPr>
      </w:pPr>
      <w:r w:rsidDel="00000000" w:rsidR="00000000" w:rsidRPr="00000000">
        <w:rPr>
          <w:rtl w:val="0"/>
        </w:rPr>
        <w:t xml:space="preserve">La necesidad de consenso: </w:t>
      </w:r>
      <w:r w:rsidDel="00000000" w:rsidR="00000000" w:rsidRPr="00000000">
        <w:rPr>
          <w:color w:val="ff9900"/>
          <w:rtl w:val="0"/>
        </w:rPr>
        <w:t xml:space="preserve">“Aquí la comparación de las dos grandes coyunturas del siglo XX, 1914-1923 y 1943-1949, es muy reveladora. En ambos casos, la escala de movilización social, el radicalismo de los cambios institucionales y la turbulencia de las esperanzas populares rompieron la estabilidad de las lealtades establecidas y abrieron en el tejido del conformismo social un agujero lo bastante amplio como para que pudieran pasar los grandes cambios democráticos. Pero en 1918 la construcción de identificaciones populares suficientemente fuertes con los nuevos Estados democráticos todavía encontró mucha oposición, como de forma tan trágica mostraron las polarizaciones políticas de los años de entreguerras y el auge del fascismo. Después de 1945, en cambio, el consenso en la Europa occidental resultó a la vez amplio y hondo, y produjo una lealtad popular notablemente sólida al orden democrático de posguerra”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