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184384">
            <wp:simplePos x="0" y="0"/>
            <wp:positionH relativeFrom="page">
              <wp:posOffset>381000</wp:posOffset>
            </wp:positionH>
            <wp:positionV relativeFrom="paragraph">
              <wp:posOffset>-98503</wp:posOffset>
            </wp:positionV>
            <wp:extent cx="762000" cy="762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ASIENTO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200" w:bottom="1549" w:left="460" w:right="460"/>
        </w:sectPr>
      </w:pPr>
    </w:p>
    <w:p>
      <w:pPr>
        <w:spacing w:before="106"/>
        <w:ind w:left="14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Empresa:</w:t>
      </w:r>
    </w:p>
    <w:p>
      <w:pPr>
        <w:spacing w:line="348" w:lineRule="auto" w:before="93"/>
        <w:ind w:left="140" w:right="33" w:firstLine="0"/>
        <w:jc w:val="left"/>
        <w:rPr>
          <w:b/>
          <w:sz w:val="18"/>
        </w:rPr>
      </w:pPr>
      <w:r>
        <w:rPr/>
        <w:pict>
          <v:shape style="position:absolute;margin-left:31pt;margin-top:57.471901pt;width:535pt;height:15pt;mso-position-horizontal-relative:page;mso-position-vertical-relative:paragraph;z-index:-16131584" id="docshape1" coordorigin="620,1149" coordsize="10700,300" path="m11260,1149l680,1149,657,1154,638,1167,625,1186,620,1209,620,1389,625,1413,638,1432,657,1445,680,1449,11260,1449,11283,1445,11302,1432,11315,1413,11320,1389,11320,1209,11315,1186,11302,1167,11283,1154,11260,1149xe" filled="true" fillcolor="#dff3ff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Tipo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Documento: </w:t>
      </w:r>
      <w:r>
        <w:rPr>
          <w:b/>
          <w:spacing w:val="-2"/>
          <w:sz w:val="18"/>
        </w:rPr>
        <w:t>Fecha: Documento:</w:t>
      </w:r>
    </w:p>
    <w:p>
      <w:pPr>
        <w:pStyle w:val="BodyText"/>
        <w:spacing w:line="312" w:lineRule="auto" w:before="94"/>
        <w:ind w:left="140" w:right="6500"/>
      </w:pPr>
      <w:r>
        <w:rPr/>
        <w:br w:type="column"/>
      </w:r>
      <w:r>
        <w:rPr/>
        <w:t>Grupo</w:t>
      </w:r>
      <w:r>
        <w:rPr>
          <w:spacing w:val="-13"/>
        </w:rPr>
        <w:t> </w:t>
      </w:r>
      <w:r>
        <w:rPr/>
        <w:t>362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bfai1058 Asiento Manual </w:t>
      </w:r>
      <w:r>
        <w:rPr>
          <w:spacing w:val="-2"/>
        </w:rPr>
        <w:t>30/05/2022</w:t>
      </w:r>
    </w:p>
    <w:p>
      <w:pPr>
        <w:pStyle w:val="BodyText"/>
        <w:spacing w:before="3"/>
        <w:ind w:left="140"/>
      </w:pPr>
      <w:r>
        <w:rPr/>
        <w:t>1</w:t>
      </w:r>
    </w:p>
    <w:p>
      <w:pPr>
        <w:spacing w:after="0"/>
        <w:sectPr>
          <w:type w:val="continuous"/>
          <w:pgSz w:w="11900" w:h="16840"/>
          <w:pgMar w:top="200" w:bottom="280" w:left="460" w:right="460"/>
          <w:cols w:num="2" w:equalWidth="0">
            <w:col w:w="1660" w:space="340"/>
            <w:col w:w="8980"/>
          </w:cols>
        </w:sect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71" w:type="dxa"/>
        <w:tblBorders>
          <w:top w:val="single" w:sz="24" w:space="0" w:color="ABE0F9"/>
          <w:left w:val="single" w:sz="24" w:space="0" w:color="ABE0F9"/>
          <w:bottom w:val="single" w:sz="24" w:space="0" w:color="ABE0F9"/>
          <w:right w:val="single" w:sz="24" w:space="0" w:color="ABE0F9"/>
          <w:insideH w:val="single" w:sz="24" w:space="0" w:color="ABE0F9"/>
          <w:insideV w:val="single" w:sz="24" w:space="0" w:color="ABE0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5"/>
        <w:gridCol w:w="3930"/>
        <w:gridCol w:w="1555"/>
      </w:tblGrid>
      <w:tr>
        <w:trPr>
          <w:trHeight w:val="240" w:hRule="atLeast"/>
        </w:trPr>
        <w:tc>
          <w:tcPr>
            <w:tcW w:w="5215" w:type="dxa"/>
            <w:tcBorders>
              <w:right w:val="nil"/>
            </w:tcBorders>
          </w:tcPr>
          <w:p>
            <w:pPr>
              <w:pStyle w:val="TableParagraph"/>
              <w:spacing w:line="206" w:lineRule="exact" w:before="13"/>
              <w:ind w:left="9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Cuenta</w:t>
            </w:r>
          </w:p>
        </w:tc>
        <w:tc>
          <w:tcPr>
            <w:tcW w:w="393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6" w:lineRule="exact" w:before="13"/>
              <w:ind w:right="71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Debe</w:t>
            </w:r>
          </w:p>
        </w:tc>
        <w:tc>
          <w:tcPr>
            <w:tcW w:w="1555" w:type="dxa"/>
            <w:tcBorders>
              <w:left w:val="nil"/>
            </w:tcBorders>
          </w:tcPr>
          <w:p>
            <w:pPr>
              <w:pStyle w:val="TableParagraph"/>
              <w:spacing w:line="206" w:lineRule="exact" w:before="13"/>
              <w:ind w:right="2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Haber</w:t>
            </w:r>
          </w:p>
        </w:tc>
      </w:tr>
      <w:tr>
        <w:trPr>
          <w:trHeight w:val="330" w:hRule="atLeast"/>
        </w:trPr>
        <w:tc>
          <w:tcPr>
            <w:tcW w:w="5215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51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Diferencia de </w:t>
            </w:r>
            <w:r>
              <w:rPr>
                <w:spacing w:val="-2"/>
                <w:sz w:val="20"/>
              </w:rPr>
              <w:t>Cambio</w:t>
            </w:r>
          </w:p>
        </w:tc>
        <w:tc>
          <w:tcPr>
            <w:tcW w:w="3930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51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6,260.00</w:t>
            </w:r>
          </w:p>
        </w:tc>
        <w:tc>
          <w:tcPr>
            <w:tcW w:w="1555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51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Costo de Mercadería </w:t>
            </w:r>
            <w:r>
              <w:rPr>
                <w:spacing w:val="-2"/>
                <w:sz w:val="20"/>
              </w:rPr>
              <w:t>Vendida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963,424.00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Valores a </w:t>
            </w:r>
            <w:r>
              <w:rPr>
                <w:spacing w:val="-2"/>
                <w:sz w:val="20"/>
              </w:rPr>
              <w:t>Depositar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9,470.00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Caja - Moneda </w:t>
            </w:r>
            <w:r>
              <w:rPr>
                <w:spacing w:val="-2"/>
                <w:sz w:val="20"/>
              </w:rPr>
              <w:t>Local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251,680.00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Caja - Moneda </w:t>
            </w:r>
            <w:r>
              <w:rPr>
                <w:spacing w:val="-2"/>
                <w:sz w:val="20"/>
              </w:rPr>
              <w:t>Extranjera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320.00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Banco Oriental Cta </w:t>
            </w:r>
            <w:r>
              <w:rPr>
                <w:spacing w:val="-5"/>
                <w:sz w:val="20"/>
              </w:rPr>
              <w:t>Cte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263,640.00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Banco Oriental Caja Ahorro </w:t>
            </w:r>
            <w:r>
              <w:rPr>
                <w:spacing w:val="-2"/>
                <w:sz w:val="20"/>
              </w:rPr>
              <w:t>Pesos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1,126,135.00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Banco Meridional Plazo </w:t>
            </w:r>
            <w:r>
              <w:rPr>
                <w:spacing w:val="-4"/>
                <w:sz w:val="20"/>
              </w:rPr>
              <w:t>Fijo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15,850.00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Deudores </w:t>
            </w:r>
            <w:r>
              <w:rPr>
                <w:spacing w:val="-2"/>
                <w:sz w:val="20"/>
              </w:rPr>
              <w:t>morosos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770.00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Deudores en gestión </w:t>
            </w:r>
            <w:r>
              <w:rPr>
                <w:spacing w:val="-2"/>
                <w:sz w:val="20"/>
              </w:rPr>
              <w:t>judicial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190.00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Documentos a </w:t>
            </w:r>
            <w:r>
              <w:rPr>
                <w:spacing w:val="-2"/>
                <w:sz w:val="20"/>
              </w:rPr>
              <w:t>cobrar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960.00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Cheques diferidos a </w:t>
            </w:r>
            <w:r>
              <w:rPr>
                <w:spacing w:val="-2"/>
                <w:sz w:val="20"/>
              </w:rPr>
              <w:t>cobrar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Anticipos de </w:t>
            </w:r>
            <w:r>
              <w:rPr>
                <w:spacing w:val="-2"/>
                <w:sz w:val="20"/>
              </w:rPr>
              <w:t>sueldos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800.00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Anticipos a </w:t>
            </w:r>
            <w:r>
              <w:rPr>
                <w:spacing w:val="-2"/>
                <w:sz w:val="20"/>
              </w:rPr>
              <w:t>rendir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20.00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IVA Saldo a </w:t>
            </w:r>
            <w:r>
              <w:rPr>
                <w:spacing w:val="-2"/>
                <w:sz w:val="20"/>
              </w:rPr>
              <w:t>favor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8,500.00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Mercaderías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41,620.00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Terrenos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302,400.00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Edificaciones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78,000.00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Sueldos </w:t>
            </w:r>
            <w:r>
              <w:rPr>
                <w:spacing w:val="-2"/>
                <w:sz w:val="20"/>
              </w:rPr>
              <w:t>administración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348,480.00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CCSS </w:t>
            </w:r>
            <w:r>
              <w:rPr>
                <w:spacing w:val="-2"/>
                <w:sz w:val="20"/>
              </w:rPr>
              <w:t>administración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69,696.00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SAC </w:t>
            </w:r>
            <w:r>
              <w:rPr>
                <w:spacing w:val="-2"/>
                <w:sz w:val="20"/>
              </w:rPr>
              <w:t>administración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29,040.00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CCSS SAC </w:t>
            </w:r>
            <w:r>
              <w:rPr>
                <w:spacing w:val="-2"/>
                <w:sz w:val="20"/>
              </w:rPr>
              <w:t>administración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5,808.00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Depreciaciones </w:t>
            </w:r>
            <w:r>
              <w:rPr>
                <w:spacing w:val="-2"/>
                <w:sz w:val="20"/>
              </w:rPr>
              <w:t>administración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1,430.00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Gastos varios </w:t>
            </w:r>
            <w:r>
              <w:rPr>
                <w:spacing w:val="-2"/>
                <w:sz w:val="20"/>
              </w:rPr>
              <w:t>administración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260.00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Gastos </w:t>
            </w:r>
            <w:r>
              <w:rPr>
                <w:spacing w:val="-2"/>
                <w:sz w:val="20"/>
              </w:rPr>
              <w:t>bancarios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2,730.00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Gastos por servicios </w:t>
            </w:r>
            <w:r>
              <w:rPr>
                <w:spacing w:val="-2"/>
                <w:sz w:val="20"/>
              </w:rPr>
              <w:t>públicos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8,920.00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Sueldos </w:t>
            </w:r>
            <w:r>
              <w:rPr>
                <w:spacing w:val="-2"/>
                <w:sz w:val="20"/>
              </w:rPr>
              <w:t>comercialización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392,040.00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CCSS </w:t>
            </w:r>
            <w:r>
              <w:rPr>
                <w:spacing w:val="-2"/>
                <w:sz w:val="20"/>
              </w:rPr>
              <w:t>comercialización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78,408.00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521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8"/>
              <w:jc w:val="left"/>
              <w:rPr>
                <w:sz w:val="20"/>
              </w:rPr>
            </w:pPr>
            <w:r>
              <w:rPr>
                <w:sz w:val="20"/>
              </w:rPr>
              <w:t>SAC </w:t>
            </w:r>
            <w:r>
              <w:rPr>
                <w:spacing w:val="-2"/>
                <w:sz w:val="20"/>
              </w:rPr>
              <w:t>comercialización</w:t>
            </w:r>
          </w:p>
        </w:tc>
        <w:tc>
          <w:tcPr>
            <w:tcW w:w="393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714"/>
              <w:rPr>
                <w:sz w:val="20"/>
              </w:rPr>
            </w:pPr>
            <w:r>
              <w:rPr>
                <w:spacing w:val="-2"/>
                <w:sz w:val="20"/>
              </w:rPr>
              <w:t>32,670.00</w:t>
            </w:r>
          </w:p>
        </w:tc>
        <w:tc>
          <w:tcPr>
            <w:tcW w:w="1555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69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200" w:bottom="280" w:left="460" w:right="460"/>
        </w:sectPr>
      </w:pPr>
    </w:p>
    <w:tbl>
      <w:tblPr>
        <w:tblW w:w="0" w:type="auto"/>
        <w:jc w:val="left"/>
        <w:tblInd w:w="179" w:type="dxa"/>
        <w:tblBorders>
          <w:top w:val="single" w:sz="24" w:space="0" w:color="ABE0F9"/>
          <w:left w:val="single" w:sz="24" w:space="0" w:color="ABE0F9"/>
          <w:bottom w:val="single" w:sz="24" w:space="0" w:color="ABE0F9"/>
          <w:right w:val="single" w:sz="24" w:space="0" w:color="ABE0F9"/>
          <w:insideH w:val="single" w:sz="24" w:space="0" w:color="ABE0F9"/>
          <w:insideV w:val="single" w:sz="24" w:space="0" w:color="ABE0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8"/>
        <w:gridCol w:w="1890"/>
        <w:gridCol w:w="2000"/>
        <w:gridCol w:w="1886"/>
      </w:tblGrid>
      <w:tr>
        <w:trPr>
          <w:trHeight w:val="240" w:hRule="atLeast"/>
        </w:trPr>
        <w:tc>
          <w:tcPr>
            <w:tcW w:w="4918" w:type="dxa"/>
            <w:tcBorders>
              <w:right w:val="nil"/>
            </w:tcBorders>
          </w:tcPr>
          <w:p>
            <w:pPr>
              <w:pStyle w:val="TableParagraph"/>
              <w:spacing w:line="206" w:lineRule="exact" w:before="13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Cuenta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6" w:lineRule="exact" w:before="13"/>
              <w:ind w:right="38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Debe</w:t>
            </w:r>
          </w:p>
        </w:tc>
        <w:tc>
          <w:tcPr>
            <w:tcW w:w="1886" w:type="dxa"/>
            <w:tcBorders>
              <w:left w:val="nil"/>
            </w:tcBorders>
          </w:tcPr>
          <w:p>
            <w:pPr>
              <w:pStyle w:val="TableParagraph"/>
              <w:spacing w:line="206" w:lineRule="exact" w:before="13"/>
              <w:ind w:right="2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Haber</w:t>
            </w:r>
          </w:p>
        </w:tc>
      </w:tr>
      <w:tr>
        <w:trPr>
          <w:trHeight w:val="330" w:hRule="atLeast"/>
        </w:trPr>
        <w:tc>
          <w:tcPr>
            <w:tcW w:w="4918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51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CCSS SAC </w:t>
            </w:r>
            <w:r>
              <w:rPr>
                <w:spacing w:val="-2"/>
                <w:sz w:val="20"/>
              </w:rPr>
              <w:t>comercialización</w:t>
            </w:r>
          </w:p>
        </w:tc>
        <w:tc>
          <w:tcPr>
            <w:tcW w:w="1890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51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6,534.00</w:t>
            </w:r>
          </w:p>
        </w:tc>
        <w:tc>
          <w:tcPr>
            <w:tcW w:w="1886" w:type="dxa"/>
            <w:tcBorders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51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Depreciaciones </w:t>
            </w:r>
            <w:r>
              <w:rPr>
                <w:spacing w:val="-2"/>
                <w:sz w:val="20"/>
              </w:rPr>
              <w:t>comercialización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26,250.00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Gastos varios </w:t>
            </w:r>
            <w:r>
              <w:rPr>
                <w:spacing w:val="-2"/>
                <w:sz w:val="20"/>
              </w:rPr>
              <w:t>comercialización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Gastos en publicidad y </w:t>
            </w:r>
            <w:r>
              <w:rPr>
                <w:spacing w:val="-2"/>
                <w:sz w:val="20"/>
              </w:rPr>
              <w:t>promoción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216,000.00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Gastos de </w:t>
            </w:r>
            <w:r>
              <w:rPr>
                <w:spacing w:val="-2"/>
                <w:sz w:val="20"/>
              </w:rPr>
              <w:t>combustible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Gastos por alquileres de </w:t>
            </w:r>
            <w:r>
              <w:rPr>
                <w:spacing w:val="-2"/>
                <w:sz w:val="20"/>
              </w:rPr>
              <w:t>locales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33,000.00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Mercaderías en mal </w:t>
            </w:r>
            <w:r>
              <w:rPr>
                <w:spacing w:val="-2"/>
                <w:sz w:val="20"/>
              </w:rPr>
              <w:t>estado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13,062.00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Costo de bienes de uso </w:t>
            </w:r>
            <w:r>
              <w:rPr>
                <w:spacing w:val="-2"/>
                <w:sz w:val="20"/>
              </w:rPr>
              <w:t>vendido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236,250.00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Faltante de </w:t>
            </w:r>
            <w:r>
              <w:rPr>
                <w:spacing w:val="-4"/>
                <w:sz w:val="20"/>
              </w:rPr>
              <w:t>caja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12,700.00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Faltante de </w:t>
            </w:r>
            <w:r>
              <w:rPr>
                <w:spacing w:val="-2"/>
                <w:sz w:val="20"/>
              </w:rPr>
              <w:t>mercadería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15,220.00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Gastos por intereses </w:t>
            </w:r>
            <w:r>
              <w:rPr>
                <w:spacing w:val="-2"/>
                <w:sz w:val="20"/>
              </w:rPr>
              <w:t>comerciales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91,564.00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Gastos por intereses </w:t>
            </w:r>
            <w:r>
              <w:rPr>
                <w:spacing w:val="-2"/>
                <w:sz w:val="20"/>
              </w:rPr>
              <w:t>financieros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194,400.00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Diferencia de </w:t>
            </w:r>
            <w:r>
              <w:rPr>
                <w:spacing w:val="-2"/>
                <w:sz w:val="20"/>
              </w:rPr>
              <w:t>Cambio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1,820.00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Proveedores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181,760.00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Intereses positivos a devengar s/Plazo </w:t>
            </w:r>
            <w:r>
              <w:rPr>
                <w:spacing w:val="-4"/>
                <w:sz w:val="20"/>
              </w:rPr>
              <w:t>Fijo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650.00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Depreciaciones Acumuladas </w:t>
            </w:r>
            <w:r>
              <w:rPr>
                <w:spacing w:val="-2"/>
                <w:sz w:val="20"/>
              </w:rPr>
              <w:t>Edificaciones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4,550.00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Anticipos de </w:t>
            </w:r>
            <w:r>
              <w:rPr>
                <w:spacing w:val="-2"/>
                <w:sz w:val="20"/>
              </w:rPr>
              <w:t>clientes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5,190.00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Proveedores </w:t>
            </w:r>
            <w:r>
              <w:rPr>
                <w:spacing w:val="-2"/>
                <w:sz w:val="20"/>
              </w:rPr>
              <w:t>varios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51,930.00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pausa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33,470.00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Intereses comerciales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882.00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Alquileres de locales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800.00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Documentos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5,190.00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Cheques diferidos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295.00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Sueldos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61,700.00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Cargas sociales y Retenciones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18,510.00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Préstamo Banco </w:t>
            </w:r>
            <w:r>
              <w:rPr>
                <w:spacing w:val="-2"/>
                <w:sz w:val="20"/>
              </w:rPr>
              <w:t>Oriental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Hipotecas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Intereses financieros a </w:t>
            </w:r>
            <w:r>
              <w:rPr>
                <w:spacing w:val="-2"/>
                <w:sz w:val="20"/>
              </w:rPr>
              <w:t>pagar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129,600.00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Capital </w:t>
            </w:r>
            <w:r>
              <w:rPr>
                <w:spacing w:val="-2"/>
                <w:sz w:val="20"/>
              </w:rPr>
              <w:t>Social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346,177.00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Resultados no </w:t>
            </w:r>
            <w:r>
              <w:rPr>
                <w:spacing w:val="-2"/>
                <w:sz w:val="20"/>
              </w:rPr>
              <w:t>asignados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279,183.00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Ventas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2,890,272.00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Venta de bienes de </w:t>
            </w:r>
            <w:r>
              <w:rPr>
                <w:spacing w:val="-5"/>
                <w:sz w:val="20"/>
              </w:rPr>
              <w:t>uso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Sobrante de </w:t>
            </w:r>
            <w:r>
              <w:rPr>
                <w:spacing w:val="-4"/>
                <w:sz w:val="20"/>
              </w:rPr>
              <w:t>caja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8,240.00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Sobrante de </w:t>
            </w:r>
            <w:r>
              <w:rPr>
                <w:spacing w:val="-2"/>
                <w:sz w:val="20"/>
              </w:rPr>
              <w:t>mercadería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857.00</w:t>
            </w:r>
          </w:p>
        </w:tc>
      </w:tr>
      <w:tr>
        <w:trPr>
          <w:trHeight w:val="4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Ingresos por intereses </w:t>
            </w:r>
            <w:r>
              <w:rPr>
                <w:spacing w:val="-2"/>
                <w:sz w:val="20"/>
              </w:rPr>
              <w:t>financieros</w:t>
            </w: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385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ind w:right="271"/>
              <w:rPr>
                <w:sz w:val="20"/>
              </w:rPr>
            </w:pPr>
            <w:r>
              <w:rPr>
                <w:spacing w:val="-2"/>
                <w:sz w:val="20"/>
              </w:rPr>
              <w:t>525.00</w:t>
            </w:r>
          </w:p>
        </w:tc>
      </w:tr>
      <w:tr>
        <w:trPr>
          <w:trHeight w:val="200" w:hRule="atLeast"/>
        </w:trPr>
        <w:tc>
          <w:tcPr>
            <w:tcW w:w="4918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9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86" w:type="dxa"/>
            <w:tcBorders>
              <w:top w:val="single" w:sz="8" w:space="0" w:color="D8CCCC"/>
              <w:left w:val="nil"/>
              <w:bottom w:val="single" w:sz="8" w:space="0" w:color="D8CCCC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50" w:hRule="atLeast"/>
        </w:trPr>
        <w:tc>
          <w:tcPr>
            <w:tcW w:w="4918" w:type="dxa"/>
            <w:tcBorders>
              <w:top w:val="single" w:sz="8" w:space="0" w:color="D8CCCC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890" w:type="dxa"/>
            <w:tcBorders>
              <w:top w:val="single" w:sz="8" w:space="0" w:color="D8CCCC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2000" w:type="dxa"/>
            <w:tcBorders>
              <w:top w:val="single" w:sz="8" w:space="0" w:color="D8CCCC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886" w:type="dxa"/>
            <w:tcBorders>
              <w:top w:val="single" w:sz="8" w:space="0" w:color="D8CCCC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240" w:hRule="atLeast"/>
        </w:trPr>
        <w:tc>
          <w:tcPr>
            <w:tcW w:w="4918" w:type="dxa"/>
            <w:tcBorders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10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20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 w:before="0"/>
              <w:ind w:right="385"/>
              <w:rPr>
                <w:sz w:val="20"/>
              </w:rPr>
            </w:pPr>
            <w:r>
              <w:rPr>
                <w:spacing w:val="-2"/>
                <w:sz w:val="20"/>
              </w:rPr>
              <w:t>4,911,601.00</w:t>
            </w:r>
          </w:p>
        </w:tc>
        <w:tc>
          <w:tcPr>
            <w:tcW w:w="1886" w:type="dxa"/>
            <w:tcBorders>
              <w:left w:val="nil"/>
            </w:tcBorders>
          </w:tcPr>
          <w:p>
            <w:pPr>
              <w:pStyle w:val="TableParagraph"/>
              <w:spacing w:line="220" w:lineRule="exact" w:before="0"/>
              <w:ind w:right="241"/>
              <w:rPr>
                <w:sz w:val="20"/>
              </w:rPr>
            </w:pPr>
            <w:r>
              <w:rPr>
                <w:spacing w:val="-2"/>
                <w:sz w:val="20"/>
              </w:rPr>
              <w:t>4,911,601.00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1pt;margin-top:20pt;width:535pt;height:15pt;mso-position-horizontal-relative:page;mso-position-vertical-relative:page;z-index:-16131072" id="docshape2" coordorigin="620,400" coordsize="10700,300" path="m11260,400l680,400,657,405,638,418,625,437,620,460,620,640,625,663,638,682,657,695,680,700,11260,700,11283,695,11302,682,11315,663,11320,640,11320,460,11315,437,11302,418,11283,405,11260,400xe" filled="true" fillcolor="#dff3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pt;margin-top:788pt;width:535pt;height:15pt;mso-position-horizontal-relative:page;mso-position-vertical-relative:page;z-index:-16130560" id="docshape3" coordorigin="600,15760" coordsize="10700,300" path="m11240,15760l660,15760,637,15765,618,15778,605,15797,600,15820,600,16000,605,16023,618,16042,637,16055,660,16060,11240,16060,11263,16055,11282,16042,11295,16023,11300,16000,11300,15820,11295,15797,11282,15778,11263,15765,11240,15760xe" filled="true" fillcolor="#dff3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400" w:bottom="280" w:left="460" w:right="460"/>
        </w:sectPr>
      </w:pPr>
    </w:p>
    <w:p>
      <w:pPr>
        <w:pStyle w:val="BodyText"/>
        <w:spacing w:before="8"/>
        <w:rPr>
          <w:sz w:val="14"/>
        </w:rPr>
      </w:pPr>
    </w:p>
    <w:p>
      <w:pPr>
        <w:spacing w:before="91"/>
        <w:ind w:left="140" w:right="0" w:firstLine="0"/>
        <w:jc w:val="left"/>
        <w:rPr>
          <w:sz w:val="20"/>
        </w:rPr>
      </w:pPr>
      <w:r>
        <w:rPr>
          <w:b/>
          <w:position w:val="5"/>
          <w:sz w:val="18"/>
        </w:rPr>
        <w:t>Concepto:</w:t>
      </w:r>
      <w:r>
        <w:rPr>
          <w:b/>
          <w:spacing w:val="60"/>
          <w:position w:val="5"/>
          <w:sz w:val="18"/>
        </w:rPr>
        <w:t> </w:t>
      </w:r>
      <w:r>
        <w:rPr>
          <w:sz w:val="20"/>
        </w:rPr>
        <w:t>Saldos hasta el </w:t>
      </w:r>
      <w:r>
        <w:rPr>
          <w:spacing w:val="-5"/>
          <w:sz w:val="20"/>
        </w:rPr>
        <w:t>11</w:t>
      </w:r>
    </w:p>
    <w:sectPr>
      <w:pgSz w:w="11900" w:h="16840"/>
      <w:pgMar w:top="160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1"/>
      <w:ind w:left="7000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1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2022-06-01T00:20:07Z</dcterms:created>
  <dcterms:modified xsi:type="dcterms:W3CDTF">2022-06-01T00:20:07Z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JasperReports (Asiento)</vt:lpwstr>
  </property>
  <property fmtid="{D5CDD505-2E9C-101B-9397-08002B2CF9AE}" pid="4" name="LastSaved">
    <vt:filetime>2022-06-01T00:00:00Z</vt:filetime>
  </property>
</Properties>
</file>