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B0BB" w14:textId="77777777" w:rsidR="00B64275" w:rsidRDefault="00B64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6861" w:type="dxa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61"/>
      </w:tblGrid>
      <w:tr w:rsidR="00B64275" w14:paraId="117D4270" w14:textId="77777777">
        <w:tc>
          <w:tcPr>
            <w:tcW w:w="6861" w:type="dxa"/>
            <w:shd w:val="clear" w:color="auto" w:fill="DEEBF6"/>
          </w:tcPr>
          <w:p w14:paraId="4322F982" w14:textId="77777777" w:rsidR="00B64275" w:rsidRDefault="00351BF8">
            <w:pPr>
              <w:pStyle w:val="Ttulo1"/>
              <w:spacing w:before="0" w:after="0"/>
              <w:ind w:left="0" w:firstLine="0"/>
              <w:jc w:val="center"/>
              <w:outlineLvl w:val="0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Tutorial 11</w:t>
            </w:r>
          </w:p>
          <w:p w14:paraId="2FCAC891" w14:textId="77777777" w:rsidR="00B64275" w:rsidRDefault="00351BF8">
            <w:pPr>
              <w:pStyle w:val="Ttulo1"/>
              <w:spacing w:before="0" w:after="0"/>
              <w:ind w:left="0" w:firstLine="0"/>
              <w:jc w:val="center"/>
              <w:outlineLvl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(Week starting on 30-may-2022)</w:t>
            </w:r>
          </w:p>
        </w:tc>
      </w:tr>
    </w:tbl>
    <w:p w14:paraId="0D6A7B69" w14:textId="77777777" w:rsidR="00B64275" w:rsidRDefault="00B64275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8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8"/>
      </w:tblGrid>
      <w:tr w:rsidR="00B64275" w14:paraId="2EFECA47" w14:textId="77777777">
        <w:trPr>
          <w:trHeight w:val="2331"/>
        </w:trPr>
        <w:tc>
          <w:tcPr>
            <w:tcW w:w="8488" w:type="dxa"/>
          </w:tcPr>
          <w:p w14:paraId="490D31E0" w14:textId="77777777" w:rsidR="00B64275" w:rsidRDefault="00351BF8">
            <w:pPr>
              <w:spacing w:before="120"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Objectives</w:t>
            </w:r>
          </w:p>
          <w:p w14:paraId="1A3F4A33" w14:textId="77777777" w:rsidR="00B64275" w:rsidRDefault="00351B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Studying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the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economic impacts of the Black Death</w:t>
            </w:r>
          </w:p>
          <w:p w14:paraId="090E489E" w14:textId="77777777" w:rsidR="00B64275" w:rsidRDefault="00351B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Learn about geospatial data. </w:t>
            </w:r>
          </w:p>
          <w:p w14:paraId="040490D2" w14:textId="77777777" w:rsidR="00B64275" w:rsidRDefault="00351BF8">
            <w:pPr>
              <w:numPr>
                <w:ilvl w:val="0"/>
                <w:numId w:val="1"/>
              </w:num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Replicate maps with QGIS.</w:t>
            </w:r>
          </w:p>
          <w:p w14:paraId="3E347D57" w14:textId="77777777" w:rsidR="00B64275" w:rsidRDefault="00B64275">
            <w:pPr>
              <w:spacing w:line="276" w:lineRule="auto"/>
              <w:rPr>
                <w:sz w:val="24"/>
                <w:szCs w:val="24"/>
              </w:rPr>
            </w:pPr>
          </w:p>
          <w:p w14:paraId="7EB93D28" w14:textId="77777777" w:rsidR="00B64275" w:rsidRDefault="00351BF8">
            <w:pPr>
              <w:spacing w:line="276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Working materials</w:t>
            </w:r>
          </w:p>
          <w:p w14:paraId="236C1D78" w14:textId="5FB00FD3" w:rsidR="00B64275" w:rsidRDefault="00351BF8">
            <w:pPr>
              <w:widowControl w:val="0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Jedwab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, Remi, Noel D. </w:t>
            </w:r>
            <w:r w:rsidR="00CA31B3">
              <w:rPr>
                <w:rFonts w:ascii="Calibri" w:eastAsia="Calibri" w:hAnsi="Calibri" w:cs="Calibri"/>
                <w:b/>
                <w:sz w:val="24"/>
                <w:szCs w:val="24"/>
              </w:rPr>
              <w:t>Johnson,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and Mark Koyama.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[2022]. "The Economic Impact of the Black Death."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Journal of Economic Literature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60(1):132-78. </w:t>
            </w:r>
          </w:p>
          <w:p w14:paraId="05B35AD7" w14:textId="77777777" w:rsidR="00B64275" w:rsidRDefault="00351B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QGIS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vertAlign w:val="superscript"/>
              </w:rPr>
              <w:footnoteReference w:id="1"/>
            </w:r>
          </w:p>
          <w:p w14:paraId="4CB0A034" w14:textId="38C30443" w:rsidR="00B64275" w:rsidRDefault="00351B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You will need the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folder Figure1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which can be found on the virtual campus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perscript"/>
              </w:rPr>
              <w:footnoteReference w:id="2"/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. </w:t>
            </w:r>
          </w:p>
        </w:tc>
      </w:tr>
    </w:tbl>
    <w:p w14:paraId="7FA2C208" w14:textId="77777777" w:rsidR="00B64275" w:rsidRDefault="00351BF8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1FAAE9C" w14:textId="77777777" w:rsidR="00B64275" w:rsidRDefault="00351BF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Exercise guide</w:t>
      </w:r>
    </w:p>
    <w:p w14:paraId="29095A55" w14:textId="77777777" w:rsidR="00B64275" w:rsidRDefault="00B64275">
      <w:pPr>
        <w:spacing w:line="276" w:lineRule="auto"/>
        <w:rPr>
          <w:rFonts w:ascii="Times New Roman" w:eastAsia="Times New Roman" w:hAnsi="Times New Roman" w:cs="Times New Roman"/>
        </w:rPr>
      </w:pPr>
    </w:p>
    <w:p w14:paraId="66DB498A" w14:textId="77777777" w:rsidR="00B64275" w:rsidRDefault="00351BF8">
      <w:pPr>
        <w:spacing w:line="276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The exercises marked with an asterisk (*) are compulsory and must be submitted by email </w:t>
      </w:r>
      <w:r>
        <w:rPr>
          <w:rFonts w:ascii="Times New Roman" w:eastAsia="Times New Roman" w:hAnsi="Times New Roman" w:cs="Times New Roman"/>
          <w:b/>
        </w:rPr>
        <w:t>before 12.00 on Wednesday 8</w:t>
      </w:r>
      <w:r>
        <w:rPr>
          <w:rFonts w:ascii="Times New Roman" w:eastAsia="Times New Roman" w:hAnsi="Times New Roman" w:cs="Times New Roman"/>
          <w:b/>
          <w:vertAlign w:val="superscript"/>
        </w:rPr>
        <w:t>th</w:t>
      </w:r>
      <w:r>
        <w:rPr>
          <w:rFonts w:ascii="Times New Roman" w:eastAsia="Times New Roman" w:hAnsi="Times New Roman" w:cs="Times New Roman"/>
          <w:b/>
        </w:rPr>
        <w:t xml:space="preserve"> June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</w:rPr>
        <w:t xml:space="preserve"> To the mark obtained on the evaluation of this assignment,</w:t>
      </w:r>
      <w:r>
        <w:rPr>
          <w:rFonts w:ascii="Times New Roman" w:eastAsia="Times New Roman" w:hAnsi="Times New Roman" w:cs="Times New Roman"/>
          <w:b/>
        </w:rPr>
        <w:t xml:space="preserve"> 0.05 points will be subtracted for each minute late</w:t>
      </w:r>
      <w:r>
        <w:rPr>
          <w:rFonts w:ascii="Times New Roman" w:eastAsia="Times New Roman" w:hAnsi="Times New Roman" w:cs="Times New Roman"/>
        </w:rPr>
        <w:t>. Consult the course program with regards to the formalities of the presentation.</w:t>
      </w:r>
    </w:p>
    <w:p w14:paraId="05A12B19" w14:textId="77777777" w:rsidR="00B64275" w:rsidRDefault="00B64275">
      <w:pPr>
        <w:spacing w:line="276" w:lineRule="auto"/>
        <w:rPr>
          <w:rFonts w:ascii="Times New Roman" w:eastAsia="Times New Roman" w:hAnsi="Times New Roman" w:cs="Times New Roman"/>
        </w:rPr>
      </w:pPr>
    </w:p>
    <w:p w14:paraId="12FF0A25" w14:textId="77777777" w:rsidR="00B64275" w:rsidRDefault="00351B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(*) Explain in a few words </w:t>
      </w:r>
      <w:r>
        <w:rPr>
          <w:rFonts w:ascii="Times New Roman" w:eastAsia="Times New Roman" w:hAnsi="Times New Roman" w:cs="Times New Roman"/>
        </w:rPr>
        <w:t>what the</w:t>
      </w:r>
      <w:r>
        <w:rPr>
          <w:rFonts w:ascii="Times New Roman" w:eastAsia="Times New Roman" w:hAnsi="Times New Roman" w:cs="Times New Roman"/>
          <w:color w:val="000000"/>
        </w:rPr>
        <w:t xml:space="preserve"> question </w:t>
      </w:r>
      <w:r>
        <w:rPr>
          <w:rFonts w:ascii="Times New Roman" w:eastAsia="Times New Roman" w:hAnsi="Times New Roman" w:cs="Times New Roman"/>
        </w:rPr>
        <w:t>the authors</w:t>
      </w:r>
      <w:r>
        <w:rPr>
          <w:rFonts w:ascii="Times New Roman" w:eastAsia="Times New Roman" w:hAnsi="Times New Roman" w:cs="Times New Roman"/>
          <w:color w:val="000000"/>
        </w:rPr>
        <w:t xml:space="preserve"> are trying to answer. What are the main results?</w:t>
      </w:r>
    </w:p>
    <w:p w14:paraId="5D34D96C" w14:textId="77777777" w:rsidR="00B64275" w:rsidRDefault="00B64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4F85F5FA" w14:textId="77777777" w:rsidR="00B64275" w:rsidRDefault="00351B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Why do the authors claim that the Black Death was an exogenous shock? </w:t>
      </w:r>
    </w:p>
    <w:p w14:paraId="613A4751" w14:textId="77777777" w:rsidR="00B64275" w:rsidRDefault="00B64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</w:p>
    <w:p w14:paraId="13CEE3EB" w14:textId="77777777" w:rsidR="00B64275" w:rsidRDefault="00351B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Identify the georeferenced objects used to calculate the market access index for cities.</w:t>
      </w:r>
    </w:p>
    <w:p w14:paraId="030A5AA8" w14:textId="77777777" w:rsidR="00B64275" w:rsidRDefault="00B64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3F449FEB" w14:textId="77777777" w:rsidR="00B64275" w:rsidRDefault="00351BF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What should be the impact of the Black Death on wages according to the </w:t>
      </w:r>
      <w:r>
        <w:rPr>
          <w:rFonts w:ascii="Times New Roman" w:eastAsia="Times New Roman" w:hAnsi="Times New Roman" w:cs="Times New Roman"/>
        </w:rPr>
        <w:lastRenderedPageBreak/>
        <w:t>Malthusian model? What differs in the Smithian framework?</w:t>
      </w:r>
    </w:p>
    <w:p w14:paraId="46B7DFC0" w14:textId="77777777" w:rsidR="00B64275" w:rsidRDefault="00B6427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170FB061" w14:textId="77777777" w:rsidR="00B64275" w:rsidRDefault="00351BF8">
      <w:pPr>
        <w:widowControl w:val="0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(*) Replicate below figure (which corresponds to Figure 1 of the paper) using data from shapefiles in the "Figure1" folder. </w:t>
      </w:r>
      <w:r>
        <w:rPr>
          <w:rFonts w:ascii="Times New Roman" w:eastAsia="Times New Roman" w:hAnsi="Times New Roman" w:cs="Times New Roman"/>
        </w:rPr>
        <w:br/>
      </w:r>
    </w:p>
    <w:p w14:paraId="4FEE34BB" w14:textId="77777777" w:rsidR="00B64275" w:rsidRDefault="00351BF8">
      <w:pPr>
        <w:widowControl w:val="0"/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B44B61A" wp14:editId="660AB9EB">
            <wp:extent cx="4817176" cy="4587787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176" cy="4587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D98DF" w14:textId="77777777" w:rsidR="00B64275" w:rsidRDefault="00B64275" w:rsidP="008B61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55E840C" w14:textId="77777777" w:rsidR="00B64275" w:rsidRDefault="00B64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65FC7C73" w14:textId="5F4B1D1C" w:rsidR="00B64275" w:rsidRDefault="00583512" w:rsidP="00F059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They try to answer w</w:t>
      </w:r>
      <w:r w:rsidR="00A754EA">
        <w:rPr>
          <w:rFonts w:ascii="Times New Roman" w:eastAsia="Times New Roman" w:hAnsi="Times New Roman" w:cs="Times New Roman"/>
          <w:color w:val="000000"/>
        </w:rPr>
        <w:t xml:space="preserve">hether black death </w:t>
      </w:r>
      <w:r w:rsidR="00585B49">
        <w:rPr>
          <w:rFonts w:ascii="Times New Roman" w:eastAsia="Times New Roman" w:hAnsi="Times New Roman" w:cs="Times New Roman"/>
          <w:color w:val="000000"/>
        </w:rPr>
        <w:t xml:space="preserve">was an </w:t>
      </w:r>
      <w:r w:rsidR="00F0598B">
        <w:rPr>
          <w:rFonts w:ascii="Times New Roman" w:eastAsia="Times New Roman" w:hAnsi="Times New Roman" w:cs="Times New Roman"/>
          <w:color w:val="000000"/>
        </w:rPr>
        <w:t>ex</w:t>
      </w:r>
      <w:r w:rsidR="00585B49">
        <w:rPr>
          <w:rFonts w:ascii="Times New Roman" w:eastAsia="Times New Roman" w:hAnsi="Times New Roman" w:cs="Times New Roman"/>
          <w:color w:val="000000"/>
        </w:rPr>
        <w:t xml:space="preserve">ogenous </w:t>
      </w:r>
      <w:r w:rsidR="00F0598B">
        <w:rPr>
          <w:rFonts w:ascii="Times New Roman" w:eastAsia="Times New Roman" w:hAnsi="Times New Roman" w:cs="Times New Roman"/>
          <w:color w:val="000000"/>
        </w:rPr>
        <w:t xml:space="preserve">mortality </w:t>
      </w:r>
      <w:r w:rsidR="00585B49">
        <w:rPr>
          <w:rFonts w:ascii="Times New Roman" w:eastAsia="Times New Roman" w:hAnsi="Times New Roman" w:cs="Times New Roman"/>
          <w:color w:val="000000"/>
        </w:rPr>
        <w:t>shock</w:t>
      </w:r>
      <w:r w:rsidR="00C35829">
        <w:rPr>
          <w:rFonts w:ascii="Times New Roman" w:eastAsia="Times New Roman" w:hAnsi="Times New Roman" w:cs="Times New Roman"/>
          <w:color w:val="000000"/>
        </w:rPr>
        <w:t xml:space="preserve"> and what could have been the political and </w:t>
      </w:r>
      <w:r w:rsidR="00675689">
        <w:rPr>
          <w:rFonts w:ascii="Times New Roman" w:eastAsia="Times New Roman" w:hAnsi="Times New Roman" w:cs="Times New Roman"/>
          <w:color w:val="000000"/>
        </w:rPr>
        <w:t>economic</w:t>
      </w:r>
      <w:r w:rsidR="00C35829">
        <w:rPr>
          <w:rFonts w:ascii="Times New Roman" w:eastAsia="Times New Roman" w:hAnsi="Times New Roman" w:cs="Times New Roman"/>
          <w:color w:val="000000"/>
        </w:rPr>
        <w:t xml:space="preserve"> effects of the plague. </w:t>
      </w:r>
      <w:r w:rsidR="00EC23A5">
        <w:rPr>
          <w:rFonts w:ascii="Times New Roman" w:eastAsia="Times New Roman" w:hAnsi="Times New Roman" w:cs="Times New Roman"/>
          <w:color w:val="000000"/>
        </w:rPr>
        <w:t xml:space="preserve">They find </w:t>
      </w:r>
      <w:r w:rsidR="0081312B">
        <w:rPr>
          <w:rFonts w:ascii="Times New Roman" w:eastAsia="Times New Roman" w:hAnsi="Times New Roman" w:cs="Times New Roman"/>
          <w:color w:val="000000"/>
        </w:rPr>
        <w:t>that, b</w:t>
      </w:r>
      <w:r w:rsidR="0081312B">
        <w:rPr>
          <w:rFonts w:ascii="Times New Roman" w:eastAsia="Times New Roman" w:hAnsi="Times New Roman" w:cs="Times New Roman"/>
          <w:color w:val="000000"/>
        </w:rPr>
        <w:t>efore 1300 city characteristics were unrelated to mortality, limiting the potential for endogeneity.</w:t>
      </w:r>
      <w:r w:rsidR="0081312B">
        <w:rPr>
          <w:rFonts w:ascii="Times New Roman" w:eastAsia="Times New Roman" w:hAnsi="Times New Roman" w:cs="Times New Roman"/>
          <w:color w:val="000000"/>
        </w:rPr>
        <w:t xml:space="preserve"> Also, that i</w:t>
      </w:r>
      <w:r w:rsidR="00675689">
        <w:rPr>
          <w:rFonts w:ascii="Times New Roman" w:eastAsia="Times New Roman" w:hAnsi="Times New Roman" w:cs="Times New Roman"/>
          <w:color w:val="000000"/>
        </w:rPr>
        <w:t xml:space="preserve">t </w:t>
      </w:r>
      <w:r w:rsidR="0040251D">
        <w:rPr>
          <w:rFonts w:ascii="Times New Roman" w:eastAsia="Times New Roman" w:hAnsi="Times New Roman" w:cs="Times New Roman"/>
          <w:color w:val="000000"/>
        </w:rPr>
        <w:t>influenced</w:t>
      </w:r>
      <w:r w:rsidR="00675689">
        <w:rPr>
          <w:rFonts w:ascii="Times New Roman" w:eastAsia="Times New Roman" w:hAnsi="Times New Roman" w:cs="Times New Roman"/>
          <w:color w:val="000000"/>
        </w:rPr>
        <w:t xml:space="preserve"> prices and that</w:t>
      </w:r>
      <w:r w:rsidR="0040251D">
        <w:rPr>
          <w:rFonts w:ascii="Times New Roman" w:eastAsia="Times New Roman" w:hAnsi="Times New Roman" w:cs="Times New Roman"/>
          <w:color w:val="000000"/>
        </w:rPr>
        <w:t>,</w:t>
      </w:r>
      <w:r w:rsidR="00675689">
        <w:rPr>
          <w:rFonts w:ascii="Times New Roman" w:eastAsia="Times New Roman" w:hAnsi="Times New Roman" w:cs="Times New Roman"/>
          <w:color w:val="000000"/>
        </w:rPr>
        <w:t xml:space="preserve"> through a Malthusian logic</w:t>
      </w:r>
      <w:r w:rsidR="0040251D">
        <w:rPr>
          <w:rFonts w:ascii="Times New Roman" w:eastAsia="Times New Roman" w:hAnsi="Times New Roman" w:cs="Times New Roman"/>
          <w:color w:val="000000"/>
        </w:rPr>
        <w:t>,</w:t>
      </w:r>
      <w:r w:rsidR="00675689">
        <w:rPr>
          <w:rFonts w:ascii="Times New Roman" w:eastAsia="Times New Roman" w:hAnsi="Times New Roman" w:cs="Times New Roman"/>
          <w:color w:val="000000"/>
        </w:rPr>
        <w:t xml:space="preserve"> wages </w:t>
      </w:r>
      <w:r w:rsidR="0040251D">
        <w:rPr>
          <w:rFonts w:ascii="Times New Roman" w:eastAsia="Times New Roman" w:hAnsi="Times New Roman" w:cs="Times New Roman"/>
          <w:color w:val="000000"/>
        </w:rPr>
        <w:t>rose,</w:t>
      </w:r>
      <w:r w:rsidR="00675689">
        <w:rPr>
          <w:rFonts w:ascii="Times New Roman" w:eastAsia="Times New Roman" w:hAnsi="Times New Roman" w:cs="Times New Roman"/>
          <w:color w:val="000000"/>
        </w:rPr>
        <w:t xml:space="preserve"> and inequality diminished</w:t>
      </w:r>
      <w:r w:rsidR="00C7704E">
        <w:rPr>
          <w:rFonts w:ascii="Times New Roman" w:eastAsia="Times New Roman" w:hAnsi="Times New Roman" w:cs="Times New Roman"/>
          <w:color w:val="000000"/>
        </w:rPr>
        <w:t xml:space="preserve">, although, in the long term, those effects dwindled at different rates and stabilize afterwards. </w:t>
      </w:r>
      <w:r w:rsidR="00651AA2">
        <w:rPr>
          <w:rFonts w:ascii="Times New Roman" w:eastAsia="Times New Roman" w:hAnsi="Times New Roman" w:cs="Times New Roman"/>
          <w:color w:val="000000"/>
        </w:rPr>
        <w:t xml:space="preserve">On the political side, they </w:t>
      </w:r>
      <w:r w:rsidR="0040251D">
        <w:rPr>
          <w:rFonts w:ascii="Times New Roman" w:eastAsia="Times New Roman" w:hAnsi="Times New Roman" w:cs="Times New Roman"/>
          <w:color w:val="000000"/>
        </w:rPr>
        <w:t xml:space="preserve">explain </w:t>
      </w:r>
      <w:r w:rsidR="00010B05">
        <w:rPr>
          <w:rFonts w:ascii="Times New Roman" w:eastAsia="Times New Roman" w:hAnsi="Times New Roman" w:cs="Times New Roman"/>
          <w:color w:val="000000"/>
        </w:rPr>
        <w:t>how states gained power in tax collecting as salaries extend past subsistence level and it is therefore plausible to charge mor</w:t>
      </w:r>
      <w:r w:rsidR="0081312B">
        <w:rPr>
          <w:rFonts w:ascii="Times New Roman" w:eastAsia="Times New Roman" w:hAnsi="Times New Roman" w:cs="Times New Roman"/>
          <w:color w:val="000000"/>
        </w:rPr>
        <w:t xml:space="preserve">e. </w:t>
      </w:r>
    </w:p>
    <w:p w14:paraId="4A89865E" w14:textId="53F4711A" w:rsidR="0081312B" w:rsidRDefault="001A79E9" w:rsidP="00F059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 </w:t>
      </w:r>
      <w:r w:rsidR="00BC28E2">
        <w:rPr>
          <w:rFonts w:ascii="Times New Roman" w:eastAsia="Times New Roman" w:hAnsi="Times New Roman" w:cs="Times New Roman"/>
          <w:color w:val="000000"/>
        </w:rPr>
        <w:t>They think the plague was an exogenous shock b</w:t>
      </w:r>
      <w:r>
        <w:rPr>
          <w:rFonts w:ascii="Times New Roman" w:eastAsia="Times New Roman" w:hAnsi="Times New Roman" w:cs="Times New Roman"/>
          <w:color w:val="000000"/>
        </w:rPr>
        <w:t xml:space="preserve">ecause the prevailing </w:t>
      </w:r>
      <w:r w:rsidR="00BC28E2">
        <w:rPr>
          <w:rFonts w:ascii="Times New Roman" w:eastAsia="Times New Roman" w:hAnsi="Times New Roman" w:cs="Times New Roman"/>
          <w:color w:val="000000"/>
        </w:rPr>
        <w:t>conditions</w:t>
      </w:r>
      <w:r>
        <w:rPr>
          <w:rFonts w:ascii="Times New Roman" w:eastAsia="Times New Roman" w:hAnsi="Times New Roman" w:cs="Times New Roman"/>
          <w:color w:val="000000"/>
        </w:rPr>
        <w:t xml:space="preserve"> pre-black death weren</w:t>
      </w:r>
      <w:r w:rsidR="00C116E9">
        <w:rPr>
          <w:rFonts w:ascii="Times New Roman" w:eastAsia="Times New Roman" w:hAnsi="Times New Roman" w:cs="Times New Roman"/>
          <w:color w:val="000000"/>
        </w:rPr>
        <w:t>’</w:t>
      </w:r>
      <w:r>
        <w:rPr>
          <w:rFonts w:ascii="Times New Roman" w:eastAsia="Times New Roman" w:hAnsi="Times New Roman" w:cs="Times New Roman"/>
          <w:color w:val="000000"/>
        </w:rPr>
        <w:t>t sufficient for it to be exogenous</w:t>
      </w:r>
      <w:r w:rsidR="00346A62">
        <w:rPr>
          <w:rFonts w:ascii="Times New Roman" w:eastAsia="Times New Roman" w:hAnsi="Times New Roman" w:cs="Times New Roman"/>
          <w:color w:val="000000"/>
        </w:rPr>
        <w:t xml:space="preserve">, in the sense that the mortality rates for </w:t>
      </w:r>
      <w:r w:rsidR="00B7733C">
        <w:rPr>
          <w:rFonts w:ascii="Times New Roman" w:eastAsia="Times New Roman" w:hAnsi="Times New Roman" w:cs="Times New Roman"/>
          <w:color w:val="000000"/>
        </w:rPr>
        <w:t>cities</w:t>
      </w:r>
      <w:r w:rsidR="00346A62">
        <w:rPr>
          <w:rFonts w:ascii="Times New Roman" w:eastAsia="Times New Roman" w:hAnsi="Times New Roman" w:cs="Times New Roman"/>
          <w:color w:val="000000"/>
        </w:rPr>
        <w:t xml:space="preserve"> were not </w:t>
      </w:r>
      <w:r w:rsidR="006E2E6B">
        <w:rPr>
          <w:rFonts w:ascii="Times New Roman" w:eastAsia="Times New Roman" w:hAnsi="Times New Roman" w:cs="Times New Roman"/>
          <w:color w:val="000000"/>
        </w:rPr>
        <w:t xml:space="preserve">determined by some other factor like density or market access (trade </w:t>
      </w:r>
      <w:r w:rsidR="006E2E6B">
        <w:rPr>
          <w:rFonts w:ascii="Times New Roman" w:eastAsia="Times New Roman" w:hAnsi="Times New Roman" w:cs="Times New Roman"/>
          <w:color w:val="000000"/>
        </w:rPr>
        <w:lastRenderedPageBreak/>
        <w:t>potential)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FA6213">
        <w:rPr>
          <w:rFonts w:ascii="Times New Roman" w:eastAsia="Times New Roman" w:hAnsi="Times New Roman" w:cs="Times New Roman"/>
          <w:color w:val="000000"/>
        </w:rPr>
        <w:t xml:space="preserve"> The </w:t>
      </w:r>
      <w:proofErr w:type="gramStart"/>
      <w:r w:rsidR="00FA6213">
        <w:rPr>
          <w:rFonts w:ascii="Times New Roman" w:eastAsia="Times New Roman" w:hAnsi="Times New Roman" w:cs="Times New Roman"/>
          <w:color w:val="000000"/>
        </w:rPr>
        <w:t>first-hit</w:t>
      </w:r>
      <w:proofErr w:type="gramEnd"/>
      <w:r w:rsidR="00FA6213">
        <w:rPr>
          <w:rFonts w:ascii="Times New Roman" w:eastAsia="Times New Roman" w:hAnsi="Times New Roman" w:cs="Times New Roman"/>
          <w:color w:val="000000"/>
        </w:rPr>
        <w:t xml:space="preserve"> did not match characteristics one would expect if it were </w:t>
      </w:r>
      <w:r w:rsidR="00085761">
        <w:rPr>
          <w:rFonts w:ascii="Times New Roman" w:eastAsia="Times New Roman" w:hAnsi="Times New Roman" w:cs="Times New Roman"/>
          <w:color w:val="000000"/>
        </w:rPr>
        <w:t>endogenous</w:t>
      </w:r>
      <w:r w:rsidR="00FA6213">
        <w:rPr>
          <w:rFonts w:ascii="Times New Roman" w:eastAsia="Times New Roman" w:hAnsi="Times New Roman" w:cs="Times New Roman"/>
          <w:color w:val="000000"/>
        </w:rPr>
        <w:t xml:space="preserve">, like </w:t>
      </w:r>
      <w:r w:rsidR="00E87186">
        <w:rPr>
          <w:rFonts w:ascii="Times New Roman" w:eastAsia="Times New Roman" w:hAnsi="Times New Roman" w:cs="Times New Roman"/>
          <w:color w:val="000000"/>
        </w:rPr>
        <w:t>big population size or amount of trade.</w:t>
      </w:r>
      <w:r w:rsidR="00085761">
        <w:rPr>
          <w:rFonts w:ascii="Times New Roman" w:eastAsia="Times New Roman" w:hAnsi="Times New Roman" w:cs="Times New Roman"/>
          <w:color w:val="000000"/>
        </w:rPr>
        <w:t xml:space="preserve"> In any case, they say “random factors compensated for non-random factors” in the spread of the disease.</w:t>
      </w:r>
    </w:p>
    <w:p w14:paraId="466DF844" w14:textId="76839A31" w:rsidR="001F7639" w:rsidRDefault="001F7639" w:rsidP="00F059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</w:t>
      </w:r>
      <w:r w:rsidR="005A42A4">
        <w:rPr>
          <w:rFonts w:ascii="Times New Roman" w:eastAsia="Times New Roman" w:hAnsi="Times New Roman" w:cs="Times New Roman"/>
          <w:color w:val="000000"/>
        </w:rPr>
        <w:t xml:space="preserve">The market access index might have </w:t>
      </w:r>
      <w:r w:rsidR="00AB40E4">
        <w:rPr>
          <w:rFonts w:ascii="Times New Roman" w:eastAsia="Times New Roman" w:hAnsi="Times New Roman" w:cs="Times New Roman"/>
          <w:color w:val="000000"/>
        </w:rPr>
        <w:t>been drawn</w:t>
      </w:r>
      <w:r w:rsidR="005A42A4">
        <w:rPr>
          <w:rFonts w:ascii="Times New Roman" w:eastAsia="Times New Roman" w:hAnsi="Times New Roman" w:cs="Times New Roman"/>
          <w:color w:val="000000"/>
        </w:rPr>
        <w:t xml:space="preserve"> from georeferenced objects</w:t>
      </w:r>
      <w:r w:rsidR="00AB40E4">
        <w:rPr>
          <w:rFonts w:ascii="Times New Roman" w:eastAsia="Times New Roman" w:hAnsi="Times New Roman" w:cs="Times New Roman"/>
          <w:color w:val="000000"/>
        </w:rPr>
        <w:t xml:space="preserve"> like known major trade centers and ports </w:t>
      </w:r>
      <w:r w:rsidR="002E4F9D">
        <w:rPr>
          <w:rFonts w:ascii="Times New Roman" w:eastAsia="Times New Roman" w:hAnsi="Times New Roman" w:cs="Times New Roman"/>
          <w:color w:val="000000"/>
        </w:rPr>
        <w:t xml:space="preserve">and calculating every </w:t>
      </w:r>
      <w:r w:rsidR="009D18B6">
        <w:rPr>
          <w:rFonts w:ascii="Times New Roman" w:eastAsia="Times New Roman" w:hAnsi="Times New Roman" w:cs="Times New Roman"/>
          <w:color w:val="000000"/>
        </w:rPr>
        <w:t>city</w:t>
      </w:r>
      <w:r w:rsidR="00D12A99">
        <w:rPr>
          <w:rFonts w:ascii="Times New Roman" w:eastAsia="Times New Roman" w:hAnsi="Times New Roman" w:cs="Times New Roman"/>
          <w:color w:val="000000"/>
        </w:rPr>
        <w:t xml:space="preserve">’s </w:t>
      </w:r>
      <w:r w:rsidR="002E4F9D">
        <w:rPr>
          <w:rFonts w:ascii="Times New Roman" w:eastAsia="Times New Roman" w:hAnsi="Times New Roman" w:cs="Times New Roman"/>
          <w:color w:val="000000"/>
        </w:rPr>
        <w:t xml:space="preserve">best-case distance to them, so a city further from </w:t>
      </w:r>
      <w:r w:rsidR="00787F20">
        <w:rPr>
          <w:rFonts w:ascii="Times New Roman" w:eastAsia="Times New Roman" w:hAnsi="Times New Roman" w:cs="Times New Roman"/>
          <w:color w:val="000000"/>
        </w:rPr>
        <w:t>ports and major trade centers would have a lower market access.</w:t>
      </w:r>
    </w:p>
    <w:p w14:paraId="433AB934" w14:textId="4C0AFDA9" w:rsidR="00271513" w:rsidRDefault="00271513" w:rsidP="00F059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 According to </w:t>
      </w:r>
      <w:r w:rsidR="00CD2C6E">
        <w:rPr>
          <w:rFonts w:ascii="Times New Roman" w:eastAsia="Times New Roman" w:hAnsi="Times New Roman" w:cs="Times New Roman"/>
          <w:color w:val="000000"/>
        </w:rPr>
        <w:t>Malthus</w:t>
      </w:r>
      <w:r w:rsidR="00787F20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they should increase </w:t>
      </w:r>
      <w:r w:rsidR="003504CE"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  <w:color w:val="000000"/>
        </w:rPr>
        <w:t>cause</w:t>
      </w:r>
      <w:r w:rsidR="003504CE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as workforce </w:t>
      </w:r>
      <w:r w:rsidR="00787F20">
        <w:rPr>
          <w:rFonts w:ascii="Times New Roman" w:eastAsia="Times New Roman" w:hAnsi="Times New Roman" w:cs="Times New Roman"/>
          <w:color w:val="000000"/>
        </w:rPr>
        <w:t>diminishes,</w:t>
      </w:r>
      <w:r>
        <w:rPr>
          <w:rFonts w:ascii="Times New Roman" w:eastAsia="Times New Roman" w:hAnsi="Times New Roman" w:cs="Times New Roman"/>
          <w:color w:val="000000"/>
        </w:rPr>
        <w:t xml:space="preserve"> demand for work doesn’t so</w:t>
      </w:r>
      <w:r w:rsidR="0085170C">
        <w:rPr>
          <w:rFonts w:ascii="Times New Roman" w:eastAsia="Times New Roman" w:hAnsi="Times New Roman" w:cs="Times New Roman"/>
          <w:color w:val="000000"/>
        </w:rPr>
        <w:t xml:space="preserve"> higher wages </w:t>
      </w:r>
      <w:r>
        <w:rPr>
          <w:rFonts w:ascii="Times New Roman" w:eastAsia="Times New Roman" w:hAnsi="Times New Roman" w:cs="Times New Roman"/>
          <w:color w:val="000000"/>
        </w:rPr>
        <w:t xml:space="preserve">needs to be </w:t>
      </w:r>
      <w:r w:rsidR="0085170C">
        <w:rPr>
          <w:rFonts w:ascii="Times New Roman" w:eastAsia="Times New Roman" w:hAnsi="Times New Roman" w:cs="Times New Roman"/>
          <w:color w:val="000000"/>
        </w:rPr>
        <w:t>offered</w:t>
      </w:r>
      <w:r>
        <w:rPr>
          <w:rFonts w:ascii="Times New Roman" w:eastAsia="Times New Roman" w:hAnsi="Times New Roman" w:cs="Times New Roman"/>
          <w:color w:val="000000"/>
        </w:rPr>
        <w:t xml:space="preserve"> to cover for the offset.</w:t>
      </w:r>
      <w:r w:rsidR="00D81D0D">
        <w:rPr>
          <w:rFonts w:ascii="Times New Roman" w:eastAsia="Times New Roman" w:hAnsi="Times New Roman" w:cs="Times New Roman"/>
          <w:color w:val="000000"/>
        </w:rPr>
        <w:t xml:space="preserve"> The ratio of labour to land and to capital are going to </w:t>
      </w:r>
      <w:r w:rsidR="00BD22C9">
        <w:rPr>
          <w:rFonts w:ascii="Times New Roman" w:eastAsia="Times New Roman" w:hAnsi="Times New Roman" w:cs="Times New Roman"/>
          <w:color w:val="000000"/>
        </w:rPr>
        <w:t xml:space="preserve">increase with all those deaths </w:t>
      </w:r>
      <w:r w:rsidR="00D569D2">
        <w:rPr>
          <w:rFonts w:ascii="Times New Roman" w:eastAsia="Times New Roman" w:hAnsi="Times New Roman" w:cs="Times New Roman"/>
          <w:color w:val="000000"/>
        </w:rPr>
        <w:t>and therefore per capita income should be higher.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87F18">
        <w:rPr>
          <w:rFonts w:ascii="Times New Roman" w:eastAsia="Times New Roman" w:hAnsi="Times New Roman" w:cs="Times New Roman"/>
          <w:color w:val="000000"/>
        </w:rPr>
        <w:t xml:space="preserve">Smith, instead, proposes that know-how is </w:t>
      </w:r>
      <w:r w:rsidR="00D569D2">
        <w:rPr>
          <w:rFonts w:ascii="Times New Roman" w:eastAsia="Times New Roman" w:hAnsi="Times New Roman" w:cs="Times New Roman"/>
          <w:color w:val="000000"/>
        </w:rPr>
        <w:t>lost,</w:t>
      </w:r>
      <w:r w:rsidR="00F87F18">
        <w:rPr>
          <w:rFonts w:ascii="Times New Roman" w:eastAsia="Times New Roman" w:hAnsi="Times New Roman" w:cs="Times New Roman"/>
          <w:color w:val="000000"/>
        </w:rPr>
        <w:t xml:space="preserve"> and the progress of knowledge is stalled</w:t>
      </w:r>
      <w:r w:rsidR="00D569D2">
        <w:rPr>
          <w:rFonts w:ascii="Times New Roman" w:eastAsia="Times New Roman" w:hAnsi="Times New Roman" w:cs="Times New Roman"/>
          <w:color w:val="000000"/>
        </w:rPr>
        <w:t xml:space="preserve">, so </w:t>
      </w:r>
      <w:r w:rsidR="006930B7">
        <w:rPr>
          <w:rFonts w:ascii="Times New Roman" w:eastAsia="Times New Roman" w:hAnsi="Times New Roman" w:cs="Times New Roman"/>
          <w:color w:val="000000"/>
        </w:rPr>
        <w:t>even though incomes grow, GDP doesn’t at the same rate; it lags</w:t>
      </w:r>
      <w:r w:rsidR="00F87F18">
        <w:rPr>
          <w:rFonts w:ascii="Times New Roman" w:eastAsia="Times New Roman" w:hAnsi="Times New Roman" w:cs="Times New Roman"/>
          <w:color w:val="000000"/>
        </w:rPr>
        <w:t>.</w:t>
      </w:r>
      <w:r w:rsidR="006930B7">
        <w:rPr>
          <w:rFonts w:ascii="Times New Roman" w:eastAsia="Times New Roman" w:hAnsi="Times New Roman" w:cs="Times New Roman"/>
          <w:color w:val="000000"/>
        </w:rPr>
        <w:t xml:space="preserve"> </w:t>
      </w:r>
      <w:r w:rsidR="006A43C9">
        <w:rPr>
          <w:rFonts w:ascii="Times New Roman" w:eastAsia="Times New Roman" w:hAnsi="Times New Roman" w:cs="Times New Roman"/>
          <w:color w:val="000000"/>
        </w:rPr>
        <w:t xml:space="preserve">The market was internally in shambles with such a great shock which in turn prevents wages from rising even further than they </w:t>
      </w:r>
      <w:r w:rsidR="00453B9B">
        <w:rPr>
          <w:rFonts w:ascii="Times New Roman" w:eastAsia="Times New Roman" w:hAnsi="Times New Roman" w:cs="Times New Roman"/>
          <w:color w:val="000000"/>
        </w:rPr>
        <w:t xml:space="preserve">would in a purely Malthusian frame. Nevertheless, the authors say a Malthusian approach is better fit to account for the evidence </w:t>
      </w:r>
      <w:r w:rsidR="009D18B6">
        <w:rPr>
          <w:rFonts w:ascii="Times New Roman" w:eastAsia="Times New Roman" w:hAnsi="Times New Roman" w:cs="Times New Roman"/>
          <w:color w:val="000000"/>
        </w:rPr>
        <w:t>of</w:t>
      </w:r>
      <w:r w:rsidR="00453B9B">
        <w:rPr>
          <w:rFonts w:ascii="Times New Roman" w:eastAsia="Times New Roman" w:hAnsi="Times New Roman" w:cs="Times New Roman"/>
          <w:color w:val="000000"/>
        </w:rPr>
        <w:t xml:space="preserve"> the period.</w:t>
      </w:r>
    </w:p>
    <w:p w14:paraId="444725D4" w14:textId="2B1F8AAB" w:rsidR="0081312B" w:rsidRDefault="00F43F20" w:rsidP="00F059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</w:t>
      </w:r>
      <w:r w:rsidR="0081312B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4177FEF" wp14:editId="4EC04B92">
            <wp:extent cx="5396230" cy="3816350"/>
            <wp:effectExtent l="0" t="0" r="0" b="0"/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B8B" w14:textId="77777777" w:rsidR="00B64275" w:rsidRDefault="00B642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80"/>
        <w:rPr>
          <w:rFonts w:ascii="Times New Roman" w:eastAsia="Times New Roman" w:hAnsi="Times New Roman" w:cs="Times New Roman"/>
          <w:color w:val="000000"/>
        </w:rPr>
      </w:pPr>
    </w:p>
    <w:p w14:paraId="6EDC0F52" w14:textId="77777777" w:rsidR="00B64275" w:rsidRDefault="00B64275">
      <w:pPr>
        <w:widowControl w:val="0"/>
        <w:spacing w:after="240" w:line="276" w:lineRule="auto"/>
        <w:jc w:val="center"/>
        <w:rPr>
          <w:rFonts w:ascii="Times New Roman" w:eastAsia="Times New Roman" w:hAnsi="Times New Roman" w:cs="Times New Roman"/>
        </w:rPr>
      </w:pPr>
    </w:p>
    <w:sectPr w:rsidR="00B64275">
      <w:headerReference w:type="default" r:id="rId10"/>
      <w:footerReference w:type="even" r:id="rId11"/>
      <w:footerReference w:type="default" r:id="rId12"/>
      <w:pgSz w:w="11900" w:h="16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DB894" w14:textId="77777777" w:rsidR="00A325F6" w:rsidRDefault="00A325F6">
      <w:r>
        <w:separator/>
      </w:r>
    </w:p>
  </w:endnote>
  <w:endnote w:type="continuationSeparator" w:id="0">
    <w:p w14:paraId="03AFBB11" w14:textId="77777777" w:rsidR="00A325F6" w:rsidRDefault="00A32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1D847" w14:textId="77777777" w:rsidR="00B64275" w:rsidRDefault="00351BF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B5E7F">
      <w:rPr>
        <w:color w:val="000000"/>
      </w:rPr>
      <w:fldChar w:fldCharType="separate"/>
    </w:r>
    <w:r>
      <w:rPr>
        <w:color w:val="000000"/>
      </w:rPr>
      <w:fldChar w:fldCharType="end"/>
    </w:r>
  </w:p>
  <w:p w14:paraId="2A42DD0F" w14:textId="77777777" w:rsidR="00B64275" w:rsidRDefault="00B642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6DF0" w14:textId="77777777" w:rsidR="00B64275" w:rsidRDefault="00B642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Times New Roman" w:eastAsia="Times New Roman" w:hAnsi="Times New Roman" w:cs="Times New Roman"/>
        <w:color w:val="000000"/>
        <w:u w:val="single"/>
      </w:rPr>
    </w:pPr>
  </w:p>
  <w:tbl>
    <w:tblPr>
      <w:tblStyle w:val="a2"/>
      <w:tblW w:w="848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244"/>
      <w:gridCol w:w="4244"/>
    </w:tblGrid>
    <w:tr w:rsidR="00B64275" w14:paraId="7156C8EA" w14:textId="77777777">
      <w:tc>
        <w:tcPr>
          <w:tcW w:w="4244" w:type="dxa"/>
        </w:tcPr>
        <w:p w14:paraId="4F944D8E" w14:textId="77777777" w:rsidR="00B64275" w:rsidRPr="008B61EB" w:rsidRDefault="00351B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360"/>
            <w:rPr>
              <w:rFonts w:ascii="Calibri" w:eastAsia="Calibri" w:hAnsi="Calibri" w:cs="Calibri"/>
              <w:color w:val="000000"/>
              <w:sz w:val="24"/>
              <w:szCs w:val="24"/>
              <w:lang w:val="es-ES"/>
            </w:rPr>
          </w:pPr>
          <w:r w:rsidRPr="008B61EB">
            <w:rPr>
              <w:rFonts w:ascii="Calibri" w:eastAsia="Calibri" w:hAnsi="Calibri" w:cs="Calibri"/>
              <w:color w:val="000000"/>
              <w:sz w:val="24"/>
              <w:szCs w:val="24"/>
              <w:u w:val="single"/>
              <w:lang w:val="es-ES"/>
            </w:rPr>
            <w:t>Tutors</w:t>
          </w:r>
          <w:r w:rsidRPr="008B61EB">
            <w:rPr>
              <w:rFonts w:ascii="Calibri" w:eastAsia="Calibri" w:hAnsi="Calibri" w:cs="Calibri"/>
              <w:color w:val="000000"/>
              <w:sz w:val="24"/>
              <w:szCs w:val="24"/>
              <w:lang w:val="es-ES"/>
            </w:rPr>
            <w:t>: Matías Gómez Seeber, Matías Harari.</w:t>
          </w:r>
        </w:p>
      </w:tc>
      <w:tc>
        <w:tcPr>
          <w:tcW w:w="4244" w:type="dxa"/>
        </w:tcPr>
        <w:p w14:paraId="0770115D" w14:textId="77777777" w:rsidR="00B64275" w:rsidRDefault="00351B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134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Page </w:t>
          </w:r>
          <w:r>
            <w:rPr>
              <w:color w:val="00000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instrText>PAGE</w:instrText>
          </w:r>
          <w:r>
            <w:rPr>
              <w:color w:val="000000"/>
            </w:rPr>
            <w:fldChar w:fldCharType="separate"/>
          </w:r>
          <w:r w:rsidR="008B61EB">
            <w:rPr>
              <w:rFonts w:ascii="Calibri" w:eastAsia="Calibri" w:hAnsi="Calibri" w:cs="Calibri"/>
              <w:noProof/>
              <w:color w:val="000000"/>
              <w:sz w:val="24"/>
              <w:szCs w:val="24"/>
            </w:rPr>
            <w:t>1</w:t>
          </w:r>
          <w:r>
            <w:rPr>
              <w:color w:val="000000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</w:p>
      </w:tc>
    </w:tr>
  </w:tbl>
  <w:p w14:paraId="2966B8B0" w14:textId="77777777" w:rsidR="00B64275" w:rsidRDefault="00B642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899DD" w14:textId="77777777" w:rsidR="00A325F6" w:rsidRDefault="00A325F6">
      <w:r>
        <w:separator/>
      </w:r>
    </w:p>
  </w:footnote>
  <w:footnote w:type="continuationSeparator" w:id="0">
    <w:p w14:paraId="1F3157CB" w14:textId="77777777" w:rsidR="00A325F6" w:rsidRDefault="00A325F6">
      <w:r>
        <w:continuationSeparator/>
      </w:r>
    </w:p>
  </w:footnote>
  <w:footnote w:id="1">
    <w:p w14:paraId="3F613FA7" w14:textId="77777777" w:rsidR="00B64275" w:rsidRDefault="00351B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Refdenotaalpie"/>
        </w:rPr>
        <w:footnoteRef/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Optional reference material:</w:t>
      </w:r>
    </w:p>
    <w:p w14:paraId="10D3BD71" w14:textId="77777777" w:rsidR="00B64275" w:rsidRDefault="00351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Graser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 A [2013]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“Learning QGIS 2.0”.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Packt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Publishing.</w:t>
      </w:r>
    </w:p>
    <w:p w14:paraId="26174E60" w14:textId="77777777" w:rsidR="00B64275" w:rsidRDefault="00351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Bruy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A. and 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Svidzinska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. [2015]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“QGIS by example”.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Packt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Publishing</w:t>
      </w:r>
    </w:p>
    <w:p w14:paraId="672686CC" w14:textId="77777777" w:rsidR="00B64275" w:rsidRDefault="00351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QGIS User Guide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1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https://docs.qgis.org/2.18/en/docs/user_manual/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C0E3CB7" w14:textId="77777777" w:rsidR="00B64275" w:rsidRDefault="00351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QGIS Training Manual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2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https://docs.qgis.org/2.18/en/docs/training_manual/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</w:p>
    <w:p w14:paraId="593C14F1" w14:textId="77777777" w:rsidR="00B64275" w:rsidRDefault="00351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 gentle introduction to QGIS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3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https://docs.qgis.org/2.18/en/docs/gentle_gis_introduction/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</w:footnote>
  <w:footnote w:id="2">
    <w:p w14:paraId="70FC40EF" w14:textId="77777777" w:rsidR="00B64275" w:rsidRDefault="00351BF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Style w:val="Refdenotaalpie"/>
        </w:rPr>
        <w:footnoteRef/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folders contain shapefiles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available in the online appendix of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Jedwab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Johnson and Koyama (2022).</w:t>
      </w:r>
    </w:p>
  </w:footnote>
  <w:footnote w:id="3">
    <w:p w14:paraId="1853F36F" w14:textId="77777777" w:rsidR="00B64275" w:rsidRDefault="00351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Style w:val="Refdenotaalpie"/>
        </w:rPr>
        <w:footnoteRef/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Check the course’s syllabus on presentation.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B8EE" w14:textId="77777777" w:rsidR="00B64275" w:rsidRDefault="00B6427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8647" w:type="dxa"/>
      <w:tblInd w:w="-3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245"/>
      <w:gridCol w:w="3402"/>
    </w:tblGrid>
    <w:tr w:rsidR="00B64275" w14:paraId="2A58EEB9" w14:textId="77777777">
      <w:tc>
        <w:tcPr>
          <w:tcW w:w="5245" w:type="dxa"/>
          <w:vAlign w:val="center"/>
        </w:tcPr>
        <w:p w14:paraId="52D03DE1" w14:textId="77777777" w:rsidR="00B64275" w:rsidRDefault="00351B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color w:val="404040"/>
              <w:sz w:val="24"/>
              <w:szCs w:val="24"/>
            </w:rPr>
          </w:pPr>
          <w:r>
            <w:rPr>
              <w:rFonts w:ascii="Calibri" w:eastAsia="Calibri" w:hAnsi="Calibri" w:cs="Calibri"/>
              <w:color w:val="404040"/>
              <w:sz w:val="24"/>
              <w:szCs w:val="24"/>
            </w:rPr>
            <w:t>Economic History I – Autumn 2022 (Murphy)</w:t>
          </w:r>
        </w:p>
      </w:tc>
      <w:tc>
        <w:tcPr>
          <w:tcW w:w="3402" w:type="dxa"/>
          <w:vAlign w:val="center"/>
        </w:tcPr>
        <w:p w14:paraId="19E2BC27" w14:textId="77777777" w:rsidR="00B64275" w:rsidRDefault="00351B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Century Schoolbook" w:eastAsia="Century Schoolbook" w:hAnsi="Century Schoolbook" w:cs="Century Schoolbook"/>
              <w:color w:val="404040"/>
              <w:sz w:val="24"/>
              <w:szCs w:val="24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</w:rPr>
            <w:drawing>
              <wp:inline distT="0" distB="0" distL="0" distR="0" wp14:anchorId="7E4CD83B" wp14:editId="65105A33">
                <wp:extent cx="1394536" cy="364235"/>
                <wp:effectExtent l="0" t="0" r="0" b="0"/>
                <wp:docPr id="5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l="1" r="35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536" cy="3642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0CAFEC8" w14:textId="77777777" w:rsidR="00B64275" w:rsidRDefault="00B642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40B"/>
    <w:multiLevelType w:val="multilevel"/>
    <w:tmpl w:val="194851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885F87"/>
    <w:multiLevelType w:val="multilevel"/>
    <w:tmpl w:val="2AB49A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AE0DBF"/>
    <w:multiLevelType w:val="multilevel"/>
    <w:tmpl w:val="02FCD6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F1568D"/>
    <w:multiLevelType w:val="multilevel"/>
    <w:tmpl w:val="59A0E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465855">
    <w:abstractNumId w:val="0"/>
  </w:num>
  <w:num w:numId="2" w16cid:durableId="74323278">
    <w:abstractNumId w:val="1"/>
  </w:num>
  <w:num w:numId="3" w16cid:durableId="42754480">
    <w:abstractNumId w:val="3"/>
  </w:num>
  <w:num w:numId="4" w16cid:durableId="1228953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275"/>
    <w:rsid w:val="00010B05"/>
    <w:rsid w:val="00085761"/>
    <w:rsid w:val="001A79E9"/>
    <w:rsid w:val="001F7639"/>
    <w:rsid w:val="00271513"/>
    <w:rsid w:val="002E4F9D"/>
    <w:rsid w:val="00346A62"/>
    <w:rsid w:val="003504CE"/>
    <w:rsid w:val="00351BF8"/>
    <w:rsid w:val="0040251D"/>
    <w:rsid w:val="00453B9B"/>
    <w:rsid w:val="00583512"/>
    <w:rsid w:val="00585B49"/>
    <w:rsid w:val="005A42A4"/>
    <w:rsid w:val="00651AA2"/>
    <w:rsid w:val="00675689"/>
    <w:rsid w:val="006930B7"/>
    <w:rsid w:val="006A43C9"/>
    <w:rsid w:val="006E2E6B"/>
    <w:rsid w:val="00787F20"/>
    <w:rsid w:val="0081312B"/>
    <w:rsid w:val="0085170C"/>
    <w:rsid w:val="008B61EB"/>
    <w:rsid w:val="009D18B6"/>
    <w:rsid w:val="00A325F6"/>
    <w:rsid w:val="00A754EA"/>
    <w:rsid w:val="00AB40E4"/>
    <w:rsid w:val="00B64275"/>
    <w:rsid w:val="00B7733C"/>
    <w:rsid w:val="00BC28E2"/>
    <w:rsid w:val="00BD22C9"/>
    <w:rsid w:val="00C116E9"/>
    <w:rsid w:val="00C35829"/>
    <w:rsid w:val="00C7704E"/>
    <w:rsid w:val="00CA31B3"/>
    <w:rsid w:val="00CD2C6E"/>
    <w:rsid w:val="00D12A99"/>
    <w:rsid w:val="00D569D2"/>
    <w:rsid w:val="00D81D0D"/>
    <w:rsid w:val="00E87186"/>
    <w:rsid w:val="00EC23A5"/>
    <w:rsid w:val="00F0598B"/>
    <w:rsid w:val="00F43F20"/>
    <w:rsid w:val="00F87F18"/>
    <w:rsid w:val="00FA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48A5"/>
  <w15:docId w15:val="{67A9B0B8-629B-4089-BD68-FAC374F8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A46"/>
    <w:pPr>
      <w:keepNext/>
      <w:spacing w:before="240" w:after="60" w:line="276" w:lineRule="auto"/>
      <w:ind w:left="709" w:hanging="284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nhideWhenUsed/>
    <w:rsid w:val="00A80D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0DCF"/>
  </w:style>
  <w:style w:type="paragraph" w:styleId="Piedepgina">
    <w:name w:val="footer"/>
    <w:basedOn w:val="Normal"/>
    <w:link w:val="PiedepginaCar"/>
    <w:uiPriority w:val="99"/>
    <w:unhideWhenUsed/>
    <w:rsid w:val="00A80D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DCF"/>
  </w:style>
  <w:style w:type="paragraph" w:styleId="Sinespaciado">
    <w:name w:val="No Spacing"/>
    <w:uiPriority w:val="1"/>
    <w:qFormat/>
    <w:rsid w:val="0005646B"/>
    <w:rPr>
      <w:rFonts w:eastAsiaTheme="minorEastAsia"/>
      <w:sz w:val="22"/>
      <w:szCs w:val="22"/>
      <w:lang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05646B"/>
  </w:style>
  <w:style w:type="paragraph" w:styleId="Prrafodelista">
    <w:name w:val="List Paragraph"/>
    <w:basedOn w:val="Normal"/>
    <w:uiPriority w:val="34"/>
    <w:qFormat/>
    <w:rsid w:val="0005646B"/>
    <w:pPr>
      <w:ind w:left="720"/>
      <w:contextualSpacing/>
    </w:pPr>
  </w:style>
  <w:style w:type="table" w:styleId="Tablaconcuadrcula">
    <w:name w:val="Table Grid"/>
    <w:basedOn w:val="Tablanormal"/>
    <w:rsid w:val="008403CB"/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F6A46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9F072E"/>
  </w:style>
  <w:style w:type="character" w:customStyle="1" w:styleId="TextonotapieCar">
    <w:name w:val="Texto nota pie Car"/>
    <w:basedOn w:val="Fuentedeprrafopredeter"/>
    <w:link w:val="Textonotapie"/>
    <w:uiPriority w:val="99"/>
    <w:rsid w:val="009F072E"/>
  </w:style>
  <w:style w:type="character" w:styleId="Refdenotaalpie">
    <w:name w:val="footnote reference"/>
    <w:basedOn w:val="Fuentedeprrafopredeter"/>
    <w:uiPriority w:val="99"/>
    <w:unhideWhenUsed/>
    <w:rsid w:val="009F072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9133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133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133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133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13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33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331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37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386067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C012D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a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qgis.org/2.18/en/docs/gentle_gis_introduction/" TargetMode="External"/><Relationship Id="rId2" Type="http://schemas.openxmlformats.org/officeDocument/2006/relationships/hyperlink" Target="https://docs.qgis.org/2.18/en/docs/training_manual/" TargetMode="External"/><Relationship Id="rId1" Type="http://schemas.openxmlformats.org/officeDocument/2006/relationships/hyperlink" Target="https://docs.qgis.org/2.18/en/docs/user_manua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LG1JzBlBEXo4Kv1PcMAh52J4g==">AMUW2mWNdY6YQYEqldTa0qMutkOk7QJhreH9Cv4ghnaR3TSaMkquOJAtT3FjvPW6HDZlRAeeR2PGnsYvAFYVCLMPY22gcnmDwSaIWDvsj2VZFOe28PYJFJy7txoS0sq1Jc2wrGq5uotX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Vazquez</dc:creator>
  <cp:lastModifiedBy>Federico Lopez</cp:lastModifiedBy>
  <cp:revision>2</cp:revision>
  <dcterms:created xsi:type="dcterms:W3CDTF">2022-06-08T14:23:00Z</dcterms:created>
  <dcterms:modified xsi:type="dcterms:W3CDTF">2022-06-08T14:23:00Z</dcterms:modified>
</cp:coreProperties>
</file>