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6056" w14:textId="77777777" w:rsidR="001037A9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404040"/>
          <w:sz w:val="20"/>
          <w:szCs w:val="20"/>
        </w:rPr>
      </w:pPr>
    </w:p>
    <w:tbl>
      <w:tblPr>
        <w:tblW w:w="6862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862"/>
      </w:tblGrid>
      <w:tr w:rsidR="001037A9" w:rsidRPr="00AF0B3A" w14:paraId="79B5C089" w14:textId="77777777">
        <w:trPr>
          <w:trHeight w:val="1018"/>
        </w:trPr>
        <w:tc>
          <w:tcPr>
            <w:tcW w:w="6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839B" w14:textId="4D329478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48"/>
                <w:szCs w:val="48"/>
              </w:rPr>
            </w:pPr>
            <w:r w:rsidRPr="00AF0B3A">
              <w:rPr>
                <w:rFonts w:ascii="Times" w:eastAsia="Times" w:hAnsi="Times" w:cs="Times"/>
                <w:b/>
                <w:color w:val="000000"/>
                <w:sz w:val="48"/>
                <w:szCs w:val="48"/>
                <w:shd w:val="clear" w:color="auto" w:fill="DEEAF6"/>
              </w:rPr>
              <w:t xml:space="preserve">Tutorial </w:t>
            </w:r>
            <w:r w:rsidR="002A67B6" w:rsidRPr="00AF0B3A">
              <w:rPr>
                <w:rFonts w:ascii="Times" w:eastAsia="Times" w:hAnsi="Times" w:cs="Times"/>
                <w:b/>
                <w:sz w:val="48"/>
                <w:szCs w:val="48"/>
                <w:shd w:val="clear" w:color="auto" w:fill="DEEAF6"/>
              </w:rPr>
              <w:t>5</w:t>
            </w:r>
            <w:r w:rsidRPr="00AF0B3A">
              <w:rPr>
                <w:rFonts w:ascii="Times" w:eastAsia="Times" w:hAnsi="Times" w:cs="Times"/>
                <w:b/>
                <w:color w:val="000000"/>
                <w:sz w:val="48"/>
                <w:szCs w:val="48"/>
              </w:rPr>
              <w:t xml:space="preserve"> </w:t>
            </w:r>
          </w:p>
          <w:p w14:paraId="5AB8AC45" w14:textId="0DA100FC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 w:line="240" w:lineRule="auto"/>
              <w:jc w:val="center"/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</w:pP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(</w:t>
            </w:r>
            <w:r w:rsidR="00AF0B3A"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Week starting on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 xml:space="preserve"> </w:t>
            </w:r>
            <w:r w:rsidR="00612097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28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-</w:t>
            </w:r>
            <w:r w:rsidR="00612097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mar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-202</w:t>
            </w:r>
            <w:r w:rsidR="002A67B6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2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)</w:t>
            </w:r>
          </w:p>
        </w:tc>
      </w:tr>
    </w:tbl>
    <w:p w14:paraId="4CA83012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48F662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89"/>
      </w:tblGrid>
      <w:tr w:rsidR="001037A9" w:rsidRPr="00AF0B3A" w14:paraId="0899532C" w14:textId="77777777">
        <w:trPr>
          <w:trHeight w:val="4042"/>
        </w:trPr>
        <w:tc>
          <w:tcPr>
            <w:tcW w:w="8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F141" w14:textId="24204437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 w:rsidRPr="00AF0B3A"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Obje</w:t>
            </w:r>
            <w:r w:rsidR="00AF0B3A" w:rsidRPr="00AF0B3A"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ctives</w:t>
            </w:r>
          </w:p>
          <w:p w14:paraId="2FD43AEF" w14:textId="5EC82D73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Study the concept of second-best institutions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7BE5A103" w14:textId="43F5EDA3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Work with a price index</w:t>
            </w:r>
          </w:p>
          <w:p w14:paraId="335EE727" w14:textId="02ACBD9B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Continue to investigate the concept of a regression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5AD68EC5" w14:textId="5BF59463" w:rsidR="001037A9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Reproduc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e graphs and tables from a research paper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774A6F01" w14:textId="77777777" w:rsidR="00AF0B3A" w:rsidRPr="00AF0B3A" w:rsidRDefault="00AF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742FFFF8" w14:textId="124E1B02" w:rsidR="001037A9" w:rsidRPr="00AF0B3A" w:rsidRDefault="00AF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19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Working materials</w:t>
            </w:r>
          </w:p>
          <w:p w14:paraId="707BB637" w14:textId="77777777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4" w:lineRule="auto"/>
              <w:ind w:left="128" w:right="20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Pr="00AF0B3A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Drelichman M. [2009]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“License to till: The privileges of the Spanish Mesta as a  case of second-best institutions” </w:t>
            </w:r>
            <w:r w:rsidRPr="00AF0B3A"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 xml:space="preserve">Explorations in Economic History.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46, 220-240 </w:t>
            </w: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Pr="00AF0B3A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Excel </w:t>
            </w:r>
          </w:p>
          <w:p w14:paraId="550A5630" w14:textId="6C59D95B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3" w:lineRule="auto"/>
              <w:ind w:left="480" w:right="131" w:hanging="35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You’ll need the </w:t>
            </w:r>
            <w:r w:rsidR="00AF0B3A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data base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“Datos ejercitaci</w:t>
            </w:r>
            <w:r w:rsidR="00AF0B3A" w:rsidRPr="00B117DC">
              <w:rPr>
                <w:rFonts w:ascii="Times" w:eastAsia="Times" w:hAnsi="Times" w:cs="Times"/>
                <w:color w:val="000000"/>
                <w:sz w:val="24"/>
                <w:szCs w:val="24"/>
              </w:rPr>
              <w:t>ón 5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” which can be found in the virtual campus</w:t>
            </w:r>
          </w:p>
        </w:tc>
      </w:tr>
    </w:tbl>
    <w:p w14:paraId="7D186964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150FEC" w14:textId="77777777" w:rsidR="00AF0B3A" w:rsidRPr="00AF0B3A" w:rsidRDefault="00AF0B3A" w:rsidP="00AF0B3A">
      <w:pPr>
        <w:jc w:val="center"/>
        <w:rPr>
          <w:rFonts w:ascii="Times New Roman" w:hAnsi="Times New Roman" w:cs="Times New Roman"/>
          <w:b/>
          <w:sz w:val="36"/>
        </w:rPr>
      </w:pPr>
      <w:r w:rsidRPr="00AF0B3A">
        <w:rPr>
          <w:rFonts w:ascii="Times New Roman" w:hAnsi="Times New Roman" w:cs="Times New Roman"/>
          <w:b/>
          <w:sz w:val="36"/>
        </w:rPr>
        <w:t>Exercise guide</w:t>
      </w:r>
    </w:p>
    <w:p w14:paraId="6A10A8C6" w14:textId="77777777" w:rsidR="00AF0B3A" w:rsidRPr="00AF0B3A" w:rsidRDefault="00AF0B3A" w:rsidP="00AF0B3A">
      <w:pPr>
        <w:rPr>
          <w:rFonts w:ascii="Times New Roman" w:hAnsi="Times New Roman" w:cs="Times New Roman"/>
        </w:rPr>
      </w:pPr>
    </w:p>
    <w:p w14:paraId="1C279E2E" w14:textId="5088324F" w:rsidR="00AF0B3A" w:rsidRPr="00AF0B3A" w:rsidRDefault="00AF0B3A" w:rsidP="00AF0B3A">
      <w:pPr>
        <w:rPr>
          <w:rFonts w:ascii="Times New Roman" w:hAnsi="Times New Roman" w:cs="Times New Roman"/>
        </w:rPr>
      </w:pPr>
      <w:r w:rsidRPr="00AF0B3A">
        <w:rPr>
          <w:rFonts w:ascii="Times New Roman" w:hAnsi="Times New Roman" w:cs="Times New Roman"/>
        </w:rPr>
        <w:t xml:space="preserve">The exercises marked with an asterisk (*) are compulsory and must be submitted </w:t>
      </w:r>
      <w:r w:rsidR="00B117DC">
        <w:rPr>
          <w:rFonts w:ascii="Times New Roman" w:hAnsi="Times New Roman" w:cs="Times New Roman"/>
        </w:rPr>
        <w:t>by email</w:t>
      </w:r>
      <w:r w:rsidRPr="00AF0B3A">
        <w:rPr>
          <w:rFonts w:ascii="Times New Roman" w:hAnsi="Times New Roman" w:cs="Times New Roman"/>
        </w:rPr>
        <w:t xml:space="preserve"> </w:t>
      </w:r>
      <w:r w:rsidRPr="00AF0B3A">
        <w:rPr>
          <w:rFonts w:ascii="Times New Roman" w:hAnsi="Times New Roman" w:cs="Times New Roman"/>
          <w:b/>
          <w:bCs/>
        </w:rPr>
        <w:t>before 12.00 on Wednesday 6</w:t>
      </w:r>
      <w:r w:rsidRPr="00AF0B3A">
        <w:rPr>
          <w:rFonts w:ascii="Times New Roman" w:hAnsi="Times New Roman" w:cs="Times New Roman"/>
          <w:b/>
          <w:bCs/>
          <w:vertAlign w:val="superscript"/>
        </w:rPr>
        <w:t>th</w:t>
      </w:r>
      <w:r w:rsidRPr="00AF0B3A">
        <w:rPr>
          <w:rFonts w:ascii="Times New Roman" w:hAnsi="Times New Roman" w:cs="Times New Roman"/>
          <w:b/>
          <w:bCs/>
        </w:rPr>
        <w:t xml:space="preserve"> April</w:t>
      </w:r>
      <w:r w:rsidRPr="00AF0B3A">
        <w:rPr>
          <w:rFonts w:ascii="Times New Roman" w:hAnsi="Times New Roman" w:cs="Times New Roman"/>
        </w:rPr>
        <w:t>. To the mark obtained on the evaluation of this assignment,</w:t>
      </w:r>
      <w:r w:rsidRPr="00AF0B3A">
        <w:rPr>
          <w:rFonts w:ascii="Times New Roman" w:hAnsi="Times New Roman" w:cs="Times New Roman"/>
          <w:b/>
          <w:bCs/>
        </w:rPr>
        <w:t xml:space="preserve"> </w:t>
      </w:r>
      <w:bookmarkStart w:id="0" w:name="_Hlk96454804"/>
      <w:r w:rsidRPr="00AF0B3A">
        <w:rPr>
          <w:rFonts w:ascii="Times New Roman" w:hAnsi="Times New Roman" w:cs="Times New Roman"/>
          <w:b/>
          <w:bCs/>
        </w:rPr>
        <w:t>0.05 points will be subtracted for each minute late</w:t>
      </w:r>
      <w:bookmarkEnd w:id="0"/>
      <w:r w:rsidRPr="00AF0B3A">
        <w:rPr>
          <w:rFonts w:ascii="Times New Roman" w:hAnsi="Times New Roman" w:cs="Times New Roman"/>
        </w:rPr>
        <w:t>. Consult the course program with regards to the formalities of the presentation.</w:t>
      </w:r>
    </w:p>
    <w:p w14:paraId="31469F3E" w14:textId="070B1636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721" w:right="-11" w:hanging="334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1. (*)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Explain in just a few words what question Drelichman [2009] is trying to answer and how he attemps to do so. What are the main results?</w:t>
      </w: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D57D946" w14:textId="01477C9F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7" w:lineRule="auto"/>
        <w:ind w:left="723" w:right="382" w:hanging="355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2. Drelichman [2009]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mentions two concepts that are relevant to his work. Explain them in your own words:</w:t>
      </w: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E3744C6" w14:textId="77777777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08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a. Honrado Consejo de la Mesta (Spanish Mesta) </w:t>
      </w:r>
    </w:p>
    <w:p w14:paraId="19561A9A" w14:textId="77777777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081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b. Second-best Institutions </w:t>
      </w:r>
    </w:p>
    <w:p w14:paraId="1747420A" w14:textId="6F0200A2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4" w:lineRule="auto"/>
        <w:ind w:left="721" w:right="-19" w:hanging="350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3.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Members from the Mesta had t</w:t>
      </w:r>
      <w:r w:rsidR="00327128">
        <w:rPr>
          <w:rFonts w:ascii="Times" w:eastAsia="Times" w:hAnsi="Times" w:cs="Times"/>
          <w:color w:val="000000"/>
          <w:sz w:val="24"/>
          <w:szCs w:val="24"/>
        </w:rPr>
        <w:t>w</w:t>
      </w:r>
      <w:r w:rsidR="00AF0B3A">
        <w:rPr>
          <w:rFonts w:ascii="Times" w:eastAsia="Times" w:hAnsi="Times" w:cs="Times"/>
          <w:color w:val="000000"/>
          <w:sz w:val="24"/>
          <w:szCs w:val="24"/>
        </w:rPr>
        <w:t>o main privileges, what were they? The author uses three variables as a measure of the enforcement of the Mesta’s privileges, what are they? How do these three variables serve as measure for the enforcement of</w:t>
      </w:r>
      <w:r w:rsidR="00327128">
        <w:rPr>
          <w:rFonts w:ascii="Times" w:eastAsia="Times" w:hAnsi="Times" w:cs="Times"/>
          <w:color w:val="000000"/>
          <w:sz w:val="24"/>
          <w:szCs w:val="24"/>
        </w:rPr>
        <w:t xml:space="preserve"> the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privileges? Explain it in your own words.</w:t>
      </w:r>
    </w:p>
    <w:p w14:paraId="4EB9C207" w14:textId="0AE85A1F" w:rsidR="001037A9" w:rsidRPr="00965449" w:rsidRDefault="00A96B41" w:rsidP="009654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71" w:right="3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4.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Replicate Figure 1 from Drelichman [2009]. Pay attention to the three series that</w:t>
      </w:r>
      <w:r w:rsidR="00965449">
        <w:rPr>
          <w:rFonts w:ascii="Times" w:eastAsia="Times" w:hAnsi="Times" w:cs="Times"/>
          <w:color w:val="000000"/>
          <w:sz w:val="24"/>
          <w:szCs w:val="24"/>
        </w:rPr>
        <w:br/>
        <w:t xml:space="preserve">     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are presented. These are deflated with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Andaluc</w:t>
      </w:r>
      <w:r w:rsidR="00965449" w:rsidRPr="00B117DC">
        <w:rPr>
          <w:rFonts w:ascii="Times" w:eastAsia="Times" w:hAnsi="Times" w:cs="Times"/>
          <w:color w:val="000000"/>
          <w:sz w:val="24"/>
          <w:szCs w:val="24"/>
        </w:rPr>
        <w:t>ía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’s tradable goods’ index.</w:t>
      </w:r>
      <w:r w:rsidR="00965449">
        <w:rPr>
          <w:rFonts w:ascii="Times" w:eastAsia="Times" w:hAnsi="Times" w:cs="Times"/>
          <w:color w:val="000000"/>
          <w:sz w:val="24"/>
          <w:szCs w:val="24"/>
        </w:rPr>
        <w:br/>
        <w:t xml:space="preserve">      Remember </w:t>
      </w:r>
      <w:r w:rsidR="00965449" w:rsidRPr="00965449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the graph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must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 xml:space="preserve"> be self-contained, in other words, one must be</w:t>
      </w:r>
      <w:r w:rsidR="00965449">
        <w:rPr>
          <w:rFonts w:ascii="Times" w:hAnsi="Times" w:cs="Times"/>
          <w:bCs/>
          <w:color w:val="000000"/>
          <w:sz w:val="24"/>
          <w:szCs w:val="24"/>
        </w:rPr>
        <w:br/>
        <w:t xml:space="preserve">     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able to interpret what the graph shows without having read the entirety of the</w:t>
      </w:r>
      <w:r w:rsidR="00965449">
        <w:rPr>
          <w:rFonts w:ascii="Times" w:hAnsi="Times" w:cs="Times"/>
          <w:bCs/>
          <w:color w:val="000000"/>
          <w:sz w:val="24"/>
          <w:szCs w:val="24"/>
        </w:rPr>
        <w:br/>
        <w:t xml:space="preserve">     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research paper</w:t>
      </w:r>
      <w:r w:rsidR="0096544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755634E" w14:textId="4E62CBDB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63" w:lineRule="auto"/>
        <w:ind w:left="727" w:right="96" w:hanging="35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5.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In Table 4, the regression of “Licenc</w:t>
      </w:r>
      <w:r w:rsidR="008F59A1">
        <w:rPr>
          <w:rFonts w:ascii="Times" w:eastAsia="Times" w:hAnsi="Times" w:cs="Times"/>
          <w:color w:val="000000"/>
          <w:sz w:val="24"/>
          <w:szCs w:val="24"/>
        </w:rPr>
        <w:t>es to till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over price and a set of control variables is shown. Reproduce the fourth column. How is the coefficient of the variable “Pr</w:t>
      </w:r>
      <w:r w:rsidR="008F59A1">
        <w:rPr>
          <w:rFonts w:ascii="Times" w:eastAsia="Times" w:hAnsi="Times" w:cs="Times"/>
          <w:color w:val="000000"/>
          <w:sz w:val="24"/>
          <w:szCs w:val="24"/>
        </w:rPr>
        <w:t>ice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interpreted?</w:t>
      </w:r>
    </w:p>
    <w:p w14:paraId="31CF7C3B" w14:textId="31593C81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3" w:lineRule="auto"/>
        <w:ind w:left="724" w:right="135" w:hanging="353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>6. (*)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 Reproduce Figure 2 from Drelichman [2009]. Remember </w:t>
      </w:r>
      <w:r w:rsidR="00965449" w:rsidRPr="00965449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the graph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must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 xml:space="preserve"> be self-contained, in other words, one must be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able to interpret what the graph shows without having read the entirety of the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research paper</w:t>
      </w:r>
      <w:r w:rsidR="00965449">
        <w:rPr>
          <w:rFonts w:ascii="Times" w:eastAsia="Times" w:hAnsi="Times" w:cs="Times"/>
          <w:color w:val="000000"/>
          <w:sz w:val="24"/>
          <w:szCs w:val="24"/>
        </w:rPr>
        <w:t>. What does this figure show us?</w:t>
      </w:r>
    </w:p>
    <w:p w14:paraId="53AD264D" w14:textId="316069EB" w:rsidR="00965449" w:rsidRPr="00AF0B3A" w:rsidRDefault="00A96B41" w:rsidP="009654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63" w:lineRule="auto"/>
        <w:ind w:left="727" w:right="96" w:hanging="35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>7. (*)</w:t>
      </w:r>
      <w:r w:rsidR="008F59A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In Table 4, the regression of “</w:t>
      </w:r>
      <w:r w:rsidR="008F59A1">
        <w:rPr>
          <w:rFonts w:ascii="Times" w:eastAsia="Times" w:hAnsi="Times" w:cs="Times"/>
          <w:color w:val="000000"/>
          <w:sz w:val="24"/>
          <w:szCs w:val="24"/>
        </w:rPr>
        <w:t>Appellate lawsuits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” over price and a set of control variables is shown. Reproduce the </w:t>
      </w:r>
      <w:r w:rsidR="008F59A1">
        <w:rPr>
          <w:rFonts w:ascii="Times" w:eastAsia="Times" w:hAnsi="Times" w:cs="Times"/>
          <w:color w:val="000000"/>
          <w:sz w:val="24"/>
          <w:szCs w:val="24"/>
        </w:rPr>
        <w:t>first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 column. How is the coefficient of the variable “Pr</w:t>
      </w:r>
      <w:r w:rsidR="008F59A1">
        <w:rPr>
          <w:rFonts w:ascii="Times" w:eastAsia="Times" w:hAnsi="Times" w:cs="Times"/>
          <w:color w:val="000000"/>
          <w:sz w:val="24"/>
          <w:szCs w:val="24"/>
        </w:rPr>
        <w:t>ice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interpreted?</w:t>
      </w:r>
      <w:r w:rsidR="008F59A1">
        <w:rPr>
          <w:rFonts w:ascii="Times" w:eastAsia="Times" w:hAnsi="Times" w:cs="Times"/>
          <w:color w:val="000000"/>
          <w:sz w:val="24"/>
          <w:szCs w:val="24"/>
        </w:rPr>
        <w:t xml:space="preserve"> What is the main conclusion that the author derives from this table (Hint: think about the question he is trying to answer)?</w:t>
      </w:r>
    </w:p>
    <w:p w14:paraId="0ABE34CA" w14:textId="31B12EC4" w:rsidR="00D67AC9" w:rsidRDefault="00D67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r w:rsidR="00986D73">
        <w:rPr>
          <w:rFonts w:ascii="Times" w:eastAsia="Times" w:hAnsi="Times" w:cs="Times"/>
          <w:color w:val="000000"/>
          <w:sz w:val="24"/>
          <w:szCs w:val="24"/>
        </w:rPr>
        <w:t>Drelichman asks whether the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 privileges of the</w:t>
      </w:r>
      <w:r w:rsidR="00986D73">
        <w:rPr>
          <w:rFonts w:ascii="Times" w:eastAsia="Times" w:hAnsi="Times" w:cs="Times"/>
          <w:color w:val="000000"/>
          <w:sz w:val="24"/>
          <w:szCs w:val="24"/>
        </w:rPr>
        <w:t xml:space="preserve"> institution of the Mesta in Spain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were</w:t>
      </w:r>
      <w:r w:rsidR="00986D73">
        <w:rPr>
          <w:rFonts w:ascii="Times" w:eastAsia="Times" w:hAnsi="Times" w:cs="Times"/>
          <w:color w:val="000000"/>
          <w:sz w:val="24"/>
          <w:szCs w:val="24"/>
        </w:rPr>
        <w:t xml:space="preserve">, as had been typically understood, 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a completely distortive institution or, given the context,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were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 a second-best arrangement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government e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nforcement 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of privileges 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varied with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economic trends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. He 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looks at </w:t>
      </w:r>
      <w:r w:rsidR="00AB1509">
        <w:rPr>
          <w:rFonts w:ascii="Times" w:eastAsia="Times" w:hAnsi="Times" w:cs="Times"/>
          <w:color w:val="000000"/>
          <w:sz w:val="24"/>
          <w:szCs w:val="24"/>
        </w:rPr>
        <w:t>this th</w:t>
      </w:r>
      <w:r w:rsidR="007741B1">
        <w:rPr>
          <w:rFonts w:ascii="Times" w:eastAsia="Times" w:hAnsi="Times" w:cs="Times"/>
          <w:color w:val="000000"/>
          <w:sz w:val="24"/>
          <w:szCs w:val="24"/>
        </w:rPr>
        <w:t xml:space="preserve">rough </w:t>
      </w:r>
      <w:r w:rsidR="00C10338">
        <w:rPr>
          <w:rFonts w:ascii="Times" w:eastAsia="Times" w:hAnsi="Times" w:cs="Times"/>
          <w:color w:val="000000"/>
          <w:sz w:val="24"/>
          <w:szCs w:val="24"/>
        </w:rPr>
        <w:t>a set of proxy variables for enforcement levels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 w:rsidR="0058104E">
        <w:rPr>
          <w:rFonts w:ascii="Times" w:eastAsia="Times" w:hAnsi="Times" w:cs="Times"/>
          <w:color w:val="000000"/>
          <w:sz w:val="24"/>
          <w:szCs w:val="24"/>
        </w:rPr>
        <w:t>appellate lawsuits, licenses to till)</w:t>
      </w:r>
      <w:r w:rsidR="00BE6910">
        <w:rPr>
          <w:rFonts w:ascii="Times" w:eastAsia="Times" w:hAnsi="Times" w:cs="Times"/>
          <w:color w:val="000000"/>
          <w:sz w:val="24"/>
          <w:szCs w:val="24"/>
        </w:rPr>
        <w:t xml:space="preserve"> and uses regression models 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to see how these are affected by the price of wool. The results </w:t>
      </w:r>
      <w:r w:rsidR="00AE2C23">
        <w:rPr>
          <w:rFonts w:ascii="Times" w:eastAsia="Times" w:hAnsi="Times" w:cs="Times"/>
          <w:color w:val="000000"/>
          <w:sz w:val="24"/>
          <w:szCs w:val="24"/>
        </w:rPr>
        <w:t>seem to convince that indeed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it </w:t>
      </w:r>
      <w:r w:rsidR="00AE2C23">
        <w:rPr>
          <w:rFonts w:ascii="Times" w:eastAsia="Times" w:hAnsi="Times" w:cs="Times"/>
          <w:color w:val="000000"/>
          <w:sz w:val="24"/>
          <w:szCs w:val="24"/>
        </w:rPr>
        <w:t>was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a second-best institution, </w:t>
      </w:r>
      <w:r w:rsidR="00AE2C23">
        <w:rPr>
          <w:rFonts w:ascii="Times" w:eastAsia="Times" w:hAnsi="Times" w:cs="Times"/>
          <w:color w:val="000000"/>
          <w:sz w:val="24"/>
          <w:szCs w:val="24"/>
        </w:rPr>
        <w:t xml:space="preserve">because resources </w:t>
      </w:r>
      <w:r w:rsidR="00A80FB6">
        <w:rPr>
          <w:rFonts w:ascii="Times" w:eastAsia="Times" w:hAnsi="Times" w:cs="Times"/>
          <w:color w:val="000000"/>
          <w:sz w:val="24"/>
          <w:szCs w:val="24"/>
        </w:rPr>
        <w:t>are</w:t>
      </w:r>
      <w:r w:rsidR="00AE2C23">
        <w:rPr>
          <w:rFonts w:ascii="Times" w:eastAsia="Times" w:hAnsi="Times" w:cs="Times"/>
          <w:color w:val="000000"/>
          <w:sz w:val="24"/>
          <w:szCs w:val="24"/>
        </w:rPr>
        <w:t xml:space="preserve"> going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to</w:t>
      </w:r>
      <w:r w:rsidR="00A80FB6">
        <w:rPr>
          <w:rFonts w:ascii="Times" w:eastAsia="Times" w:hAnsi="Times" w:cs="Times"/>
          <w:color w:val="000000"/>
          <w:sz w:val="24"/>
          <w:szCs w:val="24"/>
        </w:rPr>
        <w:t>wards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using land for cultivating when wool prices and exports are low</w:t>
      </w:r>
      <w:r w:rsidR="00A80FB6">
        <w:rPr>
          <w:rFonts w:ascii="Times" w:eastAsia="Times" w:hAnsi="Times" w:cs="Times"/>
          <w:color w:val="000000"/>
          <w:sz w:val="24"/>
          <w:szCs w:val="24"/>
        </w:rPr>
        <w:t xml:space="preserve">, that is, </w:t>
      </w:r>
      <w:r w:rsidR="00F4558D">
        <w:rPr>
          <w:rFonts w:ascii="Times" w:eastAsia="Times" w:hAnsi="Times" w:cs="Times"/>
          <w:color w:val="000000"/>
          <w:sz w:val="24"/>
          <w:szCs w:val="24"/>
        </w:rPr>
        <w:t>their typical comparative advantage was failing</w:t>
      </w:r>
      <w:r w:rsidR="00DB3B41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BD36231" w14:textId="59795230" w:rsidR="000B30C8" w:rsidRDefault="00BC4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</w:t>
      </w:r>
      <w:r w:rsidR="00C82CEA">
        <w:rPr>
          <w:rFonts w:ascii="Times" w:eastAsia="Times" w:hAnsi="Times" w:cs="Times"/>
          <w:color w:val="000000"/>
          <w:sz w:val="24"/>
          <w:szCs w:val="24"/>
        </w:rPr>
        <w:t xml:space="preserve"> The mesta was</w:t>
      </w:r>
      <w:r w:rsidR="0077333B">
        <w:rPr>
          <w:rFonts w:ascii="Times" w:eastAsia="Times" w:hAnsi="Times" w:cs="Times"/>
          <w:color w:val="000000"/>
          <w:sz w:val="24"/>
          <w:szCs w:val="24"/>
        </w:rPr>
        <w:t xml:space="preserve"> a privileged group of shepherds who lobbied the crown to get passing rights on town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’s land that was apt for cultivating, </w:t>
      </w:r>
      <w:r w:rsidR="0077333B">
        <w:rPr>
          <w:rFonts w:ascii="Times" w:eastAsia="Times" w:hAnsi="Times" w:cs="Times"/>
          <w:color w:val="000000"/>
          <w:sz w:val="24"/>
          <w:szCs w:val="24"/>
        </w:rPr>
        <w:t>where there would typically be a hold-up problem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 in which towns couldn’t commit to a price to charge for passing</w:t>
      </w:r>
      <w:r w:rsidR="0077333B">
        <w:rPr>
          <w:rFonts w:ascii="Times" w:eastAsia="Times" w:hAnsi="Times" w:cs="Times"/>
          <w:color w:val="000000"/>
          <w:sz w:val="24"/>
          <w:szCs w:val="24"/>
        </w:rPr>
        <w:t>.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 This privileges ensured a sizeable revenue stream of taxes where </w:t>
      </w:r>
      <w:r w:rsidR="005D6D74">
        <w:rPr>
          <w:rFonts w:ascii="Times" w:eastAsia="Times" w:hAnsi="Times" w:cs="Times"/>
          <w:color w:val="000000"/>
          <w:sz w:val="24"/>
          <w:szCs w:val="24"/>
        </w:rPr>
        <w:t>a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griculture would take longer </w:t>
      </w:r>
      <w:r w:rsidR="005D6D74">
        <w:rPr>
          <w:rFonts w:ascii="Times" w:eastAsia="Times" w:hAnsi="Times" w:cs="Times"/>
          <w:color w:val="000000"/>
          <w:sz w:val="24"/>
          <w:szCs w:val="24"/>
        </w:rPr>
        <w:t xml:space="preserve">to reap its benefits. </w:t>
      </w:r>
      <w:r w:rsidR="000B30C8">
        <w:rPr>
          <w:rFonts w:ascii="Times" w:eastAsia="Times" w:hAnsi="Times" w:cs="Times"/>
          <w:color w:val="000000"/>
          <w:sz w:val="24"/>
          <w:szCs w:val="24"/>
        </w:rPr>
        <w:t>A second best institution</w:t>
      </w:r>
      <w:r w:rsidR="005D6D74">
        <w:rPr>
          <w:rFonts w:ascii="Times" w:eastAsia="Times" w:hAnsi="Times" w:cs="Times"/>
          <w:color w:val="000000"/>
          <w:sz w:val="24"/>
          <w:szCs w:val="24"/>
        </w:rPr>
        <w:t xml:space="preserve">, as is the case, is one where there is already another inefficient institution so </w:t>
      </w:r>
      <w:r w:rsidR="00C87C25">
        <w:rPr>
          <w:rFonts w:ascii="Times" w:eastAsia="Times" w:hAnsi="Times" w:cs="Times"/>
          <w:color w:val="000000"/>
          <w:sz w:val="24"/>
          <w:szCs w:val="24"/>
        </w:rPr>
        <w:t xml:space="preserve">the combination of the two moves the resulting allocation closer to the </w:t>
      </w:r>
      <w:r w:rsidR="00F5255B">
        <w:rPr>
          <w:rFonts w:ascii="Times" w:eastAsia="Times" w:hAnsi="Times" w:cs="Times"/>
          <w:color w:val="000000"/>
          <w:sz w:val="24"/>
          <w:szCs w:val="24"/>
        </w:rPr>
        <w:t>possibility frontier than an efficient institution coupled with the inefficient one probably could</w:t>
      </w:r>
      <w:r w:rsidR="00843BA1">
        <w:rPr>
          <w:rFonts w:ascii="Times" w:eastAsia="Times" w:hAnsi="Times" w:cs="Times"/>
          <w:color w:val="000000"/>
          <w:sz w:val="24"/>
          <w:szCs w:val="24"/>
        </w:rPr>
        <w:t>, so log as a first best isn’t possible.</w:t>
      </w:r>
    </w:p>
    <w:p w14:paraId="3AB5646F" w14:textId="7E9FF0E9" w:rsidR="00BE6A9F" w:rsidRDefault="00BE6A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</w:t>
      </w:r>
      <w:r w:rsidR="004B4577">
        <w:rPr>
          <w:rFonts w:ascii="Times" w:eastAsia="Times" w:hAnsi="Times" w:cs="Times"/>
          <w:color w:val="000000"/>
          <w:sz w:val="24"/>
          <w:szCs w:val="24"/>
        </w:rPr>
        <w:t xml:space="preserve"> One privilege was passage through “royal sheepwalk” across town lands and another was the “posesión” which fixed prices towns levied on shepherds. </w:t>
      </w:r>
      <w:r w:rsidR="00100266">
        <w:rPr>
          <w:rFonts w:ascii="Times" w:eastAsia="Times" w:hAnsi="Times" w:cs="Times"/>
          <w:color w:val="000000"/>
          <w:sz w:val="24"/>
          <w:szCs w:val="24"/>
        </w:rPr>
        <w:t xml:space="preserve">These privileges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were</w:t>
      </w:r>
      <w:r w:rsidR="004700FC">
        <w:rPr>
          <w:rFonts w:ascii="Times" w:eastAsia="Times" w:hAnsi="Times" w:cs="Times"/>
          <w:color w:val="000000"/>
          <w:sz w:val="24"/>
          <w:szCs w:val="24"/>
        </w:rPr>
        <w:t xml:space="preserve"> regulated by special judges designated for the </w:t>
      </w:r>
      <w:r w:rsidR="000265BF">
        <w:rPr>
          <w:rFonts w:ascii="Times" w:eastAsia="Times" w:hAnsi="Times" w:cs="Times"/>
          <w:color w:val="000000"/>
          <w:sz w:val="24"/>
          <w:szCs w:val="24"/>
        </w:rPr>
        <w:t xml:space="preserve">issue and </w:t>
      </w:r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were commanded by the very mesta, so the paper takes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appellate</w:t>
      </w:r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 lawsuits of these decisions which typically favoured the mesta</w:t>
      </w:r>
      <w:r w:rsidR="00FE267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F1113F">
        <w:rPr>
          <w:rFonts w:ascii="Times" w:eastAsia="Times" w:hAnsi="Times" w:cs="Times"/>
          <w:color w:val="000000"/>
          <w:sz w:val="24"/>
          <w:szCs w:val="24"/>
        </w:rPr>
        <w:t xml:space="preserve">as these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decisions</w:t>
      </w:r>
      <w:r w:rsidR="00F1113F">
        <w:rPr>
          <w:rFonts w:ascii="Times" w:eastAsia="Times" w:hAnsi="Times" w:cs="Times"/>
          <w:color w:val="000000"/>
          <w:sz w:val="24"/>
          <w:szCs w:val="24"/>
        </w:rPr>
        <w:t xml:space="preserve"> were costly to appeal so would only be appeal when there existed a chance of winning. </w:t>
      </w:r>
      <w:r w:rsidR="001E5056">
        <w:rPr>
          <w:rFonts w:ascii="Times" w:eastAsia="Times" w:hAnsi="Times" w:cs="Times"/>
          <w:color w:val="000000"/>
          <w:sz w:val="24"/>
          <w:szCs w:val="24"/>
        </w:rPr>
        <w:t xml:space="preserve">That is one measure of enforcement so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appellate</w:t>
      </w:r>
      <w:r w:rsidR="001E5056">
        <w:rPr>
          <w:rFonts w:ascii="Times" w:eastAsia="Times" w:hAnsi="Times" w:cs="Times"/>
          <w:color w:val="000000"/>
          <w:sz w:val="24"/>
          <w:szCs w:val="24"/>
        </w:rPr>
        <w:t xml:space="preserve"> lawsuits should trend up when enforcement eased </w:t>
      </w:r>
      <w:r w:rsidR="00A64A82">
        <w:rPr>
          <w:rFonts w:ascii="Times" w:eastAsia="Times" w:hAnsi="Times" w:cs="Times"/>
          <w:color w:val="000000"/>
          <w:sz w:val="24"/>
          <w:szCs w:val="24"/>
        </w:rPr>
        <w:t xml:space="preserve">because they could be won on appeal. </w:t>
      </w:r>
      <w:r w:rsidR="00932302">
        <w:rPr>
          <w:rFonts w:ascii="Times" w:eastAsia="Times" w:hAnsi="Times" w:cs="Times"/>
          <w:color w:val="000000"/>
          <w:sz w:val="24"/>
          <w:szCs w:val="24"/>
        </w:rPr>
        <w:t xml:space="preserve">And that could also hold true for entregador rulings, the designated judges, because there could be more demand for enforcement when their privileges were being breached more often. </w:t>
      </w:r>
      <w:r w:rsidR="00281C2F">
        <w:rPr>
          <w:rFonts w:ascii="Times" w:eastAsia="Times" w:hAnsi="Times" w:cs="Times"/>
          <w:color w:val="000000"/>
          <w:sz w:val="24"/>
          <w:szCs w:val="24"/>
        </w:rPr>
        <w:t xml:space="preserve">The next proxy are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281C2F">
        <w:rPr>
          <w:rFonts w:ascii="Times" w:eastAsia="Times" w:hAnsi="Times" w:cs="Times"/>
          <w:color w:val="000000"/>
          <w:sz w:val="24"/>
          <w:szCs w:val="24"/>
        </w:rPr>
        <w:t xml:space="preserve"> to till, which were granted to towns to </w:t>
      </w:r>
      <w:r w:rsidR="009660B6">
        <w:rPr>
          <w:rFonts w:ascii="Times" w:eastAsia="Times" w:hAnsi="Times" w:cs="Times"/>
          <w:color w:val="000000"/>
          <w:sz w:val="24"/>
          <w:szCs w:val="24"/>
        </w:rPr>
        <w:t xml:space="preserve">develop agriculture in their land without sheep grazing on it. Again, more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9660B6">
        <w:rPr>
          <w:rFonts w:ascii="Times" w:eastAsia="Times" w:hAnsi="Times" w:cs="Times"/>
          <w:color w:val="000000"/>
          <w:sz w:val="24"/>
          <w:szCs w:val="24"/>
        </w:rPr>
        <w:t xml:space="preserve"> should be issued when enforcement was down. </w:t>
      </w:r>
    </w:p>
    <w:p w14:paraId="5B47DB29" w14:textId="7AFD2BB1" w:rsidR="003F28B3" w:rsidRDefault="003F28B3" w:rsidP="003F2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219BD" wp14:editId="20868132">
            <wp:extent cx="5389880" cy="3937635"/>
            <wp:effectExtent l="0" t="0" r="1270" b="571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A3008F2-7BEA-4CA6-8C8B-35A27D926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8EB56D" w14:textId="263BB2D2" w:rsidR="00D67AC9" w:rsidRDefault="00D67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5.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In this </w:t>
      </w:r>
      <w:r w:rsidR="00AA2EC4">
        <w:rPr>
          <w:rFonts w:ascii="Times" w:eastAsia="Times" w:hAnsi="Times" w:cs="Times"/>
          <w:color w:val="000000"/>
          <w:sz w:val="24"/>
          <w:szCs w:val="24"/>
        </w:rPr>
        <w:t>table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we can </w:t>
      </w:r>
      <w:r w:rsidR="000C3A17">
        <w:rPr>
          <w:rFonts w:ascii="Times" w:eastAsia="Times" w:hAnsi="Times" w:cs="Times"/>
          <w:color w:val="000000"/>
          <w:sz w:val="24"/>
          <w:szCs w:val="24"/>
        </w:rPr>
        <w:t>interpret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how good of a predictor price is for the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number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of licences to till </w:t>
      </w:r>
      <w:r w:rsidR="00413CEB">
        <w:rPr>
          <w:rFonts w:ascii="Times" w:eastAsia="Times" w:hAnsi="Times" w:cs="Times"/>
          <w:color w:val="000000"/>
          <w:sz w:val="24"/>
          <w:szCs w:val="24"/>
        </w:rPr>
        <w:t>issued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, and </w:t>
      </w:r>
      <w:r w:rsidR="00AA2EC4">
        <w:rPr>
          <w:rFonts w:ascii="Times" w:eastAsia="Times" w:hAnsi="Times" w:cs="Times"/>
          <w:color w:val="000000"/>
          <w:sz w:val="24"/>
          <w:szCs w:val="24"/>
        </w:rPr>
        <w:t>it would appear that the lower the</w:t>
      </w:r>
      <w:r w:rsidR="006802EF">
        <w:rPr>
          <w:rFonts w:ascii="Times" w:eastAsia="Times" w:hAnsi="Times" w:cs="Times"/>
          <w:color w:val="000000"/>
          <w:sz w:val="24"/>
          <w:szCs w:val="24"/>
        </w:rPr>
        <w:t xml:space="preserve"> price of wool, the more licenses to till were conceded to towns</w:t>
      </w:r>
      <w:r w:rsidR="00F856D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2510AC">
        <w:rPr>
          <w:rFonts w:ascii="Times" w:eastAsia="Times" w:hAnsi="Times" w:cs="Times"/>
          <w:color w:val="000000"/>
          <w:sz w:val="24"/>
          <w:szCs w:val="24"/>
        </w:rPr>
        <w:t xml:space="preserve">by a factor of </w:t>
      </w:r>
      <w:r w:rsidR="006C6051">
        <w:rPr>
          <w:rFonts w:ascii="Times" w:eastAsia="Times" w:hAnsi="Times" w:cs="Times"/>
          <w:color w:val="000000"/>
          <w:sz w:val="24"/>
          <w:szCs w:val="24"/>
        </w:rPr>
        <w:t>-</w:t>
      </w:r>
      <w:r w:rsidR="002510AC">
        <w:rPr>
          <w:rFonts w:ascii="Times" w:eastAsia="Times" w:hAnsi="Times" w:cs="Times"/>
          <w:color w:val="000000"/>
          <w:sz w:val="24"/>
          <w:szCs w:val="24"/>
        </w:rPr>
        <w:t>0.0</w:t>
      </w:r>
      <w:r w:rsidR="006C6051">
        <w:rPr>
          <w:rFonts w:ascii="Times" w:eastAsia="Times" w:hAnsi="Times" w:cs="Times"/>
          <w:color w:val="000000"/>
          <w:sz w:val="24"/>
          <w:szCs w:val="24"/>
        </w:rPr>
        <w:t>56.</w:t>
      </w:r>
    </w:p>
    <w:p w14:paraId="7FDDB58D" w14:textId="4AF28057" w:rsidR="001037A9" w:rsidRDefault="00E16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6. </w:t>
      </w:r>
      <w:r w:rsidR="000F018A">
        <w:rPr>
          <w:rFonts w:ascii="Times" w:eastAsia="Times" w:hAnsi="Times" w:cs="Times"/>
          <w:color w:val="000000"/>
          <w:sz w:val="24"/>
          <w:szCs w:val="24"/>
        </w:rPr>
        <w:t xml:space="preserve">The graph shows a sharp increase in </w:t>
      </w:r>
      <w:r w:rsidR="00B812DA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0F018A">
        <w:rPr>
          <w:rFonts w:ascii="Times" w:eastAsia="Times" w:hAnsi="Times" w:cs="Times"/>
          <w:color w:val="000000"/>
          <w:sz w:val="24"/>
          <w:szCs w:val="24"/>
        </w:rPr>
        <w:t xml:space="preserve"> to till </w:t>
      </w:r>
      <w:r w:rsidR="00E04951">
        <w:rPr>
          <w:rFonts w:ascii="Times" w:eastAsia="Times" w:hAnsi="Times" w:cs="Times"/>
          <w:color w:val="000000"/>
          <w:sz w:val="24"/>
          <w:szCs w:val="24"/>
        </w:rPr>
        <w:t>towards the end of the century which should indicate lowered retur</w:t>
      </w:r>
      <w:r w:rsidR="0041441F">
        <w:rPr>
          <w:rFonts w:ascii="Times" w:eastAsia="Times" w:hAnsi="Times" w:cs="Times"/>
          <w:color w:val="000000"/>
          <w:sz w:val="24"/>
          <w:szCs w:val="24"/>
        </w:rPr>
        <w:t>ns from shepherding</w:t>
      </w:r>
      <w:r w:rsidR="00F31B50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B812DA">
        <w:rPr>
          <w:rFonts w:ascii="Times" w:eastAsia="Times" w:hAnsi="Times" w:cs="Times"/>
          <w:color w:val="000000"/>
          <w:sz w:val="24"/>
          <w:szCs w:val="24"/>
        </w:rPr>
        <w:t>would mean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AC56D3">
        <w:rPr>
          <w:rFonts w:ascii="Times" w:eastAsia="Times" w:hAnsi="Times" w:cs="Times"/>
          <w:color w:val="000000"/>
          <w:sz w:val="24"/>
          <w:szCs w:val="24"/>
        </w:rPr>
        <w:t xml:space="preserve">towns were getting resources allocated to them in a time when it was most </w:t>
      </w:r>
      <w:r w:rsidR="00B80D87">
        <w:rPr>
          <w:rFonts w:ascii="Times" w:eastAsia="Times" w:hAnsi="Times" w:cs="Times"/>
          <w:color w:val="000000"/>
          <w:sz w:val="24"/>
          <w:szCs w:val="24"/>
        </w:rPr>
        <w:t>convenient</w:t>
      </w:r>
      <w:r w:rsidR="00B812DA">
        <w:rPr>
          <w:rFonts w:ascii="Times" w:eastAsia="Times" w:hAnsi="Times" w:cs="Times"/>
          <w:color w:val="000000"/>
          <w:sz w:val="24"/>
          <w:szCs w:val="24"/>
        </w:rPr>
        <w:t xml:space="preserve">, as </w:t>
      </w:r>
      <w:r w:rsidR="00DB2874">
        <w:rPr>
          <w:rFonts w:ascii="Times" w:eastAsia="Times" w:hAnsi="Times" w:cs="Times"/>
          <w:color w:val="000000"/>
          <w:sz w:val="24"/>
          <w:szCs w:val="24"/>
        </w:rPr>
        <w:t xml:space="preserve">the paper wants </w:t>
      </w:r>
      <w:r w:rsidR="00275373">
        <w:rPr>
          <w:rFonts w:ascii="Times" w:eastAsia="Times" w:hAnsi="Times" w:cs="Times"/>
          <w:color w:val="000000"/>
          <w:sz w:val="24"/>
          <w:szCs w:val="24"/>
        </w:rPr>
        <w:t>us to think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="00F31B50">
        <w:rPr>
          <w:rFonts w:ascii="Times" w:eastAsia="Times" w:hAnsi="Times" w:cs="Times"/>
          <w:color w:val="000000"/>
          <w:sz w:val="24"/>
          <w:szCs w:val="24"/>
        </w:rPr>
        <w:t>This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, according to Drelichman, is 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also </w:t>
      </w:r>
      <w:r w:rsidR="00507545">
        <w:rPr>
          <w:rFonts w:ascii="Times" w:eastAsia="Times" w:hAnsi="Times" w:cs="Times"/>
          <w:color w:val="000000"/>
          <w:sz w:val="24"/>
          <w:szCs w:val="24"/>
        </w:rPr>
        <w:t>a reflection of an increase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 in fiscal pressure, that is, the government raised taxes on towns and the</w:t>
      </w:r>
      <w:r w:rsidR="00DB2874">
        <w:rPr>
          <w:rFonts w:ascii="Times" w:eastAsia="Times" w:hAnsi="Times" w:cs="Times"/>
          <w:color w:val="000000"/>
          <w:sz w:val="24"/>
          <w:szCs w:val="24"/>
        </w:rPr>
        <w:t>ir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 produce so therefore they were more interested in having them </w:t>
      </w:r>
      <w:r w:rsidR="00EE4452">
        <w:rPr>
          <w:rFonts w:ascii="Times" w:eastAsia="Times" w:hAnsi="Times" w:cs="Times"/>
          <w:color w:val="000000"/>
          <w:sz w:val="24"/>
          <w:szCs w:val="24"/>
        </w:rPr>
        <w:t>be a source of revenue</w:t>
      </w:r>
      <w:r w:rsidR="00CF5B06">
        <w:rPr>
          <w:rFonts w:ascii="Times" w:eastAsia="Times" w:hAnsi="Times" w:cs="Times"/>
          <w:color w:val="000000"/>
          <w:sz w:val="24"/>
          <w:szCs w:val="24"/>
        </w:rPr>
        <w:t xml:space="preserve">, “demonstrating </w:t>
      </w:r>
      <w:r w:rsidR="0073028C">
        <w:rPr>
          <w:rFonts w:ascii="Times" w:eastAsia="Times" w:hAnsi="Times" w:cs="Times"/>
          <w:color w:val="000000"/>
          <w:sz w:val="24"/>
          <w:szCs w:val="24"/>
        </w:rPr>
        <w:t>Mesta’s privileges</w:t>
      </w:r>
      <w:r w:rsidR="00CF5B06">
        <w:rPr>
          <w:rFonts w:ascii="Times" w:eastAsia="Times" w:hAnsi="Times" w:cs="Times"/>
          <w:color w:val="000000"/>
          <w:sz w:val="24"/>
          <w:szCs w:val="24"/>
        </w:rPr>
        <w:t xml:space="preserve"> were not all-encompassing” (</w:t>
      </w:r>
      <w:r w:rsidR="0073028C">
        <w:rPr>
          <w:rFonts w:ascii="Times" w:eastAsia="Times" w:hAnsi="Times" w:cs="Times"/>
          <w:color w:val="000000"/>
          <w:sz w:val="24"/>
          <w:szCs w:val="24"/>
        </w:rPr>
        <w:t>p. 227)</w:t>
      </w:r>
      <w:r w:rsidR="00EE4452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1B3DF5DB" w14:textId="3CFFBD76" w:rsidR="00E16209" w:rsidRDefault="00E16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</w:t>
      </w:r>
      <w:r w:rsidR="005E3D0F">
        <w:rPr>
          <w:rFonts w:ascii="Times" w:eastAsia="Times" w:hAnsi="Times" w:cs="Times"/>
          <w:color w:val="000000"/>
          <w:sz w:val="24"/>
          <w:szCs w:val="24"/>
        </w:rPr>
        <w:t xml:space="preserve"> The coefficient for the </w:t>
      </w:r>
      <w:r w:rsidR="0082138A">
        <w:rPr>
          <w:rFonts w:ascii="Times" w:eastAsia="Times" w:hAnsi="Times" w:cs="Times"/>
          <w:color w:val="000000"/>
          <w:sz w:val="24"/>
          <w:szCs w:val="24"/>
        </w:rPr>
        <w:t xml:space="preserve">price </w:t>
      </w:r>
      <w:r w:rsidR="005E3D0F">
        <w:rPr>
          <w:rFonts w:ascii="Times" w:eastAsia="Times" w:hAnsi="Times" w:cs="Times"/>
          <w:color w:val="000000"/>
          <w:sz w:val="24"/>
          <w:szCs w:val="24"/>
        </w:rPr>
        <w:t xml:space="preserve">variable tells us </w:t>
      </w:r>
      <w:r w:rsidR="00AA1C1F">
        <w:rPr>
          <w:rFonts w:ascii="Times" w:eastAsia="Times" w:hAnsi="Times" w:cs="Times"/>
          <w:color w:val="000000"/>
          <w:sz w:val="24"/>
          <w:szCs w:val="24"/>
        </w:rPr>
        <w:t xml:space="preserve">that, for every </w:t>
      </w:r>
      <w:r w:rsidR="00825174">
        <w:rPr>
          <w:rFonts w:ascii="Times" w:eastAsia="Times" w:hAnsi="Times" w:cs="Times"/>
          <w:color w:val="000000"/>
          <w:sz w:val="24"/>
          <w:szCs w:val="24"/>
        </w:rPr>
        <w:t xml:space="preserve">price unit, </w:t>
      </w:r>
      <w:r w:rsidR="001F40C4">
        <w:rPr>
          <w:rFonts w:ascii="Times" w:eastAsia="Times" w:hAnsi="Times" w:cs="Times"/>
          <w:color w:val="000000"/>
          <w:sz w:val="24"/>
          <w:szCs w:val="24"/>
        </w:rPr>
        <w:t xml:space="preserve">appellate lawsuits </w:t>
      </w:r>
      <w:r w:rsidR="00955E1A">
        <w:rPr>
          <w:rFonts w:ascii="Times" w:eastAsia="Times" w:hAnsi="Times" w:cs="Times"/>
          <w:color w:val="000000"/>
          <w:sz w:val="24"/>
          <w:szCs w:val="24"/>
        </w:rPr>
        <w:t xml:space="preserve">are reduced by 0.0097, which </w:t>
      </w:r>
      <w:r w:rsidR="00220904">
        <w:rPr>
          <w:rFonts w:ascii="Times" w:eastAsia="Times" w:hAnsi="Times" w:cs="Times"/>
          <w:color w:val="000000"/>
          <w:sz w:val="24"/>
          <w:szCs w:val="24"/>
        </w:rPr>
        <w:t xml:space="preserve">equals to one </w:t>
      </w:r>
      <w:r w:rsidR="002311F1">
        <w:rPr>
          <w:rFonts w:ascii="Times" w:eastAsia="Times" w:hAnsi="Times" w:cs="Times"/>
          <w:color w:val="000000"/>
          <w:sz w:val="24"/>
          <w:szCs w:val="24"/>
        </w:rPr>
        <w:t xml:space="preserve">appellate lawsuit </w:t>
      </w:r>
      <w:r w:rsidR="004A4CD4">
        <w:rPr>
          <w:rFonts w:ascii="Times" w:eastAsia="Times" w:hAnsi="Times" w:cs="Times"/>
          <w:color w:val="000000"/>
          <w:sz w:val="24"/>
          <w:szCs w:val="24"/>
        </w:rPr>
        <w:t xml:space="preserve">when prices go up by about a hundred. This does not look </w:t>
      </w:r>
      <w:r w:rsidR="00BC4CD6">
        <w:rPr>
          <w:rFonts w:ascii="Times" w:eastAsia="Times" w:hAnsi="Times" w:cs="Times"/>
          <w:color w:val="000000"/>
          <w:sz w:val="24"/>
          <w:szCs w:val="24"/>
        </w:rPr>
        <w:t>too</w:t>
      </w:r>
      <w:r w:rsidR="004A4CD4">
        <w:rPr>
          <w:rFonts w:ascii="Times" w:eastAsia="Times" w:hAnsi="Times" w:cs="Times"/>
          <w:color w:val="000000"/>
          <w:sz w:val="24"/>
          <w:szCs w:val="24"/>
        </w:rPr>
        <w:t xml:space="preserve"> significant</w:t>
      </w:r>
      <w:r w:rsidR="00EB7E88">
        <w:rPr>
          <w:rFonts w:ascii="Times" w:eastAsia="Times" w:hAnsi="Times" w:cs="Times"/>
          <w:color w:val="000000"/>
          <w:sz w:val="24"/>
          <w:szCs w:val="24"/>
        </w:rPr>
        <w:t xml:space="preserve"> but given the correlation</w:t>
      </w:r>
      <w:r w:rsidR="00BC4CD6">
        <w:rPr>
          <w:rFonts w:ascii="Times" w:eastAsia="Times" w:hAnsi="Times" w:cs="Times"/>
          <w:color w:val="000000"/>
          <w:sz w:val="24"/>
          <w:szCs w:val="24"/>
        </w:rPr>
        <w:t xml:space="preserve"> the paper</w:t>
      </w:r>
      <w:r w:rsidR="00EB7E88">
        <w:rPr>
          <w:rFonts w:ascii="Times" w:eastAsia="Times" w:hAnsi="Times" w:cs="Times"/>
          <w:color w:val="000000"/>
          <w:sz w:val="24"/>
          <w:szCs w:val="24"/>
        </w:rPr>
        <w:t xml:space="preserve"> can conclude 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that price does affect the </w:t>
      </w:r>
      <w:r w:rsidR="0082138A">
        <w:rPr>
          <w:rFonts w:ascii="Times" w:eastAsia="Times" w:hAnsi="Times" w:cs="Times"/>
          <w:color w:val="000000"/>
          <w:sz w:val="24"/>
          <w:szCs w:val="24"/>
        </w:rPr>
        <w:t>number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 of appellate lawsuits </w:t>
      </w:r>
      <w:r w:rsidR="00BC4CD6">
        <w:rPr>
          <w:rFonts w:ascii="Times" w:eastAsia="Times" w:hAnsi="Times" w:cs="Times"/>
          <w:color w:val="000000"/>
          <w:sz w:val="24"/>
          <w:szCs w:val="24"/>
        </w:rPr>
        <w:t xml:space="preserve">somewhat 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and therefore the level of enforcement of Mesta privileges. </w:t>
      </w:r>
    </w:p>
    <w:p w14:paraId="48CA8E46" w14:textId="0E8DA113" w:rsidR="00207888" w:rsidRPr="00EB7E88" w:rsidRDefault="00125E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PD: We tried to recreate the r^2 result </w:t>
      </w:r>
      <w:r w:rsidR="00EB7F8E">
        <w:rPr>
          <w:rFonts w:ascii="Times" w:eastAsia="Times" w:hAnsi="Times" w:cs="Times"/>
          <w:color w:val="000000"/>
          <w:sz w:val="24"/>
          <w:szCs w:val="24"/>
        </w:rPr>
        <w:t xml:space="preserve">but only achieved a result </w:t>
      </w:r>
      <w:r w:rsidR="00F56642">
        <w:rPr>
          <w:rFonts w:ascii="Times" w:eastAsia="Times" w:hAnsi="Times" w:cs="Times"/>
          <w:color w:val="000000"/>
          <w:sz w:val="24"/>
          <w:szCs w:val="24"/>
        </w:rPr>
        <w:t>for the correlation with prices, which is only one variable, while the paper has an r^2 that accounts for the three variables of price, exports and rulings</w:t>
      </w:r>
      <w:r w:rsidR="00370682">
        <w:rPr>
          <w:rFonts w:ascii="Times" w:eastAsia="Times" w:hAnsi="Times" w:cs="Times"/>
          <w:color w:val="000000"/>
          <w:sz w:val="24"/>
          <w:szCs w:val="24"/>
        </w:rPr>
        <w:t xml:space="preserve"> and we did not get to a reasonable conclusion of how to factor them all in.</w:t>
      </w:r>
    </w:p>
    <w:p w14:paraId="778AE56B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53" w:line="240" w:lineRule="auto"/>
        <w:ind w:left="114"/>
        <w:rPr>
          <w:rFonts w:ascii="Times" w:eastAsia="Times" w:hAnsi="Times" w:cs="Times"/>
          <w:color w:val="000000"/>
          <w:sz w:val="20"/>
          <w:szCs w:val="20"/>
        </w:rPr>
      </w:pPr>
    </w:p>
    <w:sectPr w:rsidR="001037A9" w:rsidRPr="00AF0B3A">
      <w:headerReference w:type="default" r:id="rId8"/>
      <w:footerReference w:type="default" r:id="rId9"/>
      <w:pgSz w:w="11880" w:h="16820"/>
      <w:pgMar w:top="705" w:right="1693" w:bottom="1046" w:left="169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0948" w14:textId="77777777" w:rsidR="003120DE" w:rsidRDefault="003120DE">
      <w:pPr>
        <w:spacing w:line="240" w:lineRule="auto"/>
      </w:pPr>
      <w:r>
        <w:separator/>
      </w:r>
    </w:p>
  </w:endnote>
  <w:endnote w:type="continuationSeparator" w:id="0">
    <w:p w14:paraId="2225F1E1" w14:textId="77777777" w:rsidR="003120DE" w:rsidRDefault="003120DE">
      <w:pPr>
        <w:spacing w:line="240" w:lineRule="auto"/>
      </w:pPr>
      <w:r>
        <w:continuationSeparator/>
      </w:r>
    </w:p>
  </w:endnote>
  <w:endnote w:type="continuationNotice" w:id="1">
    <w:p w14:paraId="032329C8" w14:textId="77777777" w:rsidR="00323DB1" w:rsidRDefault="00323D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8791" w14:textId="1C0C9FE2" w:rsidR="001037A9" w:rsidRPr="002A67B6" w:rsidRDefault="00A96B41">
    <w:pPr>
      <w:rPr>
        <w:rFonts w:ascii="Times" w:eastAsia="Times" w:hAnsi="Times" w:cs="Times"/>
        <w:sz w:val="20"/>
        <w:szCs w:val="20"/>
        <w:lang w:val="es-AR"/>
      </w:rPr>
    </w:pPr>
    <w:r w:rsidRPr="002A67B6">
      <w:rPr>
        <w:rFonts w:ascii="Times" w:eastAsia="Times" w:hAnsi="Times" w:cs="Times"/>
        <w:sz w:val="20"/>
        <w:szCs w:val="20"/>
        <w:u w:val="single"/>
        <w:lang w:val="es-AR"/>
      </w:rPr>
      <w:t>Tutors</w:t>
    </w:r>
    <w:r w:rsidRPr="002A67B6">
      <w:rPr>
        <w:rFonts w:ascii="Times" w:eastAsia="Times" w:hAnsi="Times" w:cs="Times"/>
        <w:sz w:val="20"/>
        <w:szCs w:val="20"/>
        <w:lang w:val="es-AR"/>
      </w:rPr>
      <w:t xml:space="preserve">: </w:t>
    </w:r>
    <w:r w:rsidR="002A67B6" w:rsidRPr="002A67B6">
      <w:rPr>
        <w:rFonts w:ascii="Times" w:hAnsi="Times" w:cs="Times"/>
        <w:sz w:val="20"/>
        <w:szCs w:val="20"/>
        <w:lang w:val="es-ES"/>
      </w:rPr>
      <w:t>Matías Gómez Seeber, Matías Harari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EB35" w14:textId="77777777" w:rsidR="003120DE" w:rsidRDefault="003120DE">
      <w:pPr>
        <w:spacing w:line="240" w:lineRule="auto"/>
      </w:pPr>
      <w:r>
        <w:separator/>
      </w:r>
    </w:p>
  </w:footnote>
  <w:footnote w:type="continuationSeparator" w:id="0">
    <w:p w14:paraId="1CE647B2" w14:textId="77777777" w:rsidR="003120DE" w:rsidRDefault="003120DE">
      <w:pPr>
        <w:spacing w:line="240" w:lineRule="auto"/>
      </w:pPr>
      <w:r>
        <w:continuationSeparator/>
      </w:r>
    </w:p>
  </w:footnote>
  <w:footnote w:type="continuationNotice" w:id="1">
    <w:p w14:paraId="019B9EEC" w14:textId="77777777" w:rsidR="00323DB1" w:rsidRDefault="00323D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8B87" w14:textId="77777777" w:rsidR="001037A9" w:rsidRDefault="00A96B41">
    <w:pPr>
      <w:widowControl w:val="0"/>
      <w:spacing w:line="240" w:lineRule="auto"/>
      <w:rPr>
        <w:rFonts w:ascii="Times" w:eastAsia="Times" w:hAnsi="Times" w:cs="Times"/>
        <w:color w:val="404040"/>
        <w:sz w:val="20"/>
        <w:szCs w:val="20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547B9EEC" wp14:editId="258CA1B2">
          <wp:simplePos x="0" y="0"/>
          <wp:positionH relativeFrom="column">
            <wp:posOffset>4495800</wp:posOffset>
          </wp:positionH>
          <wp:positionV relativeFrom="paragraph">
            <wp:posOffset>95250</wp:posOffset>
          </wp:positionV>
          <wp:extent cx="1389888" cy="365760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888" cy="365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CA8B43" w14:textId="77777777" w:rsidR="001037A9" w:rsidRDefault="001037A9">
    <w:pPr>
      <w:widowControl w:val="0"/>
      <w:spacing w:line="240" w:lineRule="auto"/>
      <w:rPr>
        <w:rFonts w:ascii="Times" w:eastAsia="Times" w:hAnsi="Times" w:cs="Times"/>
        <w:color w:val="404040"/>
        <w:sz w:val="20"/>
        <w:szCs w:val="20"/>
      </w:rPr>
    </w:pPr>
  </w:p>
  <w:p w14:paraId="194D85A6" w14:textId="072164B3" w:rsidR="001037A9" w:rsidRPr="00B117DC" w:rsidRDefault="00AF0B3A">
    <w:pPr>
      <w:widowControl w:val="0"/>
      <w:spacing w:line="240" w:lineRule="auto"/>
    </w:pPr>
    <w:r w:rsidRPr="00B117DC">
      <w:rPr>
        <w:rFonts w:ascii="Times" w:eastAsia="Times" w:hAnsi="Times" w:cs="Times"/>
        <w:color w:val="404040"/>
        <w:sz w:val="20"/>
        <w:szCs w:val="20"/>
      </w:rPr>
      <w:t>Economic History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I – </w:t>
    </w:r>
    <w:r w:rsidRPr="00B117DC">
      <w:rPr>
        <w:rFonts w:ascii="Times" w:eastAsia="Times" w:hAnsi="Times" w:cs="Times"/>
        <w:color w:val="404040"/>
        <w:sz w:val="20"/>
        <w:szCs w:val="20"/>
      </w:rPr>
      <w:t>Autumn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202</w:t>
    </w:r>
    <w:r w:rsidR="002A67B6" w:rsidRPr="00B117DC">
      <w:rPr>
        <w:rFonts w:ascii="Times" w:eastAsia="Times" w:hAnsi="Times" w:cs="Times"/>
        <w:color w:val="404040"/>
        <w:sz w:val="20"/>
        <w:szCs w:val="20"/>
      </w:rPr>
      <w:t>2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(Murphy)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A9"/>
    <w:rsid w:val="00015741"/>
    <w:rsid w:val="000265BF"/>
    <w:rsid w:val="000374A4"/>
    <w:rsid w:val="000B30C8"/>
    <w:rsid w:val="000C3A17"/>
    <w:rsid w:val="000F018A"/>
    <w:rsid w:val="00100266"/>
    <w:rsid w:val="001037A9"/>
    <w:rsid w:val="00125E79"/>
    <w:rsid w:val="00152B99"/>
    <w:rsid w:val="001938EF"/>
    <w:rsid w:val="001E5056"/>
    <w:rsid w:val="001F1A3C"/>
    <w:rsid w:val="001F40C4"/>
    <w:rsid w:val="00207888"/>
    <w:rsid w:val="00220904"/>
    <w:rsid w:val="002311F1"/>
    <w:rsid w:val="002510AC"/>
    <w:rsid w:val="00262832"/>
    <w:rsid w:val="00275373"/>
    <w:rsid w:val="00281C2F"/>
    <w:rsid w:val="002A67B6"/>
    <w:rsid w:val="002F4AF6"/>
    <w:rsid w:val="002F6C34"/>
    <w:rsid w:val="003120DE"/>
    <w:rsid w:val="00323DB1"/>
    <w:rsid w:val="00327128"/>
    <w:rsid w:val="0034793C"/>
    <w:rsid w:val="00370682"/>
    <w:rsid w:val="003B7F89"/>
    <w:rsid w:val="003E09CD"/>
    <w:rsid w:val="003F28B3"/>
    <w:rsid w:val="00413CEB"/>
    <w:rsid w:val="0041441F"/>
    <w:rsid w:val="004700FC"/>
    <w:rsid w:val="004A4CD4"/>
    <w:rsid w:val="004B4577"/>
    <w:rsid w:val="004D275F"/>
    <w:rsid w:val="00507545"/>
    <w:rsid w:val="0054388A"/>
    <w:rsid w:val="0058104E"/>
    <w:rsid w:val="00595999"/>
    <w:rsid w:val="005D6D74"/>
    <w:rsid w:val="005E3D0F"/>
    <w:rsid w:val="00612097"/>
    <w:rsid w:val="0062258E"/>
    <w:rsid w:val="0067328D"/>
    <w:rsid w:val="006802EF"/>
    <w:rsid w:val="006C6051"/>
    <w:rsid w:val="006F7B26"/>
    <w:rsid w:val="0073028C"/>
    <w:rsid w:val="0077333B"/>
    <w:rsid w:val="007741B1"/>
    <w:rsid w:val="007E0F25"/>
    <w:rsid w:val="0082138A"/>
    <w:rsid w:val="00825174"/>
    <w:rsid w:val="00843570"/>
    <w:rsid w:val="00843BA1"/>
    <w:rsid w:val="00871137"/>
    <w:rsid w:val="00884C28"/>
    <w:rsid w:val="008F59A1"/>
    <w:rsid w:val="00932302"/>
    <w:rsid w:val="00955E1A"/>
    <w:rsid w:val="00965449"/>
    <w:rsid w:val="009660B6"/>
    <w:rsid w:val="00986D73"/>
    <w:rsid w:val="009C4030"/>
    <w:rsid w:val="00A64A82"/>
    <w:rsid w:val="00A80FB6"/>
    <w:rsid w:val="00A96B41"/>
    <w:rsid w:val="00AA1C1F"/>
    <w:rsid w:val="00AA2EC4"/>
    <w:rsid w:val="00AB1509"/>
    <w:rsid w:val="00AC56D3"/>
    <w:rsid w:val="00AE2C23"/>
    <w:rsid w:val="00AF0B3A"/>
    <w:rsid w:val="00B117DC"/>
    <w:rsid w:val="00B50511"/>
    <w:rsid w:val="00B80D87"/>
    <w:rsid w:val="00B812DA"/>
    <w:rsid w:val="00B95C00"/>
    <w:rsid w:val="00BC4CD6"/>
    <w:rsid w:val="00BE0743"/>
    <w:rsid w:val="00BE6910"/>
    <w:rsid w:val="00BE6A9F"/>
    <w:rsid w:val="00C10338"/>
    <w:rsid w:val="00C82CEA"/>
    <w:rsid w:val="00C87C25"/>
    <w:rsid w:val="00CF5B06"/>
    <w:rsid w:val="00D31A01"/>
    <w:rsid w:val="00D44DCC"/>
    <w:rsid w:val="00D67AC9"/>
    <w:rsid w:val="00DB2874"/>
    <w:rsid w:val="00DB3B41"/>
    <w:rsid w:val="00DC398C"/>
    <w:rsid w:val="00E04951"/>
    <w:rsid w:val="00E16209"/>
    <w:rsid w:val="00EB7E88"/>
    <w:rsid w:val="00EB7F8E"/>
    <w:rsid w:val="00EE4452"/>
    <w:rsid w:val="00F1113F"/>
    <w:rsid w:val="00F31B50"/>
    <w:rsid w:val="00F4558D"/>
    <w:rsid w:val="00F5255B"/>
    <w:rsid w:val="00F56642"/>
    <w:rsid w:val="00F856DC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F8C47"/>
  <w15:docId w15:val="{9DC890DC-77FA-4F94-B64F-2B81A90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67B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7B6"/>
  </w:style>
  <w:style w:type="paragraph" w:styleId="Piedepgina">
    <w:name w:val="footer"/>
    <w:basedOn w:val="Normal"/>
    <w:link w:val="PiedepginaCar"/>
    <w:uiPriority w:val="99"/>
    <w:unhideWhenUsed/>
    <w:rsid w:val="002A67B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03%20Cuatrimestre/Historia%20Economica/TP%205/Datos%20Ejercitaci&#243;n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018358182075213E-2"/>
          <c:y val="9.4860298711309868E-2"/>
          <c:w val="0.85219685039370074"/>
          <c:h val="0.74974358566558141"/>
        </c:manualLayout>
      </c:layout>
      <c:scatterChart>
        <c:scatterStyle val="lineMarker"/>
        <c:varyColors val="0"/>
        <c:ser>
          <c:idx val="3"/>
          <c:order val="3"/>
          <c:tx>
            <c:strRef>
              <c:f>'[Datos Ejercitación 5.xlsx]Datos para Figura 1'!$F$1</c:f>
              <c:strCache>
                <c:ptCount val="1"/>
                <c:pt idx="0">
                  <c:v>Misericordia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1'!$F$2:$F$94</c:f>
              <c:numCache>
                <c:formatCode>General</c:formatCode>
                <c:ptCount val="93"/>
                <c:pt idx="0">
                  <c:v>412.33762137136944</c:v>
                </c:pt>
                <c:pt idx="1">
                  <c:v>487.15643935538446</c:v>
                </c:pt>
                <c:pt idx="2">
                  <c:v>463.03253599748439</c:v>
                </c:pt>
                <c:pt idx="3">
                  <c:v>533.21358321385276</c:v>
                </c:pt>
                <c:pt idx="4">
                  <c:v>495.72339752901416</c:v>
                </c:pt>
                <c:pt idx="5">
                  <c:v>508.03150878007364</c:v>
                </c:pt>
                <c:pt idx="6">
                  <c:v>664.78327302966409</c:v>
                </c:pt>
                <c:pt idx="7">
                  <c:v>703.44574275920854</c:v>
                </c:pt>
                <c:pt idx="8">
                  <c:v>688.99833847891307</c:v>
                </c:pt>
                <c:pt idx="10">
                  <c:v>442.10104783159466</c:v>
                </c:pt>
                <c:pt idx="11">
                  <c:v>473.26486232476202</c:v>
                </c:pt>
                <c:pt idx="13">
                  <c:v>508.18529266680741</c:v>
                </c:pt>
                <c:pt idx="14">
                  <c:v>613.76909626993654</c:v>
                </c:pt>
                <c:pt idx="15">
                  <c:v>551.99386666589305</c:v>
                </c:pt>
                <c:pt idx="17">
                  <c:v>555.06060210997884</c:v>
                </c:pt>
                <c:pt idx="18">
                  <c:v>452.76961449046615</c:v>
                </c:pt>
                <c:pt idx="19">
                  <c:v>349.08354581450993</c:v>
                </c:pt>
                <c:pt idx="20">
                  <c:v>375.75024314251573</c:v>
                </c:pt>
                <c:pt idx="21">
                  <c:v>364.69180976290187</c:v>
                </c:pt>
                <c:pt idx="22">
                  <c:v>402.87117956914955</c:v>
                </c:pt>
                <c:pt idx="23">
                  <c:v>396.88550919522856</c:v>
                </c:pt>
                <c:pt idx="24">
                  <c:v>330.64933635845563</c:v>
                </c:pt>
                <c:pt idx="25">
                  <c:v>279.62710300346748</c:v>
                </c:pt>
                <c:pt idx="26">
                  <c:v>270.67371190732649</c:v>
                </c:pt>
                <c:pt idx="27">
                  <c:v>401.53459718697491</c:v>
                </c:pt>
                <c:pt idx="28">
                  <c:v>453.67104669714752</c:v>
                </c:pt>
                <c:pt idx="29">
                  <c:v>408.6917270700643</c:v>
                </c:pt>
                <c:pt idx="30">
                  <c:v>367.19844634035542</c:v>
                </c:pt>
                <c:pt idx="31">
                  <c:v>259.74490265729912</c:v>
                </c:pt>
                <c:pt idx="32">
                  <c:v>241.96733455725189</c:v>
                </c:pt>
                <c:pt idx="33">
                  <c:v>296.72534148547101</c:v>
                </c:pt>
                <c:pt idx="34">
                  <c:v>337.02047788458862</c:v>
                </c:pt>
                <c:pt idx="35">
                  <c:v>298.56213538813796</c:v>
                </c:pt>
                <c:pt idx="36">
                  <c:v>329.80094606918203</c:v>
                </c:pt>
                <c:pt idx="37">
                  <c:v>369.86624809611067</c:v>
                </c:pt>
                <c:pt idx="38">
                  <c:v>360.63130567140973</c:v>
                </c:pt>
                <c:pt idx="39">
                  <c:v>357.07734548447684</c:v>
                </c:pt>
                <c:pt idx="40">
                  <c:v>300.15632361753183</c:v>
                </c:pt>
                <c:pt idx="41">
                  <c:v>269.61622064255971</c:v>
                </c:pt>
                <c:pt idx="42">
                  <c:v>303.13108953740198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82-4771-AADA-7AD6E6704415}"/>
            </c:ext>
          </c:extLst>
        </c:ser>
        <c:ser>
          <c:idx val="4"/>
          <c:order val="4"/>
          <c:tx>
            <c:strRef>
              <c:f>'[Datos Ejercitación 5.xlsx]Datos para Figura 1'!$E$1</c:f>
              <c:strCache>
                <c:ptCount val="1"/>
                <c:pt idx="0">
                  <c:v>Hamilton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1'!$E$2:$E$94</c:f>
              <c:numCache>
                <c:formatCode>General</c:formatCode>
                <c:ptCount val="93"/>
                <c:pt idx="43">
                  <c:v>286.60635039568325</c:v>
                </c:pt>
                <c:pt idx="44">
                  <c:v>431.22040260951337</c:v>
                </c:pt>
                <c:pt idx="45">
                  <c:v>425.97519792006</c:v>
                </c:pt>
                <c:pt idx="46">
                  <c:v>415.74904186438727</c:v>
                </c:pt>
                <c:pt idx="48">
                  <c:v>479.24366905075749</c:v>
                </c:pt>
                <c:pt idx="50">
                  <c:v>278.26308073321371</c:v>
                </c:pt>
                <c:pt idx="51">
                  <c:v>221.64585730800695</c:v>
                </c:pt>
                <c:pt idx="52">
                  <c:v>199.01998870204122</c:v>
                </c:pt>
                <c:pt idx="53">
                  <c:v>436.8236915646537</c:v>
                </c:pt>
                <c:pt idx="54">
                  <c:v>426.76203732181318</c:v>
                </c:pt>
                <c:pt idx="55">
                  <c:v>542.98401709839493</c:v>
                </c:pt>
                <c:pt idx="56">
                  <c:v>607.45810946195752</c:v>
                </c:pt>
                <c:pt idx="57">
                  <c:v>400.21418391074019</c:v>
                </c:pt>
                <c:pt idx="58">
                  <c:v>346.90724905072574</c:v>
                </c:pt>
                <c:pt idx="60">
                  <c:v>397.90465356131347</c:v>
                </c:pt>
                <c:pt idx="61">
                  <c:v>421.88764380035775</c:v>
                </c:pt>
                <c:pt idx="62">
                  <c:v>635.69059225060823</c:v>
                </c:pt>
                <c:pt idx="63">
                  <c:v>332.58802477373979</c:v>
                </c:pt>
                <c:pt idx="64">
                  <c:v>342.52961643818907</c:v>
                </c:pt>
                <c:pt idx="65">
                  <c:v>508.95032441483465</c:v>
                </c:pt>
                <c:pt idx="66">
                  <c:v>495.57404055284547</c:v>
                </c:pt>
                <c:pt idx="67">
                  <c:v>592.85486928339958</c:v>
                </c:pt>
                <c:pt idx="68">
                  <c:v>688.01279675776948</c:v>
                </c:pt>
                <c:pt idx="69">
                  <c:v>402.67849690985111</c:v>
                </c:pt>
                <c:pt idx="70">
                  <c:v>554.88873706102038</c:v>
                </c:pt>
                <c:pt idx="71">
                  <c:v>522.81230030391498</c:v>
                </c:pt>
                <c:pt idx="73">
                  <c:v>298.26662810846619</c:v>
                </c:pt>
                <c:pt idx="74">
                  <c:v>312.91956338403548</c:v>
                </c:pt>
                <c:pt idx="76">
                  <c:v>328.63947311934527</c:v>
                </c:pt>
                <c:pt idx="77">
                  <c:v>346.5971233372515</c:v>
                </c:pt>
                <c:pt idx="78">
                  <c:v>265.50455010922394</c:v>
                </c:pt>
                <c:pt idx="79">
                  <c:v>267.59628382886552</c:v>
                </c:pt>
                <c:pt idx="80">
                  <c:v>340.79324563972142</c:v>
                </c:pt>
                <c:pt idx="81">
                  <c:v>403.70407507155682</c:v>
                </c:pt>
                <c:pt idx="82">
                  <c:v>451.21089998588548</c:v>
                </c:pt>
                <c:pt idx="83">
                  <c:v>502.78350373056247</c:v>
                </c:pt>
                <c:pt idx="84">
                  <c:v>702.29112146343664</c:v>
                </c:pt>
                <c:pt idx="85">
                  <c:v>352.74184683281209</c:v>
                </c:pt>
                <c:pt idx="86">
                  <c:v>347.99238687364829</c:v>
                </c:pt>
                <c:pt idx="87">
                  <c:v>420.2529396401606</c:v>
                </c:pt>
                <c:pt idx="88">
                  <c:v>396.04779523898628</c:v>
                </c:pt>
                <c:pt idx="89">
                  <c:v>346.98246497966687</c:v>
                </c:pt>
                <c:pt idx="91">
                  <c:v>454.72583422978499</c:v>
                </c:pt>
                <c:pt idx="92">
                  <c:v>325.69164433115463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82-4771-AADA-7AD6E6704415}"/>
            </c:ext>
          </c:extLst>
        </c:ser>
        <c:ser>
          <c:idx val="5"/>
          <c:order val="5"/>
          <c:tx>
            <c:strRef>
              <c:f>'[Datos Ejercitación 5.xlsx]Datos para Figura 1'!$G$1</c:f>
              <c:strCache>
                <c:ptCount val="1"/>
                <c:pt idx="0">
                  <c:v>Promedio móvil de 5 años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1'!$G$2:$G$94</c:f>
              <c:numCache>
                <c:formatCode>General</c:formatCode>
                <c:ptCount val="93"/>
                <c:pt idx="4">
                  <c:v>478.29271549342104</c:v>
                </c:pt>
                <c:pt idx="5">
                  <c:v>497.43149297516192</c:v>
                </c:pt>
                <c:pt idx="6">
                  <c:v>532.95685971001785</c:v>
                </c:pt>
                <c:pt idx="7">
                  <c:v>581.03950106236266</c:v>
                </c:pt>
                <c:pt idx="8">
                  <c:v>612.19645211537465</c:v>
                </c:pt>
                <c:pt idx="9">
                  <c:v>641.31471576196486</c:v>
                </c:pt>
                <c:pt idx="10">
                  <c:v>624.83210052484515</c:v>
                </c:pt>
                <c:pt idx="11">
                  <c:v>576.9524978486196</c:v>
                </c:pt>
                <c:pt idx="12">
                  <c:v>534.78808287842321</c:v>
                </c:pt>
                <c:pt idx="13">
                  <c:v>474.5170676077214</c:v>
                </c:pt>
                <c:pt idx="14">
                  <c:v>509.33007477327521</c:v>
                </c:pt>
                <c:pt idx="15">
                  <c:v>536.80327948184981</c:v>
                </c:pt>
                <c:pt idx="16">
                  <c:v>557.98275186754563</c:v>
                </c:pt>
                <c:pt idx="17">
                  <c:v>557.25221442815393</c:v>
                </c:pt>
                <c:pt idx="18">
                  <c:v>543.3982948840686</c:v>
                </c:pt>
                <c:pt idx="19">
                  <c:v>477.22690727021205</c:v>
                </c:pt>
                <c:pt idx="20">
                  <c:v>433.16600138936769</c:v>
                </c:pt>
                <c:pt idx="21">
                  <c:v>419.47116306407452</c:v>
                </c:pt>
                <c:pt idx="22">
                  <c:v>389.03327855590862</c:v>
                </c:pt>
                <c:pt idx="23">
                  <c:v>377.85645749686108</c:v>
                </c:pt>
                <c:pt idx="24">
                  <c:v>374.16961560565028</c:v>
                </c:pt>
                <c:pt idx="25">
                  <c:v>354.94498757784061</c:v>
                </c:pt>
                <c:pt idx="26">
                  <c:v>336.1413680067256</c:v>
                </c:pt>
                <c:pt idx="27">
                  <c:v>335.87405153029061</c:v>
                </c:pt>
                <c:pt idx="28">
                  <c:v>347.23115903067446</c:v>
                </c:pt>
                <c:pt idx="29">
                  <c:v>362.83963717299611</c:v>
                </c:pt>
                <c:pt idx="30">
                  <c:v>380.35390584037378</c:v>
                </c:pt>
                <c:pt idx="31">
                  <c:v>378.16814399036821</c:v>
                </c:pt>
                <c:pt idx="32">
                  <c:v>346.25469146442367</c:v>
                </c:pt>
                <c:pt idx="33">
                  <c:v>314.86555042208835</c:v>
                </c:pt>
                <c:pt idx="34">
                  <c:v>300.53130058499323</c:v>
                </c:pt>
                <c:pt idx="35">
                  <c:v>286.80403839454971</c:v>
                </c:pt>
                <c:pt idx="36">
                  <c:v>300.81524707692631</c:v>
                </c:pt>
                <c:pt idx="37">
                  <c:v>326.39502978469807</c:v>
                </c:pt>
                <c:pt idx="38">
                  <c:v>339.17622262188581</c:v>
                </c:pt>
                <c:pt idx="39">
                  <c:v>343.18759614186348</c:v>
                </c:pt>
                <c:pt idx="40">
                  <c:v>343.5064337877422</c:v>
                </c:pt>
                <c:pt idx="41">
                  <c:v>331.46948870241778</c:v>
                </c:pt>
                <c:pt idx="42">
                  <c:v>318.12245699067603</c:v>
                </c:pt>
                <c:pt idx="43">
                  <c:v>303.31746593553072</c:v>
                </c:pt>
                <c:pt idx="44">
                  <c:v>318.14607736053802</c:v>
                </c:pt>
                <c:pt idx="45">
                  <c:v>343.30985222104363</c:v>
                </c:pt>
                <c:pt idx="46">
                  <c:v>372.53641646540916</c:v>
                </c:pt>
                <c:pt idx="47">
                  <c:v>389.88774819741099</c:v>
                </c:pt>
                <c:pt idx="48">
                  <c:v>438.0470778611795</c:v>
                </c:pt>
                <c:pt idx="49">
                  <c:v>440.3226362784016</c:v>
                </c:pt>
                <c:pt idx="50">
                  <c:v>391.08526388278614</c:v>
                </c:pt>
                <c:pt idx="51">
                  <c:v>326.3842023639927</c:v>
                </c:pt>
                <c:pt idx="52">
                  <c:v>294.54314894850484</c:v>
                </c:pt>
                <c:pt idx="53">
                  <c:v>283.93815457697889</c:v>
                </c:pt>
                <c:pt idx="54">
                  <c:v>312.50293112594574</c:v>
                </c:pt>
                <c:pt idx="55">
                  <c:v>365.44711839898201</c:v>
                </c:pt>
                <c:pt idx="56">
                  <c:v>442.60956882977206</c:v>
                </c:pt>
                <c:pt idx="57">
                  <c:v>482.84840787151188</c:v>
                </c:pt>
                <c:pt idx="58">
                  <c:v>464.86511936872631</c:v>
                </c:pt>
                <c:pt idx="59">
                  <c:v>474.39088988045461</c:v>
                </c:pt>
                <c:pt idx="60">
                  <c:v>438.12104899618419</c:v>
                </c:pt>
                <c:pt idx="61">
                  <c:v>391.72843258078422</c:v>
                </c:pt>
                <c:pt idx="62">
                  <c:v>450.59753466575131</c:v>
                </c:pt>
                <c:pt idx="63">
                  <c:v>447.01772859650481</c:v>
                </c:pt>
                <c:pt idx="64">
                  <c:v>426.12010616484167</c:v>
                </c:pt>
                <c:pt idx="65">
                  <c:v>448.32924033554593</c:v>
                </c:pt>
                <c:pt idx="66">
                  <c:v>463.06651968604348</c:v>
                </c:pt>
                <c:pt idx="67">
                  <c:v>454.49937509260172</c:v>
                </c:pt>
                <c:pt idx="68">
                  <c:v>525.58432948940765</c:v>
                </c:pt>
                <c:pt idx="69">
                  <c:v>537.61410558374007</c:v>
                </c:pt>
                <c:pt idx="70">
                  <c:v>546.80178811297731</c:v>
                </c:pt>
                <c:pt idx="71">
                  <c:v>552.24944006319106</c:v>
                </c:pt>
                <c:pt idx="72">
                  <c:v>542.09808275813896</c:v>
                </c:pt>
                <c:pt idx="73">
                  <c:v>444.66154059581316</c:v>
                </c:pt>
                <c:pt idx="74">
                  <c:v>422.22180721435927</c:v>
                </c:pt>
                <c:pt idx="75">
                  <c:v>377.9994972654722</c:v>
                </c:pt>
                <c:pt idx="76">
                  <c:v>313.27522153728228</c:v>
                </c:pt>
                <c:pt idx="77">
                  <c:v>321.6056969872746</c:v>
                </c:pt>
                <c:pt idx="78">
                  <c:v>313.41517748746401</c:v>
                </c:pt>
                <c:pt idx="79">
                  <c:v>302.08435759867155</c:v>
                </c:pt>
                <c:pt idx="80">
                  <c:v>309.82613520688153</c:v>
                </c:pt>
                <c:pt idx="81">
                  <c:v>324.83905559732386</c:v>
                </c:pt>
                <c:pt idx="82">
                  <c:v>345.76181092705065</c:v>
                </c:pt>
                <c:pt idx="83">
                  <c:v>393.21760165131832</c:v>
                </c:pt>
                <c:pt idx="84">
                  <c:v>480.15656917823253</c:v>
                </c:pt>
                <c:pt idx="85">
                  <c:v>482.5462894168507</c:v>
                </c:pt>
                <c:pt idx="86">
                  <c:v>471.40395177726907</c:v>
                </c:pt>
                <c:pt idx="87">
                  <c:v>465.21235970812404</c:v>
                </c:pt>
                <c:pt idx="88">
                  <c:v>443.86521800980881</c:v>
                </c:pt>
                <c:pt idx="89">
                  <c:v>372.80348671305484</c:v>
                </c:pt>
                <c:pt idx="90">
                  <c:v>377.81889668311555</c:v>
                </c:pt>
                <c:pt idx="91">
                  <c:v>404.5022585221497</c:v>
                </c:pt>
                <c:pt idx="92">
                  <c:v>380.8619346948982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82-4771-AADA-7AD6E6704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920143"/>
        <c:axId val="164391764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'[Datos Ejercitación 5.xlsx]Datos para Figura 1'!$B$1</c15:sqref>
                        </c15:formulaRef>
                      </c:ext>
                    </c:extLst>
                    <c:strCache>
                      <c:ptCount val="1"/>
                      <c:pt idx="0">
                        <c:v>Precios Hamilton (maravedíes corrientes per arroba)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'[Datos Ejercitación 5.xlsx]Datos para Figura 1'!$B$2:$B$94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43" formatCode="0.0">
                        <c:v>263.5</c:v>
                      </c:pt>
                      <c:pt idx="44" formatCode="0.0">
                        <c:v>386.8</c:v>
                      </c:pt>
                      <c:pt idx="45" formatCode="0.0">
                        <c:v>476</c:v>
                      </c:pt>
                      <c:pt idx="46" formatCode="0.0">
                        <c:v>476</c:v>
                      </c:pt>
                      <c:pt idx="48" formatCode="0.0">
                        <c:v>476</c:v>
                      </c:pt>
                      <c:pt idx="50" formatCode="0.0">
                        <c:v>272</c:v>
                      </c:pt>
                      <c:pt idx="51" formatCode="0.0">
                        <c:v>208.3</c:v>
                      </c:pt>
                      <c:pt idx="52" formatCode="0.0">
                        <c:v>180.8</c:v>
                      </c:pt>
                      <c:pt idx="53" formatCode="0.0">
                        <c:v>357</c:v>
                      </c:pt>
                      <c:pt idx="54" formatCode="0.0">
                        <c:v>357</c:v>
                      </c:pt>
                      <c:pt idx="55" formatCode="0.0">
                        <c:v>510</c:v>
                      </c:pt>
                      <c:pt idx="56" formatCode="0.0">
                        <c:v>525.6</c:v>
                      </c:pt>
                      <c:pt idx="57" formatCode="0.0">
                        <c:v>327.3</c:v>
                      </c:pt>
                      <c:pt idx="58" formatCode="0.0">
                        <c:v>331.5</c:v>
                      </c:pt>
                      <c:pt idx="60" formatCode="0.0">
                        <c:v>391.5</c:v>
                      </c:pt>
                      <c:pt idx="61" formatCode="0.0">
                        <c:v>399.5</c:v>
                      </c:pt>
                      <c:pt idx="62" formatCode="0.0">
                        <c:v>612</c:v>
                      </c:pt>
                      <c:pt idx="63" formatCode="0.0">
                        <c:v>323</c:v>
                      </c:pt>
                      <c:pt idx="64" formatCode="0.0">
                        <c:v>342.2</c:v>
                      </c:pt>
                      <c:pt idx="65" formatCode="0.0">
                        <c:v>456.9</c:v>
                      </c:pt>
                      <c:pt idx="66" formatCode="0.0">
                        <c:v>450.5</c:v>
                      </c:pt>
                      <c:pt idx="67" formatCode="0.0">
                        <c:v>629</c:v>
                      </c:pt>
                      <c:pt idx="68" formatCode="0.0">
                        <c:v>884</c:v>
                      </c:pt>
                      <c:pt idx="69" formatCode="0.0">
                        <c:v>578</c:v>
                      </c:pt>
                      <c:pt idx="70" formatCode="0.0">
                        <c:v>731</c:v>
                      </c:pt>
                      <c:pt idx="71" formatCode="0.0">
                        <c:v>629</c:v>
                      </c:pt>
                      <c:pt idx="73" formatCode="0.0">
                        <c:v>323</c:v>
                      </c:pt>
                      <c:pt idx="74" formatCode="0.0">
                        <c:v>351</c:v>
                      </c:pt>
                      <c:pt idx="76" formatCode="0.0">
                        <c:v>348.5</c:v>
                      </c:pt>
                      <c:pt idx="77" formatCode="0.0">
                        <c:v>408</c:v>
                      </c:pt>
                      <c:pt idx="78" formatCode="0.0">
                        <c:v>374</c:v>
                      </c:pt>
                      <c:pt idx="79" formatCode="0.0">
                        <c:v>391</c:v>
                      </c:pt>
                      <c:pt idx="80" formatCode="0.0">
                        <c:v>408</c:v>
                      </c:pt>
                      <c:pt idx="81" formatCode="0.0">
                        <c:v>459</c:v>
                      </c:pt>
                      <c:pt idx="82" formatCode="0.0">
                        <c:v>476</c:v>
                      </c:pt>
                      <c:pt idx="83" formatCode="0.0">
                        <c:v>620.5</c:v>
                      </c:pt>
                      <c:pt idx="84" formatCode="0.0">
                        <c:v>1224</c:v>
                      </c:pt>
                      <c:pt idx="85" formatCode="0.0">
                        <c:v>486.7</c:v>
                      </c:pt>
                      <c:pt idx="86" formatCode="0.0">
                        <c:v>448.5</c:v>
                      </c:pt>
                      <c:pt idx="87" formatCode="0.0">
                        <c:v>532.70000000000005</c:v>
                      </c:pt>
                      <c:pt idx="88" formatCode="0.0">
                        <c:v>578</c:v>
                      </c:pt>
                      <c:pt idx="89" formatCode="0.0">
                        <c:v>595</c:v>
                      </c:pt>
                      <c:pt idx="91" formatCode="0.0">
                        <c:v>680</c:v>
                      </c:pt>
                      <c:pt idx="92" formatCode="0.0">
                        <c:v>544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E882-4771-AADA-7AD6E6704415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1'!$C$1</c15:sqref>
                        </c15:formulaRef>
                      </c:ext>
                    </c:extLst>
                    <c:strCache>
                      <c:ptCount val="1"/>
                      <c:pt idx="0">
                        <c:v>Series empalmadas (Misericordia + Hamilton, prrecios corrientes)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1'!$C$2:$C$94</c15:sqref>
                        </c15:formulaRef>
                      </c:ext>
                    </c:extLst>
                    <c:numCache>
                      <c:formatCode>0.0</c:formatCode>
                      <c:ptCount val="93"/>
                      <c:pt idx="0">
                        <c:v>193.87300319488818</c:v>
                      </c:pt>
                      <c:pt idx="1">
                        <c:v>237.99808612440191</c:v>
                      </c:pt>
                      <c:pt idx="2">
                        <c:v>248.6910569105691</c:v>
                      </c:pt>
                      <c:pt idx="3">
                        <c:v>303.74714189643578</c:v>
                      </c:pt>
                      <c:pt idx="4">
                        <c:v>331.85352112676054</c:v>
                      </c:pt>
                      <c:pt idx="5">
                        <c:v>308.77459246767847</c:v>
                      </c:pt>
                      <c:pt idx="6">
                        <c:v>376.47957489206243</c:v>
                      </c:pt>
                      <c:pt idx="7">
                        <c:v>413.48310631523083</c:v>
                      </c:pt>
                      <c:pt idx="8">
                        <c:v>394.3</c:v>
                      </c:pt>
                      <c:pt idx="10">
                        <c:v>254.99107142857142</c:v>
                      </c:pt>
                      <c:pt idx="11">
                        <c:v>276</c:v>
                      </c:pt>
                      <c:pt idx="13">
                        <c:v>300.92138364779873</c:v>
                      </c:pt>
                      <c:pt idx="14">
                        <c:v>363.98096304591269</c:v>
                      </c:pt>
                      <c:pt idx="15">
                        <c:v>376.36606441476829</c:v>
                      </c:pt>
                      <c:pt idx="17">
                        <c:v>400.89625360230548</c:v>
                      </c:pt>
                      <c:pt idx="18">
                        <c:v>335.27673860911273</c:v>
                      </c:pt>
                      <c:pt idx="19">
                        <c:v>268.48866498740551</c:v>
                      </c:pt>
                      <c:pt idx="20">
                        <c:v>288.99867197875164</c:v>
                      </c:pt>
                      <c:pt idx="21">
                        <c:v>280.4933612858141</c:v>
                      </c:pt>
                      <c:pt idx="22">
                        <c:v>321.39291413980209</c:v>
                      </c:pt>
                      <c:pt idx="23">
                        <c:v>316.33314947600661</c:v>
                      </c:pt>
                      <c:pt idx="24">
                        <c:v>288.99459459459462</c:v>
                      </c:pt>
                      <c:pt idx="25">
                        <c:v>254.99931459904045</c:v>
                      </c:pt>
                      <c:pt idx="26">
                        <c:v>263.5</c:v>
                      </c:pt>
                      <c:pt idx="27">
                        <c:v>289</c:v>
                      </c:pt>
                      <c:pt idx="28">
                        <c:v>336</c:v>
                      </c:pt>
                      <c:pt idx="29">
                        <c:v>311.48192056905748</c:v>
                      </c:pt>
                      <c:pt idx="30">
                        <c:v>318</c:v>
                      </c:pt>
                      <c:pt idx="31">
                        <c:v>260.55910780669143</c:v>
                      </c:pt>
                      <c:pt idx="32">
                        <c:v>225.33356329768887</c:v>
                      </c:pt>
                      <c:pt idx="33">
                        <c:v>254.99911894273129</c:v>
                      </c:pt>
                      <c:pt idx="34">
                        <c:v>273.0625</c:v>
                      </c:pt>
                      <c:pt idx="35">
                        <c:v>263.22995859992471</c:v>
                      </c:pt>
                      <c:pt idx="36">
                        <c:v>263.48652931854201</c:v>
                      </c:pt>
                      <c:pt idx="37">
                        <c:v>289.00404858299595</c:v>
                      </c:pt>
                      <c:pt idx="38">
                        <c:v>306</c:v>
                      </c:pt>
                      <c:pt idx="39">
                        <c:v>327.125</c:v>
                      </c:pt>
                      <c:pt idx="40">
                        <c:v>310</c:v>
                      </c:pt>
                      <c:pt idx="41">
                        <c:v>297.65952890792289</c:v>
                      </c:pt>
                      <c:pt idx="42">
                        <c:v>297.49803921568628</c:v>
                      </c:pt>
                      <c:pt idx="43">
                        <c:v>263.5</c:v>
                      </c:pt>
                      <c:pt idx="44">
                        <c:v>386.8</c:v>
                      </c:pt>
                      <c:pt idx="45">
                        <c:v>476</c:v>
                      </c:pt>
                      <c:pt idx="46">
                        <c:v>476</c:v>
                      </c:pt>
                      <c:pt idx="47">
                        <c:v>0</c:v>
                      </c:pt>
                      <c:pt idx="48">
                        <c:v>476</c:v>
                      </c:pt>
                      <c:pt idx="49">
                        <c:v>0</c:v>
                      </c:pt>
                      <c:pt idx="50">
                        <c:v>272</c:v>
                      </c:pt>
                      <c:pt idx="51">
                        <c:v>208.3</c:v>
                      </c:pt>
                      <c:pt idx="52">
                        <c:v>180.8</c:v>
                      </c:pt>
                      <c:pt idx="53">
                        <c:v>357</c:v>
                      </c:pt>
                      <c:pt idx="54">
                        <c:v>357</c:v>
                      </c:pt>
                      <c:pt idx="55">
                        <c:v>510</c:v>
                      </c:pt>
                      <c:pt idx="56">
                        <c:v>525.6</c:v>
                      </c:pt>
                      <c:pt idx="57">
                        <c:v>327.3</c:v>
                      </c:pt>
                      <c:pt idx="58">
                        <c:v>331.5</c:v>
                      </c:pt>
                      <c:pt idx="59">
                        <c:v>0</c:v>
                      </c:pt>
                      <c:pt idx="60">
                        <c:v>391.5</c:v>
                      </c:pt>
                      <c:pt idx="61">
                        <c:v>399.5</c:v>
                      </c:pt>
                      <c:pt idx="62">
                        <c:v>612</c:v>
                      </c:pt>
                      <c:pt idx="63">
                        <c:v>323</c:v>
                      </c:pt>
                      <c:pt idx="64">
                        <c:v>342.2</c:v>
                      </c:pt>
                      <c:pt idx="65">
                        <c:v>456.9</c:v>
                      </c:pt>
                      <c:pt idx="66">
                        <c:v>450.5</c:v>
                      </c:pt>
                      <c:pt idx="67">
                        <c:v>629</c:v>
                      </c:pt>
                      <c:pt idx="68">
                        <c:v>884</c:v>
                      </c:pt>
                      <c:pt idx="69">
                        <c:v>578</c:v>
                      </c:pt>
                      <c:pt idx="70">
                        <c:v>731</c:v>
                      </c:pt>
                      <c:pt idx="71">
                        <c:v>629</c:v>
                      </c:pt>
                      <c:pt idx="72">
                        <c:v>0</c:v>
                      </c:pt>
                      <c:pt idx="73">
                        <c:v>323</c:v>
                      </c:pt>
                      <c:pt idx="74">
                        <c:v>351</c:v>
                      </c:pt>
                      <c:pt idx="75">
                        <c:v>0</c:v>
                      </c:pt>
                      <c:pt idx="76">
                        <c:v>348.5</c:v>
                      </c:pt>
                      <c:pt idx="77">
                        <c:v>408</c:v>
                      </c:pt>
                      <c:pt idx="78">
                        <c:v>374</c:v>
                      </c:pt>
                      <c:pt idx="79">
                        <c:v>391</c:v>
                      </c:pt>
                      <c:pt idx="80">
                        <c:v>408</c:v>
                      </c:pt>
                      <c:pt idx="81">
                        <c:v>459</c:v>
                      </c:pt>
                      <c:pt idx="82">
                        <c:v>476</c:v>
                      </c:pt>
                      <c:pt idx="83">
                        <c:v>620.5</c:v>
                      </c:pt>
                      <c:pt idx="84">
                        <c:v>1224</c:v>
                      </c:pt>
                      <c:pt idx="85">
                        <c:v>486.7</c:v>
                      </c:pt>
                      <c:pt idx="86">
                        <c:v>448.5</c:v>
                      </c:pt>
                      <c:pt idx="87">
                        <c:v>532.70000000000005</c:v>
                      </c:pt>
                      <c:pt idx="88">
                        <c:v>578</c:v>
                      </c:pt>
                      <c:pt idx="89">
                        <c:v>595</c:v>
                      </c:pt>
                      <c:pt idx="90">
                        <c:v>0</c:v>
                      </c:pt>
                      <c:pt idx="91">
                        <c:v>680</c:v>
                      </c:pt>
                      <c:pt idx="92">
                        <c:v>544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E882-4771-AADA-7AD6E670441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1'!$D$1</c15:sqref>
                        </c15:formulaRef>
                      </c:ext>
                    </c:extLst>
                    <c:strCache>
                      <c:ptCount val="1"/>
                      <c:pt idx="0">
                        <c:v>Series empalmadas, precios constantes (deflactado en base al índice de Andalusia)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1'!$D$2:$D$94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412.33762137136944</c:v>
                      </c:pt>
                      <c:pt idx="1">
                        <c:v>487.15643935538446</c:v>
                      </c:pt>
                      <c:pt idx="2">
                        <c:v>463.03253599748439</c:v>
                      </c:pt>
                      <c:pt idx="3">
                        <c:v>533.21358321385276</c:v>
                      </c:pt>
                      <c:pt idx="4">
                        <c:v>495.72339752901416</c:v>
                      </c:pt>
                      <c:pt idx="5">
                        <c:v>508.03150878007364</c:v>
                      </c:pt>
                      <c:pt idx="6">
                        <c:v>664.78327302966409</c:v>
                      </c:pt>
                      <c:pt idx="7">
                        <c:v>703.44574275920854</c:v>
                      </c:pt>
                      <c:pt idx="8">
                        <c:v>688.99833847891307</c:v>
                      </c:pt>
                      <c:pt idx="10">
                        <c:v>442.10104783159466</c:v>
                      </c:pt>
                      <c:pt idx="11">
                        <c:v>473.26486232476202</c:v>
                      </c:pt>
                      <c:pt idx="13">
                        <c:v>508.18529266680741</c:v>
                      </c:pt>
                      <c:pt idx="14">
                        <c:v>613.76909626993654</c:v>
                      </c:pt>
                      <c:pt idx="15">
                        <c:v>551.99386666589305</c:v>
                      </c:pt>
                      <c:pt idx="17">
                        <c:v>555.06060210997884</c:v>
                      </c:pt>
                      <c:pt idx="18">
                        <c:v>452.76961449046615</c:v>
                      </c:pt>
                      <c:pt idx="19">
                        <c:v>349.08354581450993</c:v>
                      </c:pt>
                      <c:pt idx="20">
                        <c:v>375.75024314251573</c:v>
                      </c:pt>
                      <c:pt idx="21">
                        <c:v>364.69180976290187</c:v>
                      </c:pt>
                      <c:pt idx="22">
                        <c:v>402.87117956914955</c:v>
                      </c:pt>
                      <c:pt idx="23">
                        <c:v>396.88550919522856</c:v>
                      </c:pt>
                      <c:pt idx="24">
                        <c:v>330.64933635845563</c:v>
                      </c:pt>
                      <c:pt idx="25">
                        <c:v>279.62710300346748</c:v>
                      </c:pt>
                      <c:pt idx="26">
                        <c:v>270.67371190732649</c:v>
                      </c:pt>
                      <c:pt idx="27">
                        <c:v>401.53459718697491</c:v>
                      </c:pt>
                      <c:pt idx="28">
                        <c:v>453.67104669714752</c:v>
                      </c:pt>
                      <c:pt idx="29">
                        <c:v>408.6917270700643</c:v>
                      </c:pt>
                      <c:pt idx="30">
                        <c:v>367.19844634035542</c:v>
                      </c:pt>
                      <c:pt idx="31">
                        <c:v>259.74490265729912</c:v>
                      </c:pt>
                      <c:pt idx="32">
                        <c:v>241.96733455725189</c:v>
                      </c:pt>
                      <c:pt idx="33">
                        <c:v>296.72534148547101</c:v>
                      </c:pt>
                      <c:pt idx="34">
                        <c:v>337.02047788458862</c:v>
                      </c:pt>
                      <c:pt idx="35">
                        <c:v>298.56213538813796</c:v>
                      </c:pt>
                      <c:pt idx="36">
                        <c:v>329.80094606918203</c:v>
                      </c:pt>
                      <c:pt idx="37">
                        <c:v>369.86624809611067</c:v>
                      </c:pt>
                      <c:pt idx="38">
                        <c:v>360.63130567140973</c:v>
                      </c:pt>
                      <c:pt idx="39">
                        <c:v>357.07734548447684</c:v>
                      </c:pt>
                      <c:pt idx="40">
                        <c:v>300.15632361753183</c:v>
                      </c:pt>
                      <c:pt idx="41">
                        <c:v>269.61622064255971</c:v>
                      </c:pt>
                      <c:pt idx="42">
                        <c:v>303.13108953740198</c:v>
                      </c:pt>
                      <c:pt idx="43">
                        <c:v>286.60635039568325</c:v>
                      </c:pt>
                      <c:pt idx="44">
                        <c:v>431.22040260951337</c:v>
                      </c:pt>
                      <c:pt idx="45">
                        <c:v>425.97519792006</c:v>
                      </c:pt>
                      <c:pt idx="46">
                        <c:v>415.74904186438727</c:v>
                      </c:pt>
                      <c:pt idx="48">
                        <c:v>479.24366905075749</c:v>
                      </c:pt>
                      <c:pt idx="50">
                        <c:v>278.26308073321371</c:v>
                      </c:pt>
                      <c:pt idx="51">
                        <c:v>221.64585730800695</c:v>
                      </c:pt>
                      <c:pt idx="52">
                        <c:v>199.01998870204122</c:v>
                      </c:pt>
                      <c:pt idx="53">
                        <c:v>436.8236915646537</c:v>
                      </c:pt>
                      <c:pt idx="54">
                        <c:v>426.76203732181318</c:v>
                      </c:pt>
                      <c:pt idx="55">
                        <c:v>542.98401709839493</c:v>
                      </c:pt>
                      <c:pt idx="56">
                        <c:v>607.45810946195752</c:v>
                      </c:pt>
                      <c:pt idx="57">
                        <c:v>400.21418391074019</c:v>
                      </c:pt>
                      <c:pt idx="58">
                        <c:v>346.90724905072574</c:v>
                      </c:pt>
                      <c:pt idx="60">
                        <c:v>397.90465356131347</c:v>
                      </c:pt>
                      <c:pt idx="61">
                        <c:v>421.88764380035775</c:v>
                      </c:pt>
                      <c:pt idx="62">
                        <c:v>635.69059225060823</c:v>
                      </c:pt>
                      <c:pt idx="63">
                        <c:v>332.58802477373979</c:v>
                      </c:pt>
                      <c:pt idx="64">
                        <c:v>342.52961643818907</c:v>
                      </c:pt>
                      <c:pt idx="65">
                        <c:v>508.95032441483465</c:v>
                      </c:pt>
                      <c:pt idx="66">
                        <c:v>495.57404055284547</c:v>
                      </c:pt>
                      <c:pt idx="67">
                        <c:v>592.85486928339958</c:v>
                      </c:pt>
                      <c:pt idx="68">
                        <c:v>688.01279675776948</c:v>
                      </c:pt>
                      <c:pt idx="69">
                        <c:v>402.67849690985111</c:v>
                      </c:pt>
                      <c:pt idx="70">
                        <c:v>554.88873706102038</c:v>
                      </c:pt>
                      <c:pt idx="71">
                        <c:v>522.81230030391498</c:v>
                      </c:pt>
                      <c:pt idx="73">
                        <c:v>298.26662810846619</c:v>
                      </c:pt>
                      <c:pt idx="74">
                        <c:v>312.91956338403548</c:v>
                      </c:pt>
                      <c:pt idx="76">
                        <c:v>328.63947311934527</c:v>
                      </c:pt>
                      <c:pt idx="77">
                        <c:v>346.5971233372515</c:v>
                      </c:pt>
                      <c:pt idx="78">
                        <c:v>265.50455010922394</c:v>
                      </c:pt>
                      <c:pt idx="79">
                        <c:v>267.59628382886552</c:v>
                      </c:pt>
                      <c:pt idx="80">
                        <c:v>340.79324563972142</c:v>
                      </c:pt>
                      <c:pt idx="81">
                        <c:v>403.70407507155682</c:v>
                      </c:pt>
                      <c:pt idx="82">
                        <c:v>451.21089998588548</c:v>
                      </c:pt>
                      <c:pt idx="83">
                        <c:v>502.78350373056247</c:v>
                      </c:pt>
                      <c:pt idx="84">
                        <c:v>702.29112146343664</c:v>
                      </c:pt>
                      <c:pt idx="85">
                        <c:v>352.74184683281209</c:v>
                      </c:pt>
                      <c:pt idx="86">
                        <c:v>347.99238687364829</c:v>
                      </c:pt>
                      <c:pt idx="87">
                        <c:v>420.2529396401606</c:v>
                      </c:pt>
                      <c:pt idx="88">
                        <c:v>396.04779523898628</c:v>
                      </c:pt>
                      <c:pt idx="89">
                        <c:v>346.98246497966687</c:v>
                      </c:pt>
                      <c:pt idx="91">
                        <c:v>454.72583422978499</c:v>
                      </c:pt>
                      <c:pt idx="92">
                        <c:v>325.69164433115463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E882-4771-AADA-7AD6E6704415}"/>
                  </c:ext>
                </c:extLst>
              </c15:ser>
            </c15:filteredScatterSeries>
          </c:ext>
        </c:extLst>
      </c:scatterChart>
      <c:valAx>
        <c:axId val="1643920143"/>
        <c:scaling>
          <c:orientation val="minMax"/>
          <c:max val="1660"/>
          <c:min val="15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Años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917647"/>
        <c:crosses val="autoZero"/>
        <c:crossBetween val="midCat"/>
        <c:majorUnit val="10"/>
      </c:valAx>
      <c:valAx>
        <c:axId val="1643917647"/>
        <c:scaling>
          <c:orientation val="minMax"/>
          <c:min val="1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Maravedies</a:t>
                </a:r>
                <a:r>
                  <a:rPr lang="en-GB" baseline="0"/>
                  <a:t> por arroba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920143"/>
        <c:crosses val="autoZero"/>
        <c:crossBetween val="midCat"/>
        <c:majorUnit val="150"/>
        <c:minorUnit val="30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27566791839521476"/>
          <c:y val="3.2557105978588664E-2"/>
          <c:w val="0.26767850119112113"/>
          <c:h val="0.2484283078548418"/>
        </c:manualLayout>
      </c:layout>
      <c:overlay val="0"/>
      <c:spPr>
        <a:noFill/>
        <a:ln w="254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Lopez</dc:creator>
  <cp:lastModifiedBy>Federico Lopez</cp:lastModifiedBy>
  <cp:revision>77</cp:revision>
  <dcterms:created xsi:type="dcterms:W3CDTF">2022-02-14T19:40:00Z</dcterms:created>
  <dcterms:modified xsi:type="dcterms:W3CDTF">2022-04-06T14:14:00Z</dcterms:modified>
</cp:coreProperties>
</file>