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DA58" w14:textId="77777777" w:rsidR="00404FD9" w:rsidRDefault="00404FD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6861"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61"/>
      </w:tblGrid>
      <w:tr w:rsidR="00404FD9" w14:paraId="0E2BDA5B" w14:textId="77777777">
        <w:tc>
          <w:tcPr>
            <w:tcW w:w="6861" w:type="dxa"/>
            <w:shd w:val="clear" w:color="auto" w:fill="DEEBF6"/>
          </w:tcPr>
          <w:p w14:paraId="0E2BDA59" w14:textId="77777777" w:rsidR="00404FD9" w:rsidRDefault="009646E5">
            <w:pPr>
              <w:pStyle w:val="Ttulo1"/>
              <w:spacing w:before="0" w:after="0"/>
              <w:ind w:left="0" w:firstLine="0"/>
              <w:jc w:val="center"/>
              <w:outlineLvl w:val="0"/>
              <w:rPr>
                <w:rFonts w:ascii="Times New Roman" w:hAnsi="Times New Roman"/>
                <w:sz w:val="48"/>
                <w:szCs w:val="48"/>
              </w:rPr>
            </w:pPr>
            <w:r>
              <w:rPr>
                <w:rFonts w:ascii="Times New Roman" w:hAnsi="Times New Roman"/>
                <w:sz w:val="48"/>
                <w:szCs w:val="48"/>
              </w:rPr>
              <w:t>Tutorial 9</w:t>
            </w:r>
          </w:p>
          <w:p w14:paraId="0E2BDA5A" w14:textId="77777777" w:rsidR="00404FD9" w:rsidRDefault="009646E5">
            <w:pPr>
              <w:pStyle w:val="Ttulo1"/>
              <w:spacing w:before="0" w:after="0"/>
              <w:ind w:left="0" w:firstLine="0"/>
              <w:jc w:val="center"/>
              <w:outlineLvl w:val="0"/>
              <w:rPr>
                <w:rFonts w:ascii="Times New Roman" w:hAnsi="Times New Roman"/>
                <w:b w:val="0"/>
                <w:sz w:val="28"/>
                <w:szCs w:val="28"/>
              </w:rPr>
            </w:pPr>
            <w:r>
              <w:rPr>
                <w:rFonts w:ascii="Times New Roman" w:hAnsi="Times New Roman"/>
                <w:b w:val="0"/>
                <w:sz w:val="28"/>
                <w:szCs w:val="28"/>
              </w:rPr>
              <w:t xml:space="preserve"> (Week starting on 16-may-2022)</w:t>
            </w:r>
          </w:p>
        </w:tc>
      </w:tr>
    </w:tbl>
    <w:p w14:paraId="0E2BDA5C" w14:textId="77777777" w:rsidR="00404FD9" w:rsidRDefault="00404FD9">
      <w:pPr>
        <w:spacing w:line="276" w:lineRule="auto"/>
        <w:rPr>
          <w:rFonts w:ascii="Times New Roman" w:eastAsia="Times New Roman" w:hAnsi="Times New Roman" w:cs="Times New Roman"/>
        </w:rPr>
      </w:pPr>
    </w:p>
    <w:tbl>
      <w:tblPr>
        <w:tblStyle w:val="a0"/>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404FD9" w14:paraId="0E2BDA64" w14:textId="77777777">
        <w:trPr>
          <w:trHeight w:val="2331"/>
        </w:trPr>
        <w:tc>
          <w:tcPr>
            <w:tcW w:w="8488" w:type="dxa"/>
          </w:tcPr>
          <w:p w14:paraId="0E2BDA5D" w14:textId="77777777" w:rsidR="00404FD9" w:rsidRDefault="009646E5">
            <w:pPr>
              <w:spacing w:before="120" w:line="276" w:lineRule="auto"/>
              <w:rPr>
                <w:b/>
                <w:sz w:val="28"/>
                <w:szCs w:val="28"/>
              </w:rPr>
            </w:pPr>
            <w:r>
              <w:rPr>
                <w:b/>
                <w:sz w:val="28"/>
                <w:szCs w:val="28"/>
              </w:rPr>
              <w:t>Objectives</w:t>
            </w:r>
          </w:p>
          <w:p w14:paraId="0E2BDA5E" w14:textId="77777777" w:rsidR="00404FD9" w:rsidRDefault="009646E5">
            <w:pPr>
              <w:numPr>
                <w:ilvl w:val="0"/>
                <w:numId w:val="1"/>
              </w:num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color w:val="000000"/>
                <w:sz w:val="24"/>
                <w:szCs w:val="24"/>
              </w:rPr>
              <w:t>Study the concept of human capital</w:t>
            </w:r>
          </w:p>
          <w:p w14:paraId="0E2BDA5F" w14:textId="77777777" w:rsidR="00404FD9" w:rsidRDefault="00404FD9">
            <w:pPr>
              <w:pBdr>
                <w:top w:val="nil"/>
                <w:left w:val="nil"/>
                <w:bottom w:val="nil"/>
                <w:right w:val="nil"/>
                <w:between w:val="nil"/>
              </w:pBdr>
              <w:spacing w:line="276" w:lineRule="auto"/>
              <w:ind w:left="360"/>
              <w:rPr>
                <w:rFonts w:ascii="Calibri" w:eastAsia="Calibri" w:hAnsi="Calibri" w:cs="Calibri"/>
                <w:color w:val="000000"/>
                <w:sz w:val="24"/>
                <w:szCs w:val="24"/>
              </w:rPr>
            </w:pPr>
          </w:p>
          <w:p w14:paraId="0E2BDA60" w14:textId="77777777" w:rsidR="00404FD9" w:rsidRDefault="009646E5">
            <w:pPr>
              <w:spacing w:line="276" w:lineRule="auto"/>
              <w:rPr>
                <w:b/>
                <w:sz w:val="28"/>
                <w:szCs w:val="28"/>
              </w:rPr>
            </w:pPr>
            <w:r>
              <w:rPr>
                <w:b/>
                <w:sz w:val="28"/>
                <w:szCs w:val="28"/>
              </w:rPr>
              <w:t>Working materials</w:t>
            </w:r>
          </w:p>
          <w:p w14:paraId="0E2BDA61" w14:textId="77777777" w:rsidR="00404FD9" w:rsidRDefault="009646E5">
            <w:pPr>
              <w:widowControl w:val="0"/>
              <w:numPr>
                <w:ilvl w:val="0"/>
                <w:numId w:val="1"/>
              </w:num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b/>
                <w:color w:val="000000"/>
                <w:sz w:val="24"/>
                <w:szCs w:val="24"/>
              </w:rPr>
              <w:t>A’Hearn B., J. Baten, and D. Crayen. [2009]</w:t>
            </w:r>
            <w:r>
              <w:rPr>
                <w:rFonts w:ascii="Calibri" w:eastAsia="Calibri" w:hAnsi="Calibri" w:cs="Calibri"/>
                <w:color w:val="000000"/>
                <w:sz w:val="24"/>
                <w:szCs w:val="24"/>
              </w:rPr>
              <w:t xml:space="preserve"> “Quantifying Quantitative Literacy: Age Heaping and the History of Human Capital” </w:t>
            </w:r>
            <w:r>
              <w:rPr>
                <w:rFonts w:ascii="Calibri" w:eastAsia="Calibri" w:hAnsi="Calibri" w:cs="Calibri"/>
                <w:i/>
                <w:color w:val="000000"/>
                <w:sz w:val="24"/>
                <w:szCs w:val="24"/>
              </w:rPr>
              <w:t xml:space="preserve">The Journal of Economic History. </w:t>
            </w:r>
            <w:r>
              <w:rPr>
                <w:rFonts w:ascii="Calibri" w:eastAsia="Calibri" w:hAnsi="Calibri" w:cs="Calibri"/>
                <w:color w:val="000000"/>
                <w:sz w:val="24"/>
                <w:szCs w:val="24"/>
              </w:rPr>
              <w:t xml:space="preserve">69-3, 783-808 </w:t>
            </w:r>
          </w:p>
          <w:p w14:paraId="0E2BDA62" w14:textId="77777777" w:rsidR="00404FD9" w:rsidRDefault="009646E5">
            <w:pPr>
              <w:widowControl w:val="0"/>
              <w:numPr>
                <w:ilvl w:val="0"/>
                <w:numId w:val="1"/>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Excel</w:t>
            </w:r>
          </w:p>
          <w:p w14:paraId="0E2BDA63" w14:textId="77777777" w:rsidR="00404FD9" w:rsidRDefault="009646E5">
            <w:pPr>
              <w:widowControl w:val="0"/>
              <w:numPr>
                <w:ilvl w:val="0"/>
                <w:numId w:val="1"/>
              </w:num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You will need the </w:t>
            </w:r>
            <w:r>
              <w:rPr>
                <w:rFonts w:ascii="Calibri" w:eastAsia="Calibri" w:hAnsi="Calibri" w:cs="Calibri"/>
                <w:b/>
                <w:color w:val="000000"/>
                <w:sz w:val="24"/>
                <w:szCs w:val="24"/>
              </w:rPr>
              <w:t xml:space="preserve">database </w:t>
            </w:r>
            <w:r>
              <w:rPr>
                <w:rFonts w:ascii="Calibri" w:eastAsia="Calibri" w:hAnsi="Calibri" w:cs="Calibri"/>
                <w:color w:val="000000"/>
                <w:sz w:val="24"/>
                <w:szCs w:val="24"/>
              </w:rPr>
              <w:t>“Datos ejercitación 9” which can be found on the virtual campus</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w:t>
            </w:r>
          </w:p>
        </w:tc>
      </w:tr>
    </w:tbl>
    <w:p w14:paraId="0E2BDA65" w14:textId="77777777" w:rsidR="00404FD9" w:rsidRDefault="009646E5">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0E2BDA66" w14:textId="77777777" w:rsidR="00404FD9" w:rsidRDefault="009646E5">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Exercise guide</w:t>
      </w:r>
    </w:p>
    <w:p w14:paraId="0E2BDA67" w14:textId="77777777" w:rsidR="00404FD9" w:rsidRDefault="00404FD9">
      <w:pPr>
        <w:spacing w:line="276" w:lineRule="auto"/>
        <w:rPr>
          <w:rFonts w:ascii="Times New Roman" w:eastAsia="Times New Roman" w:hAnsi="Times New Roman" w:cs="Times New Roman"/>
        </w:rPr>
      </w:pPr>
    </w:p>
    <w:p w14:paraId="0E2BDA68" w14:textId="77777777" w:rsidR="00404FD9" w:rsidRDefault="009646E5">
      <w:pPr>
        <w:spacing w:line="276"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The exercises marked with an asterisk (*) are compulsory and must be submitted by email </w:t>
      </w:r>
      <w:r>
        <w:rPr>
          <w:rFonts w:ascii="Times New Roman" w:eastAsia="Times New Roman" w:hAnsi="Times New Roman" w:cs="Times New Roman"/>
          <w:b/>
        </w:rPr>
        <w:t>before 12.00 on Wednesday 25</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May</w:t>
      </w:r>
      <w:r>
        <w:rPr>
          <w:rFonts w:ascii="Times New Roman" w:eastAsia="Times New Roman" w:hAnsi="Times New Roman" w:cs="Times New Roman"/>
        </w:rPr>
        <w:t>.</w:t>
      </w:r>
      <w:r>
        <w:rPr>
          <w:rFonts w:ascii="Times New Roman" w:eastAsia="Times New Roman" w:hAnsi="Times New Roman" w:cs="Times New Roman"/>
          <w:vertAlign w:val="superscript"/>
        </w:rPr>
        <w:t xml:space="preserve"> </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To the mark obtained on the evaluation of this assignment,</w:t>
      </w:r>
      <w:r>
        <w:rPr>
          <w:rFonts w:ascii="Times New Roman" w:eastAsia="Times New Roman" w:hAnsi="Times New Roman" w:cs="Times New Roman"/>
          <w:b/>
        </w:rPr>
        <w:t xml:space="preserve"> 0.05 points will be subtracted for each minute late</w:t>
      </w:r>
      <w:r>
        <w:rPr>
          <w:rFonts w:ascii="Times New Roman" w:eastAsia="Times New Roman" w:hAnsi="Times New Roman" w:cs="Times New Roman"/>
        </w:rPr>
        <w:t>. Consult the course program with regards to the formalities of the presentation.</w:t>
      </w:r>
    </w:p>
    <w:p w14:paraId="0E2BDA69" w14:textId="77777777" w:rsidR="00404FD9" w:rsidRDefault="00404FD9">
      <w:pPr>
        <w:spacing w:line="276" w:lineRule="auto"/>
        <w:rPr>
          <w:rFonts w:ascii="Times New Roman" w:eastAsia="Times New Roman" w:hAnsi="Times New Roman" w:cs="Times New Roman"/>
        </w:rPr>
      </w:pPr>
    </w:p>
    <w:p w14:paraId="0E2BDA6A"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Explain in a few words which question A'Hearn et. al. [2009] are trying to answer. What are the main results?</w:t>
      </w:r>
    </w:p>
    <w:p w14:paraId="0E2BDA6B" w14:textId="77777777" w:rsidR="00404FD9" w:rsidRDefault="00404FD9">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p>
    <w:p w14:paraId="0E2BDA6C"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Explain in your own words what the following concepts named by A'Hearn et. al. [2009] mean and how they are related:</w:t>
      </w:r>
    </w:p>
    <w:p w14:paraId="0E2BDA6D"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Age heaping</w:t>
      </w:r>
    </w:p>
    <w:p w14:paraId="0E2BDA6E"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Numeracy</w:t>
      </w:r>
    </w:p>
    <w:p w14:paraId="0E2BDA6F"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Human capital</w:t>
      </w:r>
    </w:p>
    <w:p w14:paraId="0E2BDA70"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Whipple Index</w:t>
      </w:r>
    </w:p>
    <w:p w14:paraId="0E2BDA71"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What does Figure 3 of the paper shows? What is the reason for the authors to include this figure? What are they trying to demonstrate?</w:t>
      </w:r>
    </w:p>
    <w:p w14:paraId="0E2BDA72" w14:textId="77777777" w:rsidR="00404FD9" w:rsidRDefault="00404FD9">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p>
    <w:p w14:paraId="0E2BDA73"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Figure 4 in the paper shows the numeracy values over time. The authors separate Northern and Western European countries from Central and Eastern European countries. What is the main conclusion we draw from this figure?</w:t>
      </w:r>
    </w:p>
    <w:p w14:paraId="0E2BDA74" w14:textId="77777777" w:rsidR="00404FD9" w:rsidRDefault="00404FD9">
      <w:pPr>
        <w:pBdr>
          <w:top w:val="nil"/>
          <w:left w:val="nil"/>
          <w:bottom w:val="nil"/>
          <w:right w:val="nil"/>
          <w:between w:val="nil"/>
        </w:pBdr>
        <w:ind w:left="720"/>
        <w:rPr>
          <w:rFonts w:ascii="Times New Roman" w:eastAsia="Times New Roman" w:hAnsi="Times New Roman" w:cs="Times New Roman"/>
          <w:color w:val="000000"/>
        </w:rPr>
      </w:pPr>
    </w:p>
    <w:p w14:paraId="0E2BDA75" w14:textId="77777777" w:rsidR="00404FD9" w:rsidRDefault="00404FD9">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p>
    <w:p w14:paraId="0E2BDA76" w14:textId="77777777" w:rsidR="00404FD9" w:rsidRDefault="009646E5">
      <w:pPr>
        <w:widowControl w:val="0"/>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Using the file "Data Exercise 9" answer the following questions:</w:t>
      </w:r>
    </w:p>
    <w:p w14:paraId="0E2BDA77"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 variable that takes value 1 if the individual is male and 0 if the individual is female for the 1895 census. Note that the variable "Female" takes value 1 if the individual is female and 0 if the individual is male.</w:t>
      </w:r>
    </w:p>
    <w:p w14:paraId="0E2BDA78"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the traditional Whipple Index and the modified Whipple Index according to the authors for the entire population, for females and for males for both censuses.</w:t>
      </w:r>
    </w:p>
    <w:p w14:paraId="0E2BDA79"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How is the modified Whipple Index interpreted in the 1895 census?</w:t>
      </w:r>
    </w:p>
    <w:p w14:paraId="0E2BDA7A" w14:textId="77777777" w:rsidR="00404FD9" w:rsidRDefault="009646E5">
      <w:pPr>
        <w:widowControl w:val="0"/>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Calculate the percentage of the population literate in 1895 according to the "Literacy" variable. How does it compare with the modified Whipple Index for the entire population? </w:t>
      </w:r>
    </w:p>
    <w:p w14:paraId="110AA158" w14:textId="77777777" w:rsidR="0096476D" w:rsidRDefault="0096476D" w:rsidP="0096476D">
      <w:pPr>
        <w:widowControl w:val="0"/>
        <w:pBdr>
          <w:top w:val="nil"/>
          <w:left w:val="nil"/>
          <w:bottom w:val="nil"/>
          <w:right w:val="nil"/>
          <w:between w:val="nil"/>
        </w:pBdr>
        <w:spacing w:line="276" w:lineRule="auto"/>
        <w:ind w:left="1440"/>
        <w:rPr>
          <w:rFonts w:ascii="Times New Roman" w:eastAsia="Times New Roman" w:hAnsi="Times New Roman" w:cs="Times New Roman"/>
          <w:color w:val="000000"/>
        </w:rPr>
      </w:pPr>
    </w:p>
    <w:p w14:paraId="29A18F62" w14:textId="77777777" w:rsidR="00D360D4" w:rsidRPr="00D360D4" w:rsidRDefault="008F3D7F" w:rsidP="00D360D4">
      <w:pPr>
        <w:widowControl w:val="0"/>
        <w:pBdr>
          <w:top w:val="nil"/>
          <w:left w:val="nil"/>
          <w:bottom w:val="nil"/>
          <w:right w:val="nil"/>
          <w:between w:val="nil"/>
        </w:pBdr>
        <w:spacing w:line="276" w:lineRule="auto"/>
        <w:ind w:left="720"/>
        <w:rPr>
          <w:rFonts w:ascii="Arial" w:hAnsi="Arial" w:cs="Arial"/>
          <w:color w:val="000000"/>
          <w:sz w:val="22"/>
          <w:szCs w:val="22"/>
          <w:lang w:val="en-GB"/>
        </w:rPr>
      </w:pPr>
      <w:r>
        <w:rPr>
          <w:rFonts w:ascii="Times New Roman" w:eastAsia="Times New Roman" w:hAnsi="Times New Roman" w:cs="Times New Roman"/>
          <w:color w:val="000000"/>
        </w:rPr>
        <w:t xml:space="preserve">1. </w:t>
      </w:r>
      <w:r w:rsidR="00D360D4" w:rsidRPr="00352F32">
        <w:rPr>
          <w:rFonts w:ascii="Times New Roman" w:eastAsia="Times New Roman" w:hAnsi="Times New Roman" w:cs="Times New Roman"/>
          <w:color w:val="000000"/>
          <w:lang w:val="en-GB"/>
        </w:rPr>
        <w:t xml:space="preserve">The authors </w:t>
      </w:r>
      <w:r w:rsidR="00D360D4">
        <w:rPr>
          <w:rFonts w:ascii="Times New Roman" w:eastAsia="Times New Roman" w:hAnsi="Times New Roman" w:cs="Times New Roman"/>
          <w:color w:val="000000"/>
          <w:lang w:val="en-GB"/>
        </w:rPr>
        <w:t xml:space="preserve">want to study the development of human capital using numeracy as a proxy. </w:t>
      </w:r>
      <w:r w:rsidR="00D360D4" w:rsidRPr="00A340FB">
        <w:rPr>
          <w:rFonts w:ascii="Times New Roman" w:eastAsia="Times New Roman" w:hAnsi="Times New Roman" w:cs="Times New Roman"/>
          <w:color w:val="000000"/>
          <w:lang w:val="en-GB"/>
        </w:rPr>
        <w:t xml:space="preserve">To get that estimate, </w:t>
      </w:r>
      <w:r w:rsidR="00D360D4">
        <w:rPr>
          <w:rFonts w:ascii="Times New Roman" w:eastAsia="Times New Roman" w:hAnsi="Times New Roman" w:cs="Times New Roman"/>
          <w:color w:val="000000"/>
          <w:lang w:val="en-GB"/>
        </w:rPr>
        <w:t>they</w:t>
      </w:r>
      <w:r w:rsidR="00D360D4" w:rsidRPr="00A340FB">
        <w:rPr>
          <w:rFonts w:ascii="Times New Roman" w:eastAsia="Times New Roman" w:hAnsi="Times New Roman" w:cs="Times New Roman"/>
          <w:color w:val="000000"/>
          <w:lang w:val="en-GB"/>
        </w:rPr>
        <w:t xml:space="preserve"> exploit census data where p</w:t>
      </w:r>
      <w:r w:rsidR="00D360D4">
        <w:rPr>
          <w:rFonts w:ascii="Times New Roman" w:eastAsia="Times New Roman" w:hAnsi="Times New Roman" w:cs="Times New Roman"/>
          <w:color w:val="000000"/>
          <w:lang w:val="en-GB"/>
        </w:rPr>
        <w:t xml:space="preserve">eople self-reported their ages, given the existence of a tendency among “i-numerate” people (those who can’t count and don’t know numbers well), to guess a multiples of five, “round numbers”, as their ages. </w:t>
      </w:r>
      <w:r w:rsidR="00D360D4" w:rsidRPr="00435DC5">
        <w:rPr>
          <w:rFonts w:ascii="Times New Roman" w:eastAsia="Times New Roman" w:hAnsi="Times New Roman" w:cs="Times New Roman"/>
          <w:color w:val="000000"/>
          <w:lang w:val="en-GB"/>
        </w:rPr>
        <w:t>With this data, they measure a Whipple index that c</w:t>
      </w:r>
      <w:r w:rsidR="00D360D4">
        <w:rPr>
          <w:rFonts w:ascii="Times New Roman" w:eastAsia="Times New Roman" w:hAnsi="Times New Roman" w:cs="Times New Roman"/>
          <w:color w:val="000000"/>
          <w:lang w:val="en-GB"/>
        </w:rPr>
        <w:t xml:space="preserve">alculates the deviation from a perfect distribution of last digits and convert it into a numeracy rate. </w:t>
      </w:r>
      <w:r w:rsidR="00D360D4" w:rsidRPr="00435DC5">
        <w:rPr>
          <w:rFonts w:ascii="Times New Roman" w:eastAsia="Times New Roman" w:hAnsi="Times New Roman" w:cs="Times New Roman"/>
          <w:color w:val="000000"/>
          <w:lang w:val="en-GB"/>
        </w:rPr>
        <w:t>They demonstrate a high positive corelation between numeracy and l</w:t>
      </w:r>
      <w:r w:rsidR="00D360D4">
        <w:rPr>
          <w:rFonts w:ascii="Times New Roman" w:eastAsia="Times New Roman" w:hAnsi="Times New Roman" w:cs="Times New Roman"/>
          <w:color w:val="000000"/>
          <w:lang w:val="en-GB"/>
        </w:rPr>
        <w:t>iteracy to defend the use of the measure for the thesis and account for trends in changes in numeracy across time.</w:t>
      </w:r>
    </w:p>
    <w:p w14:paraId="60ACADD5" w14:textId="77777777" w:rsidR="00665F5A" w:rsidRDefault="00665F5A" w:rsidP="008F3D7F">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p>
    <w:p w14:paraId="64B81D3D" w14:textId="24F076DB" w:rsidR="002450CD" w:rsidRDefault="002450CD" w:rsidP="008F3D7F">
      <w:pPr>
        <w:widowControl w:val="0"/>
        <w:pBdr>
          <w:top w:val="nil"/>
          <w:left w:val="nil"/>
          <w:bottom w:val="nil"/>
          <w:right w:val="nil"/>
          <w:between w:val="nil"/>
        </w:pBdr>
        <w:spacing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p w14:paraId="477785A8" w14:textId="4B3A466E" w:rsidR="000D0322" w:rsidRDefault="007B0952"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sidRPr="00352F32">
        <w:rPr>
          <w:rFonts w:ascii="Times New Roman" w:eastAsia="Times New Roman" w:hAnsi="Times New Roman" w:cs="Times New Roman"/>
          <w:color w:val="000000"/>
          <w:lang w:val="en-GB"/>
        </w:rPr>
        <w:t>a.</w:t>
      </w:r>
      <w:r w:rsidR="00352F32">
        <w:rPr>
          <w:rFonts w:ascii="Times New Roman" w:eastAsia="Times New Roman" w:hAnsi="Times New Roman" w:cs="Times New Roman"/>
          <w:color w:val="000000"/>
          <w:lang w:val="en-GB"/>
        </w:rPr>
        <w:t xml:space="preserve"> </w:t>
      </w:r>
      <w:r w:rsidR="00D360D4">
        <w:rPr>
          <w:rFonts w:ascii="Times New Roman" w:eastAsia="Times New Roman" w:hAnsi="Times New Roman" w:cs="Times New Roman"/>
          <w:color w:val="000000"/>
          <w:lang w:val="en-GB"/>
        </w:rPr>
        <w:t xml:space="preserve">Age-heaping is the </w:t>
      </w:r>
      <w:r w:rsidR="00E572F5">
        <w:rPr>
          <w:rFonts w:ascii="Times New Roman" w:eastAsia="Times New Roman" w:hAnsi="Times New Roman" w:cs="Times New Roman"/>
          <w:color w:val="000000"/>
          <w:lang w:val="en-GB"/>
        </w:rPr>
        <w:t xml:space="preserve">practice of “rounding” one’s age when one is not sure what that is, and </w:t>
      </w:r>
      <w:r w:rsidR="0004455B">
        <w:rPr>
          <w:rFonts w:ascii="Times New Roman" w:eastAsia="Times New Roman" w:hAnsi="Times New Roman" w:cs="Times New Roman"/>
          <w:color w:val="000000"/>
          <w:lang w:val="en-GB"/>
        </w:rPr>
        <w:t>it is what the authors attribute to not knowing the numbers.</w:t>
      </w:r>
    </w:p>
    <w:p w14:paraId="1F64C6B5" w14:textId="6E5502FE" w:rsidR="0004455B" w:rsidRPr="00D360D4" w:rsidRDefault="0004455B" w:rsidP="00D360D4">
      <w:pPr>
        <w:widowControl w:val="0"/>
        <w:pBdr>
          <w:top w:val="nil"/>
          <w:left w:val="nil"/>
          <w:bottom w:val="nil"/>
          <w:right w:val="nil"/>
          <w:between w:val="nil"/>
        </w:pBdr>
        <w:spacing w:line="276" w:lineRule="auto"/>
        <w:ind w:left="720"/>
        <w:rPr>
          <w:rFonts w:ascii="Arial" w:hAnsi="Arial" w:cs="Arial"/>
          <w:color w:val="000000"/>
          <w:sz w:val="22"/>
          <w:szCs w:val="22"/>
          <w:lang w:val="en-GB"/>
        </w:rPr>
      </w:pPr>
      <w:r>
        <w:rPr>
          <w:rFonts w:ascii="Times New Roman" w:eastAsia="Times New Roman" w:hAnsi="Times New Roman" w:cs="Times New Roman"/>
          <w:color w:val="000000"/>
          <w:lang w:val="en-GB"/>
        </w:rPr>
        <w:t>n. Numeracy is</w:t>
      </w:r>
      <w:r w:rsidR="00BB0212">
        <w:rPr>
          <w:rFonts w:ascii="Times New Roman" w:eastAsia="Times New Roman" w:hAnsi="Times New Roman" w:cs="Times New Roman"/>
          <w:color w:val="000000"/>
          <w:lang w:val="en-GB"/>
        </w:rPr>
        <w:t xml:space="preserve">, like literacy is for reading and writing, the proportion of people who </w:t>
      </w:r>
      <w:r w:rsidR="002063FB">
        <w:rPr>
          <w:rFonts w:ascii="Times New Roman" w:eastAsia="Times New Roman" w:hAnsi="Times New Roman" w:cs="Times New Roman"/>
          <w:color w:val="000000"/>
          <w:lang w:val="en-GB"/>
        </w:rPr>
        <w:t>can</w:t>
      </w:r>
      <w:r w:rsidR="00BB0212">
        <w:rPr>
          <w:rFonts w:ascii="Times New Roman" w:eastAsia="Times New Roman" w:hAnsi="Times New Roman" w:cs="Times New Roman"/>
          <w:color w:val="000000"/>
          <w:lang w:val="en-GB"/>
        </w:rPr>
        <w:t xml:space="preserve"> count and understand numbers properly.</w:t>
      </w:r>
    </w:p>
    <w:p w14:paraId="3B057863" w14:textId="5F331FCF" w:rsidR="00D360D4" w:rsidRDefault="002C5423"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c. Human capital is </w:t>
      </w:r>
      <w:r w:rsidR="002E6F3B">
        <w:rPr>
          <w:rFonts w:ascii="Times New Roman" w:eastAsia="Times New Roman" w:hAnsi="Times New Roman" w:cs="Times New Roman"/>
          <w:color w:val="000000"/>
          <w:lang w:val="en-GB"/>
        </w:rPr>
        <w:t xml:space="preserve">a concept of the capacity of people to </w:t>
      </w:r>
      <w:r w:rsidR="0082665D">
        <w:rPr>
          <w:rFonts w:ascii="Times New Roman" w:eastAsia="Times New Roman" w:hAnsi="Times New Roman" w:cs="Times New Roman"/>
          <w:color w:val="000000"/>
          <w:lang w:val="en-GB"/>
        </w:rPr>
        <w:t xml:space="preserve">do varied activities and works, </w:t>
      </w:r>
      <w:r w:rsidR="002E6F3B">
        <w:rPr>
          <w:rFonts w:ascii="Times New Roman" w:eastAsia="Times New Roman" w:hAnsi="Times New Roman" w:cs="Times New Roman"/>
          <w:color w:val="000000"/>
          <w:lang w:val="en-GB"/>
        </w:rPr>
        <w:t xml:space="preserve">so </w:t>
      </w:r>
      <w:r w:rsidR="0082665D">
        <w:rPr>
          <w:rFonts w:ascii="Times New Roman" w:eastAsia="Times New Roman" w:hAnsi="Times New Roman" w:cs="Times New Roman"/>
          <w:color w:val="000000"/>
          <w:lang w:val="en-GB"/>
        </w:rPr>
        <w:t>improvements</w:t>
      </w:r>
      <w:r w:rsidR="002E6F3B">
        <w:rPr>
          <w:rFonts w:ascii="Times New Roman" w:eastAsia="Times New Roman" w:hAnsi="Times New Roman" w:cs="Times New Roman"/>
          <w:color w:val="000000"/>
          <w:lang w:val="en-GB"/>
        </w:rPr>
        <w:t xml:space="preserve"> in human</w:t>
      </w:r>
      <w:r w:rsidR="0082665D">
        <w:rPr>
          <w:rFonts w:ascii="Times New Roman" w:eastAsia="Times New Roman" w:hAnsi="Times New Roman" w:cs="Times New Roman"/>
          <w:color w:val="000000"/>
          <w:lang w:val="en-GB"/>
        </w:rPr>
        <w:t xml:space="preserve"> capital would be </w:t>
      </w:r>
      <w:r w:rsidR="009A2C9F">
        <w:rPr>
          <w:rFonts w:ascii="Times New Roman" w:eastAsia="Times New Roman" w:hAnsi="Times New Roman" w:cs="Times New Roman"/>
          <w:color w:val="000000"/>
          <w:lang w:val="en-GB"/>
        </w:rPr>
        <w:t>more educated general populations, for example.</w:t>
      </w:r>
    </w:p>
    <w:p w14:paraId="68CD0DEE" w14:textId="158F793B" w:rsidR="009A2C9F" w:rsidRDefault="002C5423"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d. The Whipple index </w:t>
      </w:r>
      <w:r w:rsidR="00600A9E">
        <w:rPr>
          <w:rFonts w:ascii="Times New Roman" w:eastAsia="Times New Roman" w:hAnsi="Times New Roman" w:cs="Times New Roman"/>
          <w:color w:val="000000"/>
          <w:lang w:val="en-GB"/>
        </w:rPr>
        <w:t xml:space="preserve">is a measure from 0 to 500 that tells the ratio of the </w:t>
      </w:r>
      <w:r w:rsidR="00F05A1C">
        <w:rPr>
          <w:rFonts w:ascii="Times New Roman" w:eastAsia="Times New Roman" w:hAnsi="Times New Roman" w:cs="Times New Roman"/>
          <w:color w:val="000000"/>
          <w:lang w:val="en-GB"/>
        </w:rPr>
        <w:t>quantity</w:t>
      </w:r>
      <w:r w:rsidR="00600A9E">
        <w:rPr>
          <w:rFonts w:ascii="Times New Roman" w:eastAsia="Times New Roman" w:hAnsi="Times New Roman" w:cs="Times New Roman"/>
          <w:color w:val="000000"/>
          <w:lang w:val="en-GB"/>
        </w:rPr>
        <w:t xml:space="preserve"> of numbers ended in 5 or 0 </w:t>
      </w:r>
      <w:r w:rsidR="001630C4">
        <w:rPr>
          <w:rFonts w:ascii="Times New Roman" w:eastAsia="Times New Roman" w:hAnsi="Times New Roman" w:cs="Times New Roman"/>
          <w:color w:val="000000"/>
          <w:lang w:val="en-GB"/>
        </w:rPr>
        <w:t xml:space="preserve">in a set to the expected perfect distribution </w:t>
      </w:r>
      <w:r w:rsidR="002063FB">
        <w:rPr>
          <w:rFonts w:ascii="Times New Roman" w:eastAsia="Times New Roman" w:hAnsi="Times New Roman" w:cs="Times New Roman"/>
          <w:color w:val="000000"/>
          <w:lang w:val="en-GB"/>
        </w:rPr>
        <w:t xml:space="preserve">among </w:t>
      </w:r>
      <w:r w:rsidR="001630C4">
        <w:rPr>
          <w:rFonts w:ascii="Times New Roman" w:eastAsia="Times New Roman" w:hAnsi="Times New Roman" w:cs="Times New Roman"/>
          <w:color w:val="000000"/>
          <w:lang w:val="en-GB"/>
        </w:rPr>
        <w:t>the total amount of factors</w:t>
      </w:r>
      <w:r w:rsidR="0096476D">
        <w:rPr>
          <w:rFonts w:ascii="Times New Roman" w:eastAsia="Times New Roman" w:hAnsi="Times New Roman" w:cs="Times New Roman"/>
          <w:color w:val="000000"/>
          <w:lang w:val="en-GB"/>
        </w:rPr>
        <w:t xml:space="preserve"> in the set</w:t>
      </w:r>
      <w:r w:rsidR="002063FB">
        <w:rPr>
          <w:rFonts w:ascii="Times New Roman" w:eastAsia="Times New Roman" w:hAnsi="Times New Roman" w:cs="Times New Roman"/>
          <w:color w:val="000000"/>
          <w:lang w:val="en-GB"/>
        </w:rPr>
        <w:t>.</w:t>
      </w:r>
    </w:p>
    <w:p w14:paraId="0E806CA9" w14:textId="756CDAFD" w:rsidR="009A2C9F" w:rsidRDefault="009A2C9F"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3. </w:t>
      </w:r>
    </w:p>
    <w:p w14:paraId="3E73905A" w14:textId="09ACE70C" w:rsidR="009A2C9F" w:rsidRDefault="00492F4E"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Figure </w:t>
      </w:r>
      <w:r w:rsidR="00593E5A">
        <w:rPr>
          <w:rFonts w:ascii="Times New Roman" w:eastAsia="Times New Roman" w:hAnsi="Times New Roman" w:cs="Times New Roman"/>
          <w:color w:val="000000"/>
          <w:lang w:val="en-GB"/>
        </w:rPr>
        <w:t>3 shows the progress of numeracy</w:t>
      </w:r>
      <w:r w:rsidR="002F55E5">
        <w:rPr>
          <w:rFonts w:ascii="Times New Roman" w:eastAsia="Times New Roman" w:hAnsi="Times New Roman" w:cs="Times New Roman"/>
          <w:color w:val="000000"/>
          <w:lang w:val="en-GB"/>
        </w:rPr>
        <w:t xml:space="preserve"> and literacy</w:t>
      </w:r>
      <w:r w:rsidR="00593E5A">
        <w:rPr>
          <w:rFonts w:ascii="Times New Roman" w:eastAsia="Times New Roman" w:hAnsi="Times New Roman" w:cs="Times New Roman"/>
          <w:color w:val="000000"/>
          <w:lang w:val="en-GB"/>
        </w:rPr>
        <w:t xml:space="preserve"> in different cities. </w:t>
      </w:r>
      <w:r w:rsidR="001E77CF">
        <w:rPr>
          <w:rFonts w:ascii="Times New Roman" w:eastAsia="Times New Roman" w:hAnsi="Times New Roman" w:cs="Times New Roman"/>
          <w:color w:val="000000"/>
          <w:lang w:val="en-GB"/>
        </w:rPr>
        <w:t>The</w:t>
      </w:r>
      <w:r w:rsidR="002F55E5">
        <w:rPr>
          <w:rFonts w:ascii="Times New Roman" w:eastAsia="Times New Roman" w:hAnsi="Times New Roman" w:cs="Times New Roman"/>
          <w:color w:val="000000"/>
          <w:lang w:val="en-GB"/>
        </w:rPr>
        <w:t xml:space="preserve"> </w:t>
      </w:r>
      <w:r w:rsidR="00524355">
        <w:rPr>
          <w:rFonts w:ascii="Times New Roman" w:eastAsia="Times New Roman" w:hAnsi="Times New Roman" w:cs="Times New Roman"/>
          <w:color w:val="000000"/>
          <w:lang w:val="en-GB"/>
        </w:rPr>
        <w:t xml:space="preserve">reason is to show that although the two are highly correlated, they not always are </w:t>
      </w:r>
      <w:r w:rsidR="00524355">
        <w:rPr>
          <w:rFonts w:ascii="Times New Roman" w:eastAsia="Times New Roman" w:hAnsi="Times New Roman" w:cs="Times New Roman"/>
          <w:color w:val="000000"/>
          <w:lang w:val="en-GB"/>
        </w:rPr>
        <w:lastRenderedPageBreak/>
        <w:t xml:space="preserve">linearly corelated through time. </w:t>
      </w:r>
      <w:r w:rsidR="00B90C5A">
        <w:rPr>
          <w:rFonts w:ascii="Times New Roman" w:eastAsia="Times New Roman" w:hAnsi="Times New Roman" w:cs="Times New Roman"/>
          <w:color w:val="000000"/>
          <w:lang w:val="en-GB"/>
        </w:rPr>
        <w:t>They try to demo</w:t>
      </w:r>
      <w:r w:rsidR="003C30AB">
        <w:rPr>
          <w:rFonts w:ascii="Times New Roman" w:eastAsia="Times New Roman" w:hAnsi="Times New Roman" w:cs="Times New Roman"/>
          <w:color w:val="000000"/>
          <w:lang w:val="en-GB"/>
        </w:rPr>
        <w:t xml:space="preserve">nstrate that numeracy can improve greatly without there being much change in literacy levels. </w:t>
      </w:r>
      <w:r w:rsidR="00930B67">
        <w:rPr>
          <w:rFonts w:ascii="Times New Roman" w:eastAsia="Times New Roman" w:hAnsi="Times New Roman" w:cs="Times New Roman"/>
          <w:color w:val="000000"/>
          <w:lang w:val="en-GB"/>
        </w:rPr>
        <w:t xml:space="preserve">Such is the case </w:t>
      </w:r>
      <w:r w:rsidR="00457C30">
        <w:rPr>
          <w:rFonts w:ascii="Times New Roman" w:eastAsia="Times New Roman" w:hAnsi="Times New Roman" w:cs="Times New Roman"/>
          <w:color w:val="000000"/>
          <w:lang w:val="en-GB"/>
        </w:rPr>
        <w:t xml:space="preserve">with Hungary or northern </w:t>
      </w:r>
      <w:r w:rsidR="00F05A1C">
        <w:rPr>
          <w:rFonts w:ascii="Times New Roman" w:eastAsia="Times New Roman" w:hAnsi="Times New Roman" w:cs="Times New Roman"/>
          <w:color w:val="000000"/>
          <w:lang w:val="en-GB"/>
        </w:rPr>
        <w:t>Italy,</w:t>
      </w:r>
      <w:r w:rsidR="00457C30">
        <w:rPr>
          <w:rFonts w:ascii="Times New Roman" w:eastAsia="Times New Roman" w:hAnsi="Times New Roman" w:cs="Times New Roman"/>
          <w:color w:val="000000"/>
          <w:lang w:val="en-GB"/>
        </w:rPr>
        <w:t xml:space="preserve"> and it would show basic numeracy doesn’t require </w:t>
      </w:r>
      <w:r w:rsidR="00B75AD4">
        <w:rPr>
          <w:rFonts w:ascii="Times New Roman" w:eastAsia="Times New Roman" w:hAnsi="Times New Roman" w:cs="Times New Roman"/>
          <w:color w:val="000000"/>
          <w:lang w:val="en-GB"/>
        </w:rPr>
        <w:t xml:space="preserve">schooling: general literacy is much harder to achieve that being able to tell one’s age. Also, that </w:t>
      </w:r>
      <w:r w:rsidR="00B2070C">
        <w:rPr>
          <w:rFonts w:ascii="Times New Roman" w:eastAsia="Times New Roman" w:hAnsi="Times New Roman" w:cs="Times New Roman"/>
          <w:color w:val="000000"/>
          <w:lang w:val="en-GB"/>
        </w:rPr>
        <w:t>improvements</w:t>
      </w:r>
      <w:r w:rsidR="00B75AD4">
        <w:rPr>
          <w:rFonts w:ascii="Times New Roman" w:eastAsia="Times New Roman" w:hAnsi="Times New Roman" w:cs="Times New Roman"/>
          <w:color w:val="000000"/>
          <w:lang w:val="en-GB"/>
        </w:rPr>
        <w:t xml:space="preserve"> in numeracy could be a good measurement of increased trade, as north Italy experienced. Also, improved literacy but </w:t>
      </w:r>
      <w:r w:rsidR="0096476D">
        <w:rPr>
          <w:rFonts w:ascii="Times New Roman" w:eastAsia="Times New Roman" w:hAnsi="Times New Roman" w:cs="Times New Roman"/>
          <w:color w:val="000000"/>
          <w:lang w:val="en-GB"/>
        </w:rPr>
        <w:t>not</w:t>
      </w:r>
      <w:r w:rsidR="00B75AD4">
        <w:rPr>
          <w:rFonts w:ascii="Times New Roman" w:eastAsia="Times New Roman" w:hAnsi="Times New Roman" w:cs="Times New Roman"/>
          <w:color w:val="000000"/>
          <w:lang w:val="en-GB"/>
        </w:rPr>
        <w:t xml:space="preserve"> much improvement </w:t>
      </w:r>
      <w:r w:rsidR="00B2070C">
        <w:rPr>
          <w:rFonts w:ascii="Times New Roman" w:eastAsia="Times New Roman" w:hAnsi="Times New Roman" w:cs="Times New Roman"/>
          <w:color w:val="000000"/>
          <w:lang w:val="en-GB"/>
        </w:rPr>
        <w:t>in numeracy can e due to the practice of misreporting being locked in on certain groups.</w:t>
      </w:r>
    </w:p>
    <w:p w14:paraId="2DF38CC9" w14:textId="77777777" w:rsidR="0096476D" w:rsidRDefault="0096476D"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p>
    <w:p w14:paraId="4145F3C5" w14:textId="074AB857" w:rsidR="00905143" w:rsidRDefault="00905143"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4. </w:t>
      </w:r>
      <w:r w:rsidR="00E00B29">
        <w:rPr>
          <w:rFonts w:ascii="Times New Roman" w:eastAsia="Times New Roman" w:hAnsi="Times New Roman" w:cs="Times New Roman"/>
          <w:color w:val="000000"/>
          <w:lang w:val="en-GB"/>
        </w:rPr>
        <w:t>The main conclusion that can be drawn from comparing East-West numeracy rates</w:t>
      </w:r>
      <w:r w:rsidR="00972D3F">
        <w:rPr>
          <w:rFonts w:ascii="Times New Roman" w:eastAsia="Times New Roman" w:hAnsi="Times New Roman" w:cs="Times New Roman"/>
          <w:color w:val="000000"/>
          <w:lang w:val="en-GB"/>
        </w:rPr>
        <w:t xml:space="preserve"> I that disparities were grater in the seventeenth century</w:t>
      </w:r>
      <w:r w:rsidR="00D17892">
        <w:rPr>
          <w:rFonts w:ascii="Times New Roman" w:eastAsia="Times New Roman" w:hAnsi="Times New Roman" w:cs="Times New Roman"/>
          <w:color w:val="000000"/>
          <w:lang w:val="en-GB"/>
        </w:rPr>
        <w:t xml:space="preserve"> and that de divergence began during the </w:t>
      </w:r>
      <w:r w:rsidR="00F05A1C">
        <w:rPr>
          <w:rFonts w:ascii="Times New Roman" w:eastAsia="Times New Roman" w:hAnsi="Times New Roman" w:cs="Times New Roman"/>
          <w:color w:val="000000"/>
          <w:lang w:val="en-GB"/>
        </w:rPr>
        <w:t>Middle Ages</w:t>
      </w:r>
      <w:r w:rsidR="007F754D">
        <w:rPr>
          <w:rFonts w:ascii="Times New Roman" w:eastAsia="Times New Roman" w:hAnsi="Times New Roman" w:cs="Times New Roman"/>
          <w:color w:val="000000"/>
          <w:lang w:val="en-GB"/>
        </w:rPr>
        <w:t xml:space="preserve"> after which they tend to </w:t>
      </w:r>
      <w:r w:rsidR="00F05A1C">
        <w:rPr>
          <w:rFonts w:ascii="Times New Roman" w:eastAsia="Times New Roman" w:hAnsi="Times New Roman" w:cs="Times New Roman"/>
          <w:color w:val="000000"/>
          <w:lang w:val="en-GB"/>
        </w:rPr>
        <w:t>converge,</w:t>
      </w:r>
      <w:r w:rsidR="007F754D">
        <w:rPr>
          <w:rFonts w:ascii="Times New Roman" w:eastAsia="Times New Roman" w:hAnsi="Times New Roman" w:cs="Times New Roman"/>
          <w:color w:val="000000"/>
          <w:lang w:val="en-GB"/>
        </w:rPr>
        <w:t xml:space="preserve"> and the east rises very dramatically </w:t>
      </w:r>
      <w:r w:rsidR="00551E0F">
        <w:rPr>
          <w:rFonts w:ascii="Times New Roman" w:eastAsia="Times New Roman" w:hAnsi="Times New Roman" w:cs="Times New Roman"/>
          <w:color w:val="000000"/>
          <w:lang w:val="en-GB"/>
        </w:rPr>
        <w:t>in spite of the “second serfdom”</w:t>
      </w:r>
    </w:p>
    <w:p w14:paraId="518AB92B" w14:textId="77777777" w:rsidR="0036728D" w:rsidRDefault="0036728D"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p>
    <w:p w14:paraId="7D21D2F1" w14:textId="1D741CEA" w:rsidR="000A17E5" w:rsidRDefault="000A17E5"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5. </w:t>
      </w:r>
    </w:p>
    <w:p w14:paraId="406FA597" w14:textId="74366D4E" w:rsidR="000A17E5" w:rsidRDefault="000A17E5"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w:t>
      </w:r>
      <w:r w:rsidR="00C96410">
        <w:rPr>
          <w:rFonts w:ascii="Times New Roman" w:eastAsia="Times New Roman" w:hAnsi="Times New Roman" w:cs="Times New Roman"/>
          <w:color w:val="000000"/>
          <w:lang w:val="en-GB"/>
        </w:rPr>
        <w:t xml:space="preserve"> the Whipple index</w:t>
      </w:r>
      <w:r w:rsidR="00B525C2">
        <w:rPr>
          <w:rFonts w:ascii="Times New Roman" w:eastAsia="Times New Roman" w:hAnsi="Times New Roman" w:cs="Times New Roman"/>
          <w:color w:val="000000"/>
          <w:lang w:val="en-GB"/>
        </w:rPr>
        <w:t xml:space="preserve"> returns a number that’s quite close to a 100, meaning the</w:t>
      </w:r>
      <w:r w:rsidR="00F05A1C">
        <w:rPr>
          <w:rFonts w:ascii="Times New Roman" w:eastAsia="Times New Roman" w:hAnsi="Times New Roman" w:cs="Times New Roman"/>
          <w:color w:val="000000"/>
          <w:lang w:val="en-GB"/>
        </w:rPr>
        <w:t xml:space="preserve"> deviation from a perfect distribution of fives and zeroes wasn’t too extreme as it would be close to 500.</w:t>
      </w:r>
    </w:p>
    <w:p w14:paraId="43381BF9" w14:textId="7B8C6792" w:rsidR="000F7783" w:rsidRPr="00D360D4" w:rsidRDefault="000F7783" w:rsidP="00D360D4">
      <w:pPr>
        <w:widowControl w:val="0"/>
        <w:pBdr>
          <w:top w:val="nil"/>
          <w:left w:val="nil"/>
          <w:bottom w:val="nil"/>
          <w:right w:val="nil"/>
          <w:between w:val="nil"/>
        </w:pBdr>
        <w:spacing w:line="276" w:lineRule="auto"/>
        <w:ind w:left="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d. The numerac</w:t>
      </w:r>
      <w:r w:rsidR="00551E0F">
        <w:rPr>
          <w:rFonts w:ascii="Times New Roman" w:eastAsia="Times New Roman" w:hAnsi="Times New Roman" w:cs="Times New Roman"/>
          <w:color w:val="000000"/>
          <w:lang w:val="en-GB"/>
        </w:rPr>
        <w:t xml:space="preserve">y rate appears greater than literacy, perhaps </w:t>
      </w:r>
      <w:r w:rsidR="00C96410">
        <w:rPr>
          <w:rFonts w:ascii="Times New Roman" w:eastAsia="Times New Roman" w:hAnsi="Times New Roman" w:cs="Times New Roman"/>
          <w:color w:val="000000"/>
          <w:lang w:val="en-GB"/>
        </w:rPr>
        <w:t>indicating age-heaping wasn’t very common in 1895.</w:t>
      </w:r>
    </w:p>
    <w:sectPr w:rsidR="000F7783" w:rsidRPr="00D360D4">
      <w:headerReference w:type="default" r:id="rId8"/>
      <w:footerReference w:type="even" r:id="rId9"/>
      <w:footerReference w:type="default" r:id="rId10"/>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F479" w14:textId="77777777" w:rsidR="009646E5" w:rsidRDefault="009646E5">
      <w:r>
        <w:separator/>
      </w:r>
    </w:p>
  </w:endnote>
  <w:endnote w:type="continuationSeparator" w:id="0">
    <w:p w14:paraId="11E443B2" w14:textId="77777777" w:rsidR="009646E5" w:rsidRDefault="0096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DA80" w14:textId="77777777" w:rsidR="00404FD9" w:rsidRDefault="009646E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sidR="003E4FA0">
      <w:rPr>
        <w:color w:val="000000"/>
      </w:rPr>
      <w:fldChar w:fldCharType="separate"/>
    </w:r>
    <w:r>
      <w:rPr>
        <w:color w:val="000000"/>
      </w:rPr>
      <w:fldChar w:fldCharType="end"/>
    </w:r>
  </w:p>
  <w:p w14:paraId="0E2BDA81" w14:textId="77777777" w:rsidR="00404FD9" w:rsidRDefault="00404FD9">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DA82" w14:textId="77777777" w:rsidR="00404FD9" w:rsidRDefault="00404FD9">
    <w:pPr>
      <w:pBdr>
        <w:top w:val="nil"/>
        <w:left w:val="nil"/>
        <w:bottom w:val="nil"/>
        <w:right w:val="nil"/>
        <w:between w:val="nil"/>
      </w:pBdr>
      <w:tabs>
        <w:tab w:val="center" w:pos="4419"/>
        <w:tab w:val="right" w:pos="8838"/>
      </w:tabs>
      <w:ind w:right="360"/>
      <w:rPr>
        <w:rFonts w:ascii="Times New Roman" w:eastAsia="Times New Roman" w:hAnsi="Times New Roman" w:cs="Times New Roman"/>
        <w:color w:val="000000"/>
        <w:u w:val="single"/>
      </w:rPr>
    </w:pPr>
  </w:p>
  <w:tbl>
    <w:tblPr>
      <w:tblStyle w:val="a2"/>
      <w:tblW w:w="8488" w:type="dxa"/>
      <w:tblBorders>
        <w:top w:val="nil"/>
        <w:left w:val="nil"/>
        <w:bottom w:val="nil"/>
        <w:right w:val="nil"/>
        <w:insideH w:val="nil"/>
        <w:insideV w:val="nil"/>
      </w:tblBorders>
      <w:tblLayout w:type="fixed"/>
      <w:tblLook w:val="0400" w:firstRow="0" w:lastRow="0" w:firstColumn="0" w:lastColumn="0" w:noHBand="0" w:noVBand="1"/>
    </w:tblPr>
    <w:tblGrid>
      <w:gridCol w:w="4244"/>
      <w:gridCol w:w="4244"/>
    </w:tblGrid>
    <w:tr w:rsidR="00404FD9" w14:paraId="0E2BDA85" w14:textId="77777777">
      <w:tc>
        <w:tcPr>
          <w:tcW w:w="4244" w:type="dxa"/>
        </w:tcPr>
        <w:p w14:paraId="0E2BDA83" w14:textId="77777777" w:rsidR="00404FD9" w:rsidRPr="008F3D7F" w:rsidRDefault="009646E5">
          <w:pPr>
            <w:pBdr>
              <w:top w:val="nil"/>
              <w:left w:val="nil"/>
              <w:bottom w:val="nil"/>
              <w:right w:val="nil"/>
              <w:between w:val="nil"/>
            </w:pBdr>
            <w:tabs>
              <w:tab w:val="center" w:pos="4419"/>
              <w:tab w:val="right" w:pos="8838"/>
            </w:tabs>
            <w:ind w:right="360"/>
            <w:rPr>
              <w:rFonts w:ascii="Calibri" w:eastAsia="Calibri" w:hAnsi="Calibri" w:cs="Calibri"/>
              <w:color w:val="000000"/>
              <w:sz w:val="24"/>
              <w:szCs w:val="24"/>
              <w:lang w:val="es-MX"/>
            </w:rPr>
          </w:pPr>
          <w:r w:rsidRPr="008F3D7F">
            <w:rPr>
              <w:rFonts w:ascii="Calibri" w:eastAsia="Calibri" w:hAnsi="Calibri" w:cs="Calibri"/>
              <w:color w:val="000000"/>
              <w:sz w:val="24"/>
              <w:szCs w:val="24"/>
              <w:u w:val="single"/>
              <w:lang w:val="es-MX"/>
            </w:rPr>
            <w:t>Tutors</w:t>
          </w:r>
          <w:r w:rsidRPr="008F3D7F">
            <w:rPr>
              <w:rFonts w:ascii="Calibri" w:eastAsia="Calibri" w:hAnsi="Calibri" w:cs="Calibri"/>
              <w:color w:val="000000"/>
              <w:sz w:val="24"/>
              <w:szCs w:val="24"/>
              <w:lang w:val="es-MX"/>
            </w:rPr>
            <w:t>: Matías Gómez Seeber, Matías Harari.</w:t>
          </w:r>
        </w:p>
      </w:tc>
      <w:tc>
        <w:tcPr>
          <w:tcW w:w="4244" w:type="dxa"/>
        </w:tcPr>
        <w:p w14:paraId="0E2BDA84" w14:textId="74F96988" w:rsidR="00404FD9" w:rsidRDefault="009646E5">
          <w:pPr>
            <w:pBdr>
              <w:top w:val="nil"/>
              <w:left w:val="nil"/>
              <w:bottom w:val="nil"/>
              <w:right w:val="nil"/>
              <w:between w:val="nil"/>
            </w:pBdr>
            <w:tabs>
              <w:tab w:val="center" w:pos="4419"/>
              <w:tab w:val="right" w:pos="8838"/>
            </w:tabs>
            <w:ind w:right="134"/>
            <w:jc w:val="right"/>
            <w:rPr>
              <w:rFonts w:ascii="Calibri" w:eastAsia="Calibri" w:hAnsi="Calibri" w:cs="Calibri"/>
              <w:color w:val="000000"/>
              <w:sz w:val="24"/>
              <w:szCs w:val="24"/>
            </w:rPr>
          </w:pPr>
          <w:r>
            <w:rPr>
              <w:rFonts w:ascii="Calibri" w:eastAsia="Calibri" w:hAnsi="Calibri" w:cs="Calibri"/>
              <w:color w:val="000000"/>
              <w:sz w:val="24"/>
              <w:szCs w:val="24"/>
            </w:rPr>
            <w:t xml:space="preserve">Page </w:t>
          </w:r>
          <w:r>
            <w:rPr>
              <w:color w:val="000000"/>
            </w:rPr>
            <w:fldChar w:fldCharType="begin"/>
          </w:r>
          <w:r>
            <w:rPr>
              <w:rFonts w:ascii="Calibri" w:eastAsia="Calibri" w:hAnsi="Calibri" w:cs="Calibri"/>
              <w:color w:val="000000"/>
              <w:sz w:val="24"/>
              <w:szCs w:val="24"/>
            </w:rPr>
            <w:instrText>PAGE</w:instrText>
          </w:r>
          <w:r>
            <w:rPr>
              <w:color w:val="000000"/>
            </w:rPr>
            <w:fldChar w:fldCharType="separate"/>
          </w:r>
          <w:r w:rsidR="008F3D7F">
            <w:rPr>
              <w:rFonts w:ascii="Calibri" w:eastAsia="Calibri" w:hAnsi="Calibri" w:cs="Calibri"/>
              <w:noProof/>
              <w:color w:val="000000"/>
              <w:sz w:val="24"/>
              <w:szCs w:val="24"/>
            </w:rPr>
            <w:t>1</w:t>
          </w:r>
          <w:r>
            <w:rPr>
              <w:color w:val="000000"/>
            </w:rPr>
            <w:fldChar w:fldCharType="end"/>
          </w:r>
          <w:r>
            <w:rPr>
              <w:rFonts w:ascii="Calibri" w:eastAsia="Calibri" w:hAnsi="Calibri" w:cs="Calibri"/>
              <w:color w:val="000000"/>
              <w:sz w:val="24"/>
              <w:szCs w:val="24"/>
            </w:rPr>
            <w:t xml:space="preserve"> </w:t>
          </w:r>
        </w:p>
      </w:tc>
    </w:tr>
  </w:tbl>
  <w:p w14:paraId="0E2BDA86" w14:textId="77777777" w:rsidR="00404FD9" w:rsidRDefault="00404FD9">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A4AD" w14:textId="77777777" w:rsidR="009646E5" w:rsidRDefault="009646E5">
      <w:r>
        <w:separator/>
      </w:r>
    </w:p>
  </w:footnote>
  <w:footnote w:type="continuationSeparator" w:id="0">
    <w:p w14:paraId="4901655E" w14:textId="77777777" w:rsidR="009646E5" w:rsidRDefault="009646E5">
      <w:r>
        <w:continuationSeparator/>
      </w:r>
    </w:p>
  </w:footnote>
  <w:footnote w:id="1">
    <w:p w14:paraId="0E2BDA89" w14:textId="77777777" w:rsidR="00404FD9" w:rsidRDefault="009646E5">
      <w:pPr>
        <w:pBdr>
          <w:top w:val="nil"/>
          <w:left w:val="nil"/>
          <w:bottom w:val="nil"/>
          <w:right w:val="nil"/>
          <w:between w:val="nil"/>
        </w:pBdr>
        <w:rPr>
          <w:rFonts w:ascii="Times New Roman" w:eastAsia="Times New Roman" w:hAnsi="Times New Roman" w:cs="Times New Roman"/>
          <w:color w:val="000000"/>
          <w:sz w:val="20"/>
          <w:szCs w:val="20"/>
        </w:rPr>
      </w:pPr>
      <w:r>
        <w:rPr>
          <w:rStyle w:val="Refdenotaalpie"/>
        </w:rPr>
        <w:footnoteRef/>
      </w:r>
      <w:r>
        <w:t xml:space="preserve"> </w:t>
      </w:r>
      <w:r>
        <w:rPr>
          <w:rFonts w:ascii="Times New Roman" w:eastAsia="Times New Roman" w:hAnsi="Times New Roman" w:cs="Times New Roman"/>
          <w:sz w:val="20"/>
          <w:szCs w:val="20"/>
        </w:rPr>
        <w:t xml:space="preserve">The databases were created from the databases available at </w:t>
      </w:r>
      <w:r>
        <w:rPr>
          <w:rFonts w:ascii="Times New Roman" w:eastAsia="Times New Roman" w:hAnsi="Times New Roman" w:cs="Times New Roman"/>
          <w:color w:val="000000"/>
          <w:sz w:val="20"/>
          <w:szCs w:val="20"/>
        </w:rPr>
        <w:t xml:space="preserve">Manzel K., J. Baten &amp; Y. Stolz. [2012] “Convergence and divergence of numeracy: the development of age heaping in Latin America from the seventeenth to the twentieth century” </w:t>
      </w:r>
      <w:r>
        <w:rPr>
          <w:rFonts w:ascii="Times New Roman" w:eastAsia="Times New Roman" w:hAnsi="Times New Roman" w:cs="Times New Roman"/>
          <w:i/>
          <w:color w:val="000000"/>
          <w:sz w:val="20"/>
          <w:szCs w:val="20"/>
        </w:rPr>
        <w:t>Economic History Review</w:t>
      </w:r>
      <w:r>
        <w:rPr>
          <w:rFonts w:ascii="Times New Roman" w:eastAsia="Times New Roman" w:hAnsi="Times New Roman" w:cs="Times New Roman"/>
          <w:color w:val="000000"/>
          <w:sz w:val="20"/>
          <w:szCs w:val="20"/>
        </w:rPr>
        <w:t xml:space="preserve">. 65-3, 932–960 </w:t>
      </w:r>
    </w:p>
  </w:footnote>
  <w:footnote w:id="2">
    <w:p w14:paraId="0E2BDA8A" w14:textId="77777777" w:rsidR="00404FD9" w:rsidRDefault="009646E5">
      <w:pPr>
        <w:pBdr>
          <w:top w:val="nil"/>
          <w:left w:val="nil"/>
          <w:bottom w:val="nil"/>
          <w:right w:val="nil"/>
          <w:between w:val="nil"/>
        </w:pBdr>
        <w:rPr>
          <w:color w:val="000000"/>
        </w:rPr>
      </w:pPr>
      <w:r>
        <w:rPr>
          <w:rStyle w:val="Refdenotaalpie"/>
        </w:rPr>
        <w:footnoteRef/>
      </w:r>
      <w:r>
        <w:rPr>
          <w:color w:val="000000"/>
        </w:rPr>
        <w:t xml:space="preserve"> </w:t>
      </w:r>
      <w:r>
        <w:rPr>
          <w:rFonts w:ascii="Times New Roman" w:eastAsia="Times New Roman" w:hAnsi="Times New Roman" w:cs="Times New Roman"/>
          <w:color w:val="000000"/>
          <w:sz w:val="20"/>
          <w:szCs w:val="20"/>
        </w:rPr>
        <w:t>Check the course’s syllabus on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DA7B" w14:textId="77777777" w:rsidR="00404FD9" w:rsidRDefault="00404FD9">
    <w:pPr>
      <w:widowControl w:val="0"/>
      <w:pBdr>
        <w:top w:val="nil"/>
        <w:left w:val="nil"/>
        <w:bottom w:val="nil"/>
        <w:right w:val="nil"/>
        <w:between w:val="nil"/>
      </w:pBdr>
      <w:spacing w:line="276" w:lineRule="auto"/>
      <w:rPr>
        <w:color w:val="000000"/>
      </w:rPr>
    </w:pPr>
  </w:p>
  <w:tbl>
    <w:tblPr>
      <w:tblStyle w:val="a1"/>
      <w:tblW w:w="8647"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5245"/>
      <w:gridCol w:w="3402"/>
    </w:tblGrid>
    <w:tr w:rsidR="00404FD9" w14:paraId="0E2BDA7E" w14:textId="77777777">
      <w:tc>
        <w:tcPr>
          <w:tcW w:w="5245" w:type="dxa"/>
          <w:vAlign w:val="center"/>
        </w:tcPr>
        <w:p w14:paraId="0E2BDA7C" w14:textId="77777777" w:rsidR="00404FD9" w:rsidRDefault="009646E5">
          <w:pPr>
            <w:pBdr>
              <w:top w:val="nil"/>
              <w:left w:val="nil"/>
              <w:bottom w:val="nil"/>
              <w:right w:val="nil"/>
              <w:between w:val="nil"/>
            </w:pBdr>
            <w:tabs>
              <w:tab w:val="center" w:pos="4419"/>
              <w:tab w:val="right" w:pos="8838"/>
            </w:tabs>
            <w:rPr>
              <w:rFonts w:ascii="Calibri" w:eastAsia="Calibri" w:hAnsi="Calibri" w:cs="Calibri"/>
              <w:color w:val="404040"/>
              <w:sz w:val="24"/>
              <w:szCs w:val="24"/>
            </w:rPr>
          </w:pPr>
          <w:r>
            <w:rPr>
              <w:rFonts w:ascii="Calibri" w:eastAsia="Calibri" w:hAnsi="Calibri" w:cs="Calibri"/>
              <w:color w:val="404040"/>
              <w:sz w:val="24"/>
              <w:szCs w:val="24"/>
            </w:rPr>
            <w:t>Economic History I – Autumn 2022 (Murphy)</w:t>
          </w:r>
        </w:p>
      </w:tc>
      <w:tc>
        <w:tcPr>
          <w:tcW w:w="3402" w:type="dxa"/>
          <w:vAlign w:val="center"/>
        </w:tcPr>
        <w:p w14:paraId="0E2BDA7D" w14:textId="77777777" w:rsidR="00404FD9" w:rsidRDefault="009646E5">
          <w:pPr>
            <w:pBdr>
              <w:top w:val="nil"/>
              <w:left w:val="nil"/>
              <w:bottom w:val="nil"/>
              <w:right w:val="nil"/>
              <w:between w:val="nil"/>
            </w:pBdr>
            <w:tabs>
              <w:tab w:val="center" w:pos="4419"/>
              <w:tab w:val="right" w:pos="8838"/>
            </w:tabs>
            <w:jc w:val="right"/>
            <w:rPr>
              <w:rFonts w:ascii="Century Schoolbook" w:eastAsia="Century Schoolbook" w:hAnsi="Century Schoolbook" w:cs="Century Schoolbook"/>
              <w:color w:val="404040"/>
              <w:sz w:val="24"/>
              <w:szCs w:val="24"/>
            </w:rPr>
          </w:pPr>
          <w:r>
            <w:rPr>
              <w:rFonts w:ascii="Helvetica Neue" w:eastAsia="Helvetica Neue" w:hAnsi="Helvetica Neue" w:cs="Helvetica Neue"/>
              <w:noProof/>
              <w:color w:val="000000"/>
            </w:rPr>
            <w:drawing>
              <wp:inline distT="0" distB="0" distL="0" distR="0" wp14:anchorId="0E2BDA87" wp14:editId="0E2BDA88">
                <wp:extent cx="1394536" cy="36423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 r="3589"/>
                        <a:stretch>
                          <a:fillRect/>
                        </a:stretch>
                      </pic:blipFill>
                      <pic:spPr>
                        <a:xfrm>
                          <a:off x="0" y="0"/>
                          <a:ext cx="1394536" cy="364235"/>
                        </a:xfrm>
                        <a:prstGeom prst="rect">
                          <a:avLst/>
                        </a:prstGeom>
                        <a:ln/>
                      </pic:spPr>
                    </pic:pic>
                  </a:graphicData>
                </a:graphic>
              </wp:inline>
            </w:drawing>
          </w:r>
        </w:p>
      </w:tc>
    </w:tr>
  </w:tbl>
  <w:p w14:paraId="0E2BDA7F" w14:textId="77777777" w:rsidR="00404FD9" w:rsidRDefault="00404FD9">
    <w:pPr>
      <w:pBdr>
        <w:top w:val="nil"/>
        <w:left w:val="nil"/>
        <w:bottom w:val="nil"/>
        <w:right w:val="nil"/>
        <w:between w:val="nil"/>
      </w:pBdr>
      <w:tabs>
        <w:tab w:val="center" w:pos="4419"/>
        <w:tab w:val="right" w:pos="8838"/>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9E1"/>
    <w:multiLevelType w:val="multilevel"/>
    <w:tmpl w:val="C7267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6372C7"/>
    <w:multiLevelType w:val="multilevel"/>
    <w:tmpl w:val="0CE874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46704441">
    <w:abstractNumId w:val="1"/>
  </w:num>
  <w:num w:numId="2" w16cid:durableId="77182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D9"/>
    <w:rsid w:val="0004455B"/>
    <w:rsid w:val="000A17E5"/>
    <w:rsid w:val="000C31C1"/>
    <w:rsid w:val="000D0322"/>
    <w:rsid w:val="000F7783"/>
    <w:rsid w:val="001630C4"/>
    <w:rsid w:val="001E77CF"/>
    <w:rsid w:val="002063FB"/>
    <w:rsid w:val="002450CD"/>
    <w:rsid w:val="002C5423"/>
    <w:rsid w:val="002E6F3B"/>
    <w:rsid w:val="002F55E5"/>
    <w:rsid w:val="00352F32"/>
    <w:rsid w:val="0036728D"/>
    <w:rsid w:val="003C30AB"/>
    <w:rsid w:val="003E4FA0"/>
    <w:rsid w:val="00404FD9"/>
    <w:rsid w:val="00435DC5"/>
    <w:rsid w:val="00457C30"/>
    <w:rsid w:val="00492F4E"/>
    <w:rsid w:val="004D1F70"/>
    <w:rsid w:val="00524355"/>
    <w:rsid w:val="00551E0F"/>
    <w:rsid w:val="0057177C"/>
    <w:rsid w:val="00593E5A"/>
    <w:rsid w:val="00600A9E"/>
    <w:rsid w:val="00665F5A"/>
    <w:rsid w:val="007B0952"/>
    <w:rsid w:val="007D4C51"/>
    <w:rsid w:val="007F754D"/>
    <w:rsid w:val="0082665D"/>
    <w:rsid w:val="00862C5D"/>
    <w:rsid w:val="008F14DF"/>
    <w:rsid w:val="008F3D7F"/>
    <w:rsid w:val="00905143"/>
    <w:rsid w:val="00930B67"/>
    <w:rsid w:val="009646E5"/>
    <w:rsid w:val="0096476D"/>
    <w:rsid w:val="00972D3F"/>
    <w:rsid w:val="009A2C9F"/>
    <w:rsid w:val="00A340FB"/>
    <w:rsid w:val="00B2070C"/>
    <w:rsid w:val="00B525C2"/>
    <w:rsid w:val="00B75AD4"/>
    <w:rsid w:val="00B90C5A"/>
    <w:rsid w:val="00BB0212"/>
    <w:rsid w:val="00C96410"/>
    <w:rsid w:val="00D17892"/>
    <w:rsid w:val="00D33CEE"/>
    <w:rsid w:val="00D360D4"/>
    <w:rsid w:val="00E00B29"/>
    <w:rsid w:val="00E572F5"/>
    <w:rsid w:val="00F05A1C"/>
    <w:rsid w:val="00F71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DA58"/>
  <w15:docId w15:val="{AAC8E2EC-8C93-43C7-AE2E-5AD06FBA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character" w:styleId="Hipervnculovisitado">
    <w:name w:val="FollowedHyperlink"/>
    <w:basedOn w:val="Fuentedeprrafopredeter"/>
    <w:uiPriority w:val="99"/>
    <w:semiHidden/>
    <w:unhideWhenUsed/>
    <w:rsid w:val="00EC012D"/>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rPr>
      <w:rFonts w:ascii="Times New Roman" w:eastAsia="Times New Roman" w:hAnsi="Times New Roman" w:cs="Times New Roman"/>
      <w:sz w:val="20"/>
      <w:szCs w:val="20"/>
    </w:rPr>
    <w:tblPr>
      <w:tblStyleRowBandSize w:val="1"/>
      <w:tblStyleColBandSize w:val="1"/>
    </w:tblPr>
  </w:style>
  <w:style w:type="table" w:customStyle="1" w:styleId="a0">
    <w:basedOn w:val="Tablanormal"/>
    <w:rPr>
      <w:rFonts w:ascii="Times New Roman" w:eastAsia="Times New Roman" w:hAnsi="Times New Roman" w:cs="Times New Roman"/>
      <w:sz w:val="20"/>
      <w:szCs w:val="20"/>
    </w:rPr>
    <w:tblPr>
      <w:tblStyleRowBandSize w:val="1"/>
      <w:tblStyleColBandSize w:val="1"/>
    </w:tblPr>
  </w:style>
  <w:style w:type="table" w:customStyle="1" w:styleId="a1">
    <w:basedOn w:val="Tablanormal"/>
    <w:rPr>
      <w:rFonts w:ascii="Times New Roman" w:eastAsia="Times New Roman" w:hAnsi="Times New Roman" w:cs="Times New Roman"/>
      <w:sz w:val="20"/>
      <w:szCs w:val="20"/>
    </w:rPr>
    <w:tblPr>
      <w:tblStyleRowBandSize w:val="1"/>
      <w:tblStyleColBandSize w:val="1"/>
    </w:tblPr>
  </w:style>
  <w:style w:type="table" w:customStyle="1" w:styleId="a2">
    <w:basedOn w:val="Tablanormal"/>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eaXeAXEzgjMJCqtpEyW/5UE/Q==">AMUW2mUDtIc86PRTyKYwPZMDKsdPGdwtpV5Sc8MR1u8fVrT1mTWRJ7NjBH8naLYH7o0pxPiT8TrvxMhpIuTUfE6VZmUmN7LtyDlKS3F+u3UlgXaFRFzH70NOg+7aIXltN1ll7ZGYtccQ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Vazquez</dc:creator>
  <cp:lastModifiedBy>Federico Lopez</cp:lastModifiedBy>
  <cp:revision>2</cp:revision>
  <dcterms:created xsi:type="dcterms:W3CDTF">2022-05-25T00:19:00Z</dcterms:created>
  <dcterms:modified xsi:type="dcterms:W3CDTF">2022-05-25T00:19:00Z</dcterms:modified>
</cp:coreProperties>
</file>