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E298" w14:textId="5D6C281C" w:rsidR="008648C0" w:rsidRDefault="008648C0" w:rsidP="008648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La tabla de abajo muestra los precios de Bonos </w:t>
      </w:r>
      <w:proofErr w:type="gramStart"/>
      <w:r>
        <w:rPr>
          <w:rFonts w:ascii="Times New Roman" w:hAnsi="Times New Roman" w:cs="Times New Roman"/>
          <w:sz w:val="24"/>
          <w:szCs w:val="24"/>
          <w:lang w:val="es-AR"/>
        </w:rPr>
        <w:t>cero cupón</w:t>
      </w:r>
      <w:proofErr w:type="gramEnd"/>
      <w:r>
        <w:rPr>
          <w:rFonts w:ascii="Times New Roman" w:hAnsi="Times New Roman" w:cs="Times New Roman"/>
          <w:sz w:val="24"/>
          <w:szCs w:val="24"/>
          <w:lang w:val="es-AR"/>
        </w:rPr>
        <w:t xml:space="preserve"> con diferentes fechas de vencimiento. Los precios corresponden al 1/6/2021.</w:t>
      </w:r>
    </w:p>
    <w:p w14:paraId="5430CBEA" w14:textId="77777777" w:rsid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6F0BC305" w14:textId="77777777" w:rsid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6721A0">
        <w:rPr>
          <w:noProof/>
        </w:rPr>
        <w:drawing>
          <wp:inline distT="0" distB="0" distL="0" distR="0" wp14:anchorId="142AC3A9" wp14:editId="47A0EBE2">
            <wp:extent cx="1733550" cy="1152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900D" w14:textId="77777777" w:rsid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54B418AA" w14:textId="77777777" w:rsidR="008648C0" w:rsidRDefault="008648C0" w:rsidP="008648C0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Se le solicita:</w:t>
      </w:r>
    </w:p>
    <w:p w14:paraId="1C2318B6" w14:textId="77777777" w:rsidR="008648C0" w:rsidRDefault="008648C0" w:rsidP="00864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Calcular las tasas “spot” efectivas semestrales que ofrecen los títulos cuyos precios figuran en la tabla.</w:t>
      </w:r>
    </w:p>
    <w:p w14:paraId="0977C7A0" w14:textId="77777777" w:rsidR="008648C0" w:rsidRDefault="008648C0" w:rsidP="00864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Calcular las tasas “forward” efectivas semestrales correspondientes a inversiones del 1/12/2021 al 1/6/2022, del 1/6/2022 al 1/12/2022, del 1/12/2022 al 1/6/2023, del 1/6/2023 al 1/12/2023 y, finalmente, del 1/12/2022 al 1/12/2023.</w:t>
      </w:r>
    </w:p>
    <w:p w14:paraId="5331FFDE" w14:textId="77777777" w:rsidR="008648C0" w:rsidRDefault="008648C0" w:rsidP="00864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Estimar el precio que tendría el 1/12/2022 el Bono cuyos datos figuran más abajo:</w:t>
      </w:r>
    </w:p>
    <w:p w14:paraId="4031D113" w14:textId="77777777" w:rsid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N = $100; T. C. = 5%; paga cupones los días primero de junio y primero de diciembre; vence el 1/12/2023.</w:t>
      </w:r>
    </w:p>
    <w:p w14:paraId="522E8F2E" w14:textId="77777777" w:rsidR="008648C0" w:rsidRDefault="008648C0" w:rsidP="00864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Calcular el Retorno Corriente, la TIR (TNA) y la TIR M (TNA) que obtendría quien comprara el Bono típico mencionado en el ítem c), suponiendo que el precio de mercado de dicho título sea hoy, 1/6/2021, $100,50, que se vendería el Bono el día 1/12/2022 y que se reinvertirían los flujos positivos a una TES del 3,5%. ¿Por qué la TIR (TNA) es menor, en este caso, que el Retorno Corriente?</w:t>
      </w:r>
    </w:p>
    <w:p w14:paraId="5F37CA46" w14:textId="77777777" w:rsid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7A57D537" w14:textId="77777777" w:rsidR="008648C0" w:rsidRDefault="008648C0" w:rsidP="00864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Calcular la “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>” y la “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Modified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>” del Bono cuyos datos aparecen en el ítem c), suponiendo que hoy 1/6/2021 tuviera un precio de mercado de $100,50.</w:t>
      </w:r>
      <w:r w:rsidR="001F13C6">
        <w:rPr>
          <w:rFonts w:ascii="Times New Roman" w:hAnsi="Times New Roman" w:cs="Times New Roman"/>
          <w:sz w:val="24"/>
          <w:szCs w:val="24"/>
          <w:lang w:val="es-AR"/>
        </w:rPr>
        <w:t xml:space="preserve"> El primer cupón a cobrar es el que vence el 1/12/2021.</w:t>
      </w:r>
    </w:p>
    <w:p w14:paraId="169B8D81" w14:textId="77777777" w:rsidR="008648C0" w:rsidRPr="008648C0" w:rsidRDefault="008648C0" w:rsidP="008648C0">
      <w:pPr>
        <w:pStyle w:val="ListParagraph"/>
        <w:rPr>
          <w:rFonts w:ascii="Times New Roman" w:hAnsi="Times New Roman" w:cs="Times New Roman"/>
          <w:sz w:val="24"/>
          <w:szCs w:val="24"/>
          <w:lang w:val="es-AR"/>
        </w:rPr>
      </w:pPr>
    </w:p>
    <w:p w14:paraId="68903E57" w14:textId="77777777" w:rsid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00B47D74" w14:textId="77777777" w:rsidR="008648C0" w:rsidRPr="008648C0" w:rsidRDefault="008648C0" w:rsidP="008648C0">
      <w:pPr>
        <w:pStyle w:val="ListParagraph"/>
        <w:rPr>
          <w:rFonts w:ascii="Times New Roman" w:hAnsi="Times New Roman" w:cs="Times New Roman"/>
          <w:sz w:val="24"/>
          <w:szCs w:val="24"/>
          <w:lang w:val="es-AR"/>
        </w:rPr>
      </w:pPr>
    </w:p>
    <w:p w14:paraId="273D898F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648C0">
        <w:rPr>
          <w:rFonts w:ascii="Times New Roman" w:hAnsi="Times New Roman" w:cs="Times New Roman"/>
          <w:sz w:val="24"/>
          <w:szCs w:val="24"/>
          <w:lang w:val="es-AR"/>
        </w:rPr>
        <w:t>2) Diga si las siguientes afirmaciones son verdaderas o falsas, justificando su afirmación:</w:t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</w:p>
    <w:p w14:paraId="7ED2F230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</w:p>
    <w:p w14:paraId="7DA20C77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648C0">
        <w:rPr>
          <w:rFonts w:ascii="Times New Roman" w:hAnsi="Times New Roman" w:cs="Times New Roman"/>
          <w:sz w:val="24"/>
          <w:szCs w:val="24"/>
          <w:lang w:val="es-AR"/>
        </w:rPr>
        <w:t>2.1) A menor Tasa del Cupón, todo lo demás constante, menos volátil es el precio de un Bono</w:t>
      </w:r>
    </w:p>
    <w:p w14:paraId="4CC51E8D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648C0">
        <w:rPr>
          <w:rFonts w:ascii="Times New Roman" w:hAnsi="Times New Roman" w:cs="Times New Roman"/>
          <w:sz w:val="24"/>
          <w:szCs w:val="24"/>
          <w:lang w:val="es-AR"/>
        </w:rPr>
        <w:t>2.2) A menor TIR, todo lo demás constante, más volátil es el precio de un Bono</w:t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ab/>
      </w:r>
    </w:p>
    <w:p w14:paraId="4131E1A9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648C0">
        <w:rPr>
          <w:rFonts w:ascii="Times New Roman" w:hAnsi="Times New Roman" w:cs="Times New Roman"/>
          <w:sz w:val="24"/>
          <w:szCs w:val="24"/>
          <w:lang w:val="es-AR"/>
        </w:rPr>
        <w:t xml:space="preserve">2.3) La </w:t>
      </w:r>
      <w:r>
        <w:rPr>
          <w:rFonts w:ascii="Times New Roman" w:hAnsi="Times New Roman" w:cs="Times New Roman"/>
          <w:sz w:val="24"/>
          <w:szCs w:val="24"/>
          <w:lang w:val="es-AR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AR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  <w:lang w:val="es-AR"/>
        </w:rPr>
        <w:t xml:space="preserve">” </w:t>
      </w:r>
      <w:r w:rsidRPr="008648C0">
        <w:rPr>
          <w:rFonts w:ascii="Times New Roman" w:hAnsi="Times New Roman" w:cs="Times New Roman"/>
          <w:sz w:val="24"/>
          <w:szCs w:val="24"/>
          <w:lang w:val="es-AR"/>
        </w:rPr>
        <w:t>de un Bono es siempre menor al número de períodos hasta su vencimiento</w:t>
      </w:r>
    </w:p>
    <w:p w14:paraId="31AAF373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648C0">
        <w:rPr>
          <w:rFonts w:ascii="Times New Roman" w:hAnsi="Times New Roman" w:cs="Times New Roman"/>
          <w:sz w:val="24"/>
          <w:szCs w:val="24"/>
          <w:lang w:val="es-AR"/>
        </w:rPr>
        <w:t>2.4) Si la TIR Nominal Anual de un Bono típico supera a su Tasa del Cupón Nominal Anual, el proyecto de comprar ese título tiene VAN positivo.</w:t>
      </w:r>
    </w:p>
    <w:p w14:paraId="064A6191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8648C0">
        <w:rPr>
          <w:rFonts w:ascii="Times New Roman" w:hAnsi="Times New Roman" w:cs="Times New Roman"/>
          <w:sz w:val="24"/>
          <w:szCs w:val="24"/>
          <w:lang w:val="es-AR"/>
        </w:rPr>
        <w:lastRenderedPageBreak/>
        <w:t>2.5) Si la Tasa del Cupón Nominal Anual de un Bono típico supera al costo de oportunidad del capital Nominal Anual, el proyecto de comprar ese título tiene un VAN positivo.</w:t>
      </w:r>
    </w:p>
    <w:p w14:paraId="6E8DA288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4AA137B6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25E32825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1687E3EB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763F64FE" w14:textId="77777777" w:rsidR="008648C0" w:rsidRP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79124E12" w14:textId="77777777" w:rsidR="008648C0" w:rsidRDefault="008648C0" w:rsidP="008648C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sectPr w:rsidR="00864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93E"/>
    <w:multiLevelType w:val="hybridMultilevel"/>
    <w:tmpl w:val="7B002A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0789E"/>
    <w:multiLevelType w:val="hybridMultilevel"/>
    <w:tmpl w:val="945AACAE"/>
    <w:lvl w:ilvl="0" w:tplc="D23833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0468669">
    <w:abstractNumId w:val="0"/>
  </w:num>
  <w:num w:numId="2" w16cid:durableId="128785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C0"/>
    <w:rsid w:val="001F13C6"/>
    <w:rsid w:val="00304C36"/>
    <w:rsid w:val="0049063B"/>
    <w:rsid w:val="008648C0"/>
    <w:rsid w:val="00F7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5DD5"/>
  <w15:chartTrackingRefBased/>
  <w15:docId w15:val="{3BA3BA77-63A1-4E22-A8BB-BBAF47AA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Univ.de San Andrés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Univ.de San Andrés</dc:creator>
  <cp:keywords/>
  <dc:description/>
  <cp:lastModifiedBy>Federico Lopez</cp:lastModifiedBy>
  <cp:revision>4</cp:revision>
  <dcterms:created xsi:type="dcterms:W3CDTF">2022-05-24T03:12:00Z</dcterms:created>
  <dcterms:modified xsi:type="dcterms:W3CDTF">2022-11-03T15:46:00Z</dcterms:modified>
</cp:coreProperties>
</file>