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06AA" w:rsidRPr="00CE2699" w:rsidRDefault="00971297" w:rsidP="007858D7">
      <w:pPr>
        <w:pStyle w:val="Ttulo"/>
        <w:rPr>
          <w:color w:val="072B62" w:themeColor="background2" w:themeShade="40"/>
          <w:sz w:val="36"/>
        </w:rPr>
      </w:pPr>
      <w:proofErr w:type="spellStart"/>
      <w:r>
        <w:rPr>
          <w:color w:val="072B62" w:themeColor="background2" w:themeShade="40"/>
          <w:sz w:val="36"/>
        </w:rPr>
        <w:t>Perférico</w:t>
      </w:r>
      <w:proofErr w:type="spellEnd"/>
      <w:r w:rsidR="007858D7" w:rsidRPr="00CE2699">
        <w:rPr>
          <w:color w:val="072B62" w:themeColor="background2" w:themeShade="40"/>
          <w:sz w:val="36"/>
        </w:rPr>
        <w:t xml:space="preserve"> SSP</w:t>
      </w:r>
    </w:p>
    <w:p w:rsidR="007858D7" w:rsidRDefault="007858D7" w:rsidP="00AD414E">
      <w:pPr>
        <w:ind w:firstLine="142"/>
        <w:jc w:val="both"/>
      </w:pPr>
      <w:r>
        <w:t xml:space="preserve">Para la comunicación SPI con el módulo transceptor nRF24l01 se necesitó hacer uso del </w:t>
      </w:r>
      <w:r w:rsidR="00971297">
        <w:t>periférico</w:t>
      </w:r>
      <w:r>
        <w:t xml:space="preserve"> SSP1 del LPC1769. Si bien el microcontrolador cuenta con un módulo llamado SPI dedicado exclusivamente a la comunicación con ese protocolo, no fue posible implementarlo con el Kit </w:t>
      </w:r>
      <w:proofErr w:type="spellStart"/>
      <w:r>
        <w:t>Infotronic</w:t>
      </w:r>
      <w:proofErr w:type="spellEnd"/>
      <w:r>
        <w:t xml:space="preserve"> ya que los pines de salida requeridos estaban siendo usados por otro módulo (en este caso por la UART1 para la comunicación asincrónica), entonces se optó por usar el módulo SSP</w:t>
      </w:r>
      <w:r>
        <w:rPr>
          <w:rStyle w:val="Refdenotaalpie"/>
        </w:rPr>
        <w:footnoteReference w:id="1"/>
      </w:r>
      <w:r>
        <w:t xml:space="preserve"> que se describe a continuación. </w:t>
      </w:r>
    </w:p>
    <w:p w:rsidR="007858D7" w:rsidRDefault="007858D7" w:rsidP="00AD414E">
      <w:pPr>
        <w:ind w:firstLine="142"/>
        <w:jc w:val="both"/>
      </w:pPr>
      <w:r>
        <w:t xml:space="preserve">El </w:t>
      </w:r>
      <w:r w:rsidR="00D225E0">
        <w:t>periférico</w:t>
      </w:r>
      <w:r>
        <w:t xml:space="preserve"> SSP (</w:t>
      </w:r>
      <w:proofErr w:type="spellStart"/>
      <w:r w:rsidR="00F60052" w:rsidRPr="00F60052">
        <w:rPr>
          <w:i/>
        </w:rPr>
        <w:t>Synchronous</w:t>
      </w:r>
      <w:proofErr w:type="spellEnd"/>
      <w:r w:rsidR="00F60052" w:rsidRPr="00F60052">
        <w:rPr>
          <w:i/>
        </w:rPr>
        <w:t xml:space="preserve"> Serial Port</w:t>
      </w:r>
      <w:r>
        <w:t xml:space="preserve">) </w:t>
      </w:r>
      <w:r w:rsidR="00F60052">
        <w:t>es un controlador capaz de operar comunicaciones en distintos protocolos, entre los que se encuentra el SPI.</w:t>
      </w:r>
      <w:r w:rsidR="00F60052">
        <w:rPr>
          <w:rStyle w:val="Refdenotaalpie"/>
        </w:rPr>
        <w:footnoteReference w:id="2"/>
      </w:r>
    </w:p>
    <w:p w:rsidR="00CE2699" w:rsidRDefault="00CE2699" w:rsidP="00AD414E">
      <w:pPr>
        <w:ind w:firstLine="142"/>
        <w:jc w:val="both"/>
      </w:pPr>
      <w:r>
        <w:t>Las características más relevantes de este periférico son:</w:t>
      </w:r>
    </w:p>
    <w:p w:rsidR="00CE2699" w:rsidRPr="00CE2699" w:rsidRDefault="00CE2699" w:rsidP="00CE2699">
      <w:pPr>
        <w:pStyle w:val="Prrafodelista"/>
        <w:numPr>
          <w:ilvl w:val="0"/>
          <w:numId w:val="1"/>
        </w:numPr>
        <w:jc w:val="both"/>
      </w:pPr>
      <w:r w:rsidRPr="00CE2699">
        <w:t xml:space="preserve">Modo Master, Slave o </w:t>
      </w:r>
      <w:proofErr w:type="spellStart"/>
      <w:r w:rsidRPr="00CE2699">
        <w:t>Loop</w:t>
      </w:r>
      <w:proofErr w:type="spellEnd"/>
      <w:r w:rsidRPr="00CE2699">
        <w:t xml:space="preserve"> Back, con pines dedicados (MISO, MOSI, SSEL </w:t>
      </w:r>
      <w:r>
        <w:t>y</w:t>
      </w:r>
      <w:r w:rsidRPr="00CE2699">
        <w:t xml:space="preserve"> SCK).</w:t>
      </w:r>
    </w:p>
    <w:p w:rsidR="00CE2699" w:rsidRDefault="00CE2699" w:rsidP="00CE2699">
      <w:pPr>
        <w:pStyle w:val="Prrafodelista"/>
        <w:numPr>
          <w:ilvl w:val="0"/>
          <w:numId w:val="1"/>
        </w:numPr>
        <w:jc w:val="both"/>
      </w:pPr>
      <w:r w:rsidRPr="00CE2699">
        <w:t>Tramas de datos de 4 a 16 bits</w:t>
      </w:r>
      <w:r>
        <w:t>.</w:t>
      </w:r>
    </w:p>
    <w:p w:rsidR="00CE2699" w:rsidRPr="00CE2699" w:rsidRDefault="00CE2699" w:rsidP="00CE2699">
      <w:pPr>
        <w:pStyle w:val="Prrafodelista"/>
        <w:numPr>
          <w:ilvl w:val="0"/>
          <w:numId w:val="1"/>
        </w:numPr>
        <w:jc w:val="both"/>
      </w:pPr>
      <w:r>
        <w:t>4 Fuentes de interrupción.</w:t>
      </w:r>
    </w:p>
    <w:p w:rsidR="00CE2699" w:rsidRPr="00CE2699" w:rsidRDefault="00CE2699" w:rsidP="00CE2699">
      <w:pPr>
        <w:pStyle w:val="Prrafodelista"/>
        <w:numPr>
          <w:ilvl w:val="0"/>
          <w:numId w:val="1"/>
        </w:numPr>
        <w:jc w:val="both"/>
      </w:pPr>
      <w:r>
        <w:t>Soporte para DMA.</w:t>
      </w:r>
    </w:p>
    <w:p w:rsidR="00CE2699" w:rsidRDefault="00CE2699" w:rsidP="00CE2699">
      <w:pPr>
        <w:pStyle w:val="Prrafodelista"/>
        <w:numPr>
          <w:ilvl w:val="0"/>
          <w:numId w:val="1"/>
        </w:numPr>
        <w:jc w:val="both"/>
      </w:pPr>
      <w:proofErr w:type="spellStart"/>
      <w:r>
        <w:t>FIFOs</w:t>
      </w:r>
      <w:proofErr w:type="spellEnd"/>
      <w:r>
        <w:t xml:space="preserve"> de transmisión y de recepción con capacidad de 8 tramas.</w:t>
      </w:r>
    </w:p>
    <w:p w:rsidR="00CE2699" w:rsidRDefault="00CE2699" w:rsidP="00CE2699">
      <w:pPr>
        <w:pStyle w:val="Ttulo1"/>
        <w:spacing w:after="360"/>
        <w:rPr>
          <w:color w:val="072B62" w:themeColor="background2" w:themeShade="40"/>
        </w:rPr>
      </w:pPr>
      <w:r w:rsidRPr="00CE2699">
        <w:rPr>
          <w:color w:val="072B62" w:themeColor="background2" w:themeShade="40"/>
        </w:rPr>
        <w:t>Registros</w:t>
      </w:r>
    </w:p>
    <w:p w:rsidR="00CE2699" w:rsidRDefault="00CE2699" w:rsidP="00CE2699">
      <w:pPr>
        <w:ind w:firstLine="142"/>
      </w:pPr>
      <w:r>
        <w:t>A continuación se presentan los registros configurables para los periféricos SSP0 y SSP1:</w:t>
      </w:r>
    </w:p>
    <w:p w:rsidR="00CE2699" w:rsidRPr="00E96A8C" w:rsidRDefault="00CE2699" w:rsidP="00CF0837">
      <w:pPr>
        <w:pStyle w:val="Prrafodelista"/>
        <w:numPr>
          <w:ilvl w:val="0"/>
          <w:numId w:val="1"/>
        </w:numPr>
      </w:pPr>
      <w:r w:rsidRPr="00CF0837">
        <w:rPr>
          <w:b/>
        </w:rPr>
        <w:t>CR0</w:t>
      </w:r>
      <w:r w:rsidR="00E96A8C" w:rsidRPr="00E96A8C">
        <w:t xml:space="preserve"> - Control </w:t>
      </w:r>
      <w:proofErr w:type="spellStart"/>
      <w:r w:rsidR="00E96A8C" w:rsidRPr="00E96A8C">
        <w:t>Register</w:t>
      </w:r>
      <w:proofErr w:type="spellEnd"/>
      <w:r w:rsidR="00E96A8C" w:rsidRPr="00E96A8C">
        <w:t xml:space="preserve"> 0</w:t>
      </w:r>
    </w:p>
    <w:p w:rsidR="00E96A8C" w:rsidRPr="00E96A8C" w:rsidRDefault="00E96A8C" w:rsidP="00E96A8C">
      <w:pPr>
        <w:spacing w:after="360"/>
        <w:ind w:left="425"/>
      </w:pPr>
      <w:r w:rsidRPr="00E96A8C">
        <w:t xml:space="preserve">Permite </w:t>
      </w:r>
      <w:r>
        <w:t>configurar el tipo de trama</w:t>
      </w:r>
      <w:r w:rsidR="00CF0837">
        <w:t xml:space="preserve"> (SPI), la </w:t>
      </w:r>
      <w:r w:rsidR="00B77528">
        <w:t>velocidad</w:t>
      </w:r>
      <w:r w:rsidR="00CF0837">
        <w:t xml:space="preserve"> de</w:t>
      </w:r>
      <w:r w:rsidR="00B77528">
        <w:t>l</w:t>
      </w:r>
      <w:r w:rsidR="00CF0837">
        <w:t xml:space="preserve"> </w:t>
      </w:r>
      <w:proofErr w:type="spellStart"/>
      <w:r w:rsidR="00CF0837">
        <w:t>clock</w:t>
      </w:r>
      <w:proofErr w:type="spellEnd"/>
      <w:r w:rsidRPr="00E96A8C">
        <w:t xml:space="preserve">, </w:t>
      </w:r>
      <w:r>
        <w:t xml:space="preserve">el tamaño de la trama y los bits de configuración del </w:t>
      </w:r>
      <w:proofErr w:type="spellStart"/>
      <w:r>
        <w:t>clock</w:t>
      </w:r>
      <w:proofErr w:type="spellEnd"/>
      <w:r>
        <w:t xml:space="preserve"> CPOL y CPHA.</w:t>
      </w:r>
    </w:p>
    <w:p w:rsidR="00CE2699" w:rsidRPr="00E96A8C" w:rsidRDefault="00E96A8C" w:rsidP="00CF0837">
      <w:pPr>
        <w:pStyle w:val="Prrafodelista"/>
        <w:numPr>
          <w:ilvl w:val="0"/>
          <w:numId w:val="1"/>
        </w:numPr>
      </w:pPr>
      <w:r w:rsidRPr="00CF0837">
        <w:rPr>
          <w:b/>
        </w:rPr>
        <w:t>CR1</w:t>
      </w:r>
      <w:r>
        <w:t xml:space="preserve"> - </w:t>
      </w:r>
      <w:r w:rsidRPr="00E96A8C">
        <w:t xml:space="preserve">Control </w:t>
      </w:r>
      <w:proofErr w:type="spellStart"/>
      <w:r w:rsidRPr="00E96A8C">
        <w:t>Register</w:t>
      </w:r>
      <w:proofErr w:type="spellEnd"/>
      <w:r w:rsidRPr="00E96A8C">
        <w:t xml:space="preserve"> </w:t>
      </w:r>
      <w:r>
        <w:t>1</w:t>
      </w:r>
    </w:p>
    <w:p w:rsidR="00E96A8C" w:rsidRPr="00E96A8C" w:rsidRDefault="00E96A8C" w:rsidP="00CF0837">
      <w:pPr>
        <w:spacing w:after="360"/>
        <w:ind w:left="425"/>
      </w:pPr>
      <w:r w:rsidRPr="00E96A8C">
        <w:t>Selecciona los modos de operaci</w:t>
      </w:r>
      <w:r>
        <w:t>ón y permite habilitar o deshabilitar el periférico.</w:t>
      </w:r>
    </w:p>
    <w:p w:rsidR="00E96A8C" w:rsidRPr="00CF0837" w:rsidRDefault="00E96A8C" w:rsidP="00CF0837">
      <w:pPr>
        <w:pStyle w:val="Prrafodelista"/>
        <w:numPr>
          <w:ilvl w:val="0"/>
          <w:numId w:val="1"/>
        </w:numPr>
        <w:rPr>
          <w:lang w:val="en-US"/>
        </w:rPr>
      </w:pPr>
      <w:r w:rsidRPr="00CF0837">
        <w:rPr>
          <w:b/>
          <w:lang w:val="en-US"/>
        </w:rPr>
        <w:t>DR</w:t>
      </w:r>
      <w:r w:rsidRPr="00CF0837">
        <w:rPr>
          <w:lang w:val="en-US"/>
        </w:rPr>
        <w:t xml:space="preserve"> – Data Register </w:t>
      </w:r>
    </w:p>
    <w:p w:rsidR="00E96A8C" w:rsidRPr="00E96A8C" w:rsidRDefault="00E96A8C" w:rsidP="00E96A8C">
      <w:pPr>
        <w:ind w:left="426"/>
      </w:pPr>
      <w:r w:rsidRPr="00E96A8C">
        <w:t>Registro que actúa de intermedia</w:t>
      </w:r>
      <w:r>
        <w:t>ri</w:t>
      </w:r>
      <w:r w:rsidRPr="00E96A8C">
        <w:t xml:space="preserve">o entre </w:t>
      </w:r>
      <w:r>
        <w:t xml:space="preserve">los </w:t>
      </w:r>
      <w:proofErr w:type="spellStart"/>
      <w:r>
        <w:t>FIFOs</w:t>
      </w:r>
      <w:proofErr w:type="spellEnd"/>
      <w:r>
        <w:t xml:space="preserve"> de entrada y salida. Los datos a enviar o recibir se escriben o se leen de este registro. </w:t>
      </w:r>
    </w:p>
    <w:p w:rsidR="00E96A8C" w:rsidRPr="00E96A8C" w:rsidRDefault="00E96A8C" w:rsidP="00E96A8C">
      <w:pPr>
        <w:ind w:left="426"/>
      </w:pPr>
    </w:p>
    <w:p w:rsidR="00E96A8C" w:rsidRPr="00E96A8C" w:rsidRDefault="00E96A8C" w:rsidP="00CF0837">
      <w:pPr>
        <w:pStyle w:val="Prrafodelista"/>
        <w:numPr>
          <w:ilvl w:val="0"/>
          <w:numId w:val="1"/>
        </w:numPr>
      </w:pPr>
      <w:r w:rsidRPr="00CF0837">
        <w:rPr>
          <w:b/>
        </w:rPr>
        <w:t>SR</w:t>
      </w:r>
      <w:r w:rsidRPr="00E96A8C">
        <w:t xml:space="preserve"> – Status </w:t>
      </w:r>
      <w:proofErr w:type="spellStart"/>
      <w:r w:rsidRPr="00E96A8C">
        <w:t>Register</w:t>
      </w:r>
      <w:proofErr w:type="spellEnd"/>
    </w:p>
    <w:p w:rsidR="00E96A8C" w:rsidRPr="00E96A8C" w:rsidRDefault="00E96A8C" w:rsidP="00CF0837">
      <w:pPr>
        <w:spacing w:after="360"/>
        <w:ind w:left="425"/>
      </w:pPr>
      <w:r w:rsidRPr="00E96A8C">
        <w:t xml:space="preserve">Contiene </w:t>
      </w:r>
      <w:proofErr w:type="spellStart"/>
      <w:r w:rsidRPr="00E96A8C">
        <w:t>fla</w:t>
      </w:r>
      <w:r>
        <w:t>gs</w:t>
      </w:r>
      <w:proofErr w:type="spellEnd"/>
      <w:r>
        <w:t xml:space="preserve"> que informan sobre el estado actual del módulo</w:t>
      </w:r>
    </w:p>
    <w:p w:rsidR="00E96A8C" w:rsidRPr="00CF0837" w:rsidRDefault="00E96A8C" w:rsidP="00CF0837">
      <w:pPr>
        <w:pStyle w:val="Prrafodelista"/>
        <w:numPr>
          <w:ilvl w:val="0"/>
          <w:numId w:val="1"/>
        </w:numPr>
        <w:rPr>
          <w:lang w:val="en-US"/>
        </w:rPr>
      </w:pPr>
      <w:r w:rsidRPr="00CF0837">
        <w:rPr>
          <w:b/>
          <w:lang w:val="en-US"/>
        </w:rPr>
        <w:t>CPSR</w:t>
      </w:r>
      <w:r w:rsidRPr="00CF0837">
        <w:rPr>
          <w:lang w:val="en-US"/>
        </w:rPr>
        <w:t xml:space="preserve"> – Clock </w:t>
      </w:r>
      <w:proofErr w:type="spellStart"/>
      <w:r w:rsidRPr="00CF0837">
        <w:rPr>
          <w:lang w:val="en-US"/>
        </w:rPr>
        <w:t>Prescale</w:t>
      </w:r>
      <w:proofErr w:type="spellEnd"/>
      <w:r w:rsidRPr="00CF0837">
        <w:rPr>
          <w:lang w:val="en-US"/>
        </w:rPr>
        <w:t xml:space="preserve"> Register</w:t>
      </w:r>
    </w:p>
    <w:p w:rsidR="00CF0837" w:rsidRPr="00CF0837" w:rsidRDefault="00CF0837" w:rsidP="00CF0837">
      <w:pPr>
        <w:spacing w:after="360"/>
        <w:ind w:left="425"/>
      </w:pPr>
      <w:r w:rsidRPr="00CF0837">
        <w:t>Divisor para configurar la tasa de bits por segundo.</w:t>
      </w:r>
    </w:p>
    <w:p w:rsidR="00E96A8C" w:rsidRPr="00CF0837" w:rsidRDefault="00E96A8C" w:rsidP="00CF0837">
      <w:pPr>
        <w:pStyle w:val="Prrafodelista"/>
        <w:numPr>
          <w:ilvl w:val="0"/>
          <w:numId w:val="1"/>
        </w:numPr>
        <w:rPr>
          <w:lang w:val="en-US"/>
        </w:rPr>
      </w:pPr>
      <w:r w:rsidRPr="00CF0837">
        <w:rPr>
          <w:b/>
          <w:lang w:val="en-US"/>
        </w:rPr>
        <w:t>IMSC</w:t>
      </w:r>
      <w:r w:rsidR="00CF0837" w:rsidRPr="00CF0837">
        <w:rPr>
          <w:lang w:val="en-US"/>
        </w:rPr>
        <w:t xml:space="preserve"> – Interrupt Mask Set/Clear Register</w:t>
      </w:r>
    </w:p>
    <w:p w:rsidR="00CF0837" w:rsidRPr="00CF0837" w:rsidRDefault="00CF0837" w:rsidP="00CF0837">
      <w:pPr>
        <w:spacing w:after="360"/>
        <w:ind w:left="425"/>
      </w:pPr>
      <w:r w:rsidRPr="00CF0837">
        <w:t>Registro que permite habilitar las posibles causas de interrupci</w:t>
      </w:r>
      <w:r>
        <w:t>ón</w:t>
      </w:r>
    </w:p>
    <w:p w:rsidR="00E96A8C" w:rsidRDefault="00E96A8C" w:rsidP="00353BED">
      <w:pPr>
        <w:pStyle w:val="Prrafodelista"/>
        <w:numPr>
          <w:ilvl w:val="0"/>
          <w:numId w:val="1"/>
        </w:numPr>
        <w:ind w:left="499" w:hanging="357"/>
        <w:contextualSpacing w:val="0"/>
        <w:rPr>
          <w:lang w:val="en-US"/>
        </w:rPr>
      </w:pPr>
      <w:r w:rsidRPr="00353BED">
        <w:rPr>
          <w:b/>
          <w:lang w:val="en-US"/>
        </w:rPr>
        <w:t>RIS</w:t>
      </w:r>
      <w:r w:rsidR="00CF0837">
        <w:rPr>
          <w:lang w:val="en-US"/>
        </w:rPr>
        <w:t xml:space="preserve"> – Raw Interrupt Status Register</w:t>
      </w:r>
    </w:p>
    <w:p w:rsidR="00CF0837" w:rsidRPr="00CF0837" w:rsidRDefault="00CF0837" w:rsidP="00353BED">
      <w:pPr>
        <w:pStyle w:val="Prrafodelista"/>
        <w:spacing w:after="360"/>
        <w:ind w:left="505"/>
        <w:contextualSpacing w:val="0"/>
        <w:jc w:val="both"/>
      </w:pPr>
      <w:r w:rsidRPr="00CF0837">
        <w:t xml:space="preserve">Registro de </w:t>
      </w:r>
      <w:r>
        <w:t>só</w:t>
      </w:r>
      <w:r w:rsidRPr="00CF0837">
        <w:t xml:space="preserve">lo lectura que permite visualizar </w:t>
      </w:r>
      <w:r>
        <w:t xml:space="preserve">en el momento de la interrupción </w:t>
      </w:r>
      <w:r w:rsidR="00353BED">
        <w:t>cuáles fueron las causas posibles (estén o no habilitadas la interrupciones para esos eventos).</w:t>
      </w:r>
    </w:p>
    <w:p w:rsidR="00E96A8C" w:rsidRPr="00353BED" w:rsidRDefault="00E96A8C" w:rsidP="00353BED">
      <w:pPr>
        <w:pStyle w:val="Prrafodelista"/>
        <w:numPr>
          <w:ilvl w:val="0"/>
          <w:numId w:val="1"/>
        </w:numPr>
        <w:ind w:left="499" w:hanging="357"/>
        <w:contextualSpacing w:val="0"/>
        <w:rPr>
          <w:b/>
          <w:lang w:val="en-US"/>
        </w:rPr>
      </w:pPr>
      <w:r w:rsidRPr="00353BED">
        <w:rPr>
          <w:b/>
          <w:lang w:val="en-US"/>
        </w:rPr>
        <w:t>MIS</w:t>
      </w:r>
    </w:p>
    <w:p w:rsidR="00353BED" w:rsidRPr="00353BED" w:rsidRDefault="00353BED" w:rsidP="00353BED">
      <w:pPr>
        <w:pStyle w:val="Prrafodelista"/>
        <w:spacing w:after="360"/>
        <w:ind w:left="502"/>
        <w:contextualSpacing w:val="0"/>
        <w:jc w:val="both"/>
      </w:pPr>
      <w:r w:rsidRPr="00CF0837">
        <w:t xml:space="preserve">Registro de </w:t>
      </w:r>
      <w:r>
        <w:t>só</w:t>
      </w:r>
      <w:r w:rsidRPr="00CF0837">
        <w:t xml:space="preserve">lo lectura que permite visualizar </w:t>
      </w:r>
      <w:r>
        <w:t>en el momento de la interrupción cuáles fueron las causas posibles (habiendo sido habilitadas).</w:t>
      </w:r>
    </w:p>
    <w:p w:rsidR="00E96A8C" w:rsidRPr="00353BED" w:rsidRDefault="00E96A8C" w:rsidP="00353BED">
      <w:pPr>
        <w:pStyle w:val="Prrafodelista"/>
        <w:numPr>
          <w:ilvl w:val="0"/>
          <w:numId w:val="1"/>
        </w:numPr>
        <w:ind w:left="499" w:hanging="357"/>
        <w:contextualSpacing w:val="0"/>
        <w:rPr>
          <w:b/>
          <w:lang w:val="en-US"/>
        </w:rPr>
      </w:pPr>
      <w:r w:rsidRPr="00353BED">
        <w:rPr>
          <w:b/>
          <w:lang w:val="en-US"/>
        </w:rPr>
        <w:t>ICR</w:t>
      </w:r>
    </w:p>
    <w:p w:rsidR="00353BED" w:rsidRPr="00353BED" w:rsidRDefault="00353BED" w:rsidP="00353BED">
      <w:pPr>
        <w:pStyle w:val="Prrafodelista"/>
        <w:spacing w:after="360"/>
        <w:ind w:left="505"/>
        <w:contextualSpacing w:val="0"/>
      </w:pPr>
      <w:r w:rsidRPr="00CF0837">
        <w:t xml:space="preserve">Registro </w:t>
      </w:r>
      <w:r>
        <w:t xml:space="preserve">que permite borrar los </w:t>
      </w:r>
      <w:proofErr w:type="spellStart"/>
      <w:r>
        <w:t>flags</w:t>
      </w:r>
      <w:proofErr w:type="spellEnd"/>
      <w:r>
        <w:t xml:space="preserve"> correspondientes a la interrupción. </w:t>
      </w:r>
    </w:p>
    <w:p w:rsidR="00E96A8C" w:rsidRPr="00353BED" w:rsidRDefault="00E96A8C" w:rsidP="00353BED">
      <w:pPr>
        <w:pStyle w:val="Prrafodelista"/>
        <w:numPr>
          <w:ilvl w:val="0"/>
          <w:numId w:val="1"/>
        </w:numPr>
        <w:ind w:left="499" w:hanging="357"/>
        <w:contextualSpacing w:val="0"/>
        <w:rPr>
          <w:b/>
          <w:lang w:val="en-US"/>
        </w:rPr>
      </w:pPr>
      <w:r w:rsidRPr="00353BED">
        <w:rPr>
          <w:b/>
          <w:lang w:val="en-US"/>
        </w:rPr>
        <w:t>DMACR</w:t>
      </w:r>
    </w:p>
    <w:p w:rsidR="00353BED" w:rsidRPr="00353BED" w:rsidRDefault="00353BED" w:rsidP="00353BED">
      <w:pPr>
        <w:pStyle w:val="Prrafodelista"/>
        <w:ind w:left="502"/>
      </w:pPr>
      <w:r w:rsidRPr="00353BED">
        <w:t>Registro para configuración de acceso directo a memoria</w:t>
      </w:r>
      <w:r>
        <w:t>.</w:t>
      </w:r>
    </w:p>
    <w:p w:rsidR="00CE2699" w:rsidRPr="00353BED" w:rsidRDefault="00CE2699" w:rsidP="00CE2699">
      <w:pPr>
        <w:ind w:left="142"/>
        <w:jc w:val="both"/>
      </w:pPr>
    </w:p>
    <w:p w:rsidR="007246A1" w:rsidRDefault="00971297" w:rsidP="00971297">
      <w:pPr>
        <w:ind w:firstLine="142"/>
        <w:jc w:val="both"/>
      </w:pPr>
      <w:r>
        <w:t xml:space="preserve">Para esta aplicación no se hará uso de la característica de DMA y se trabajará con una trama de 8 bits de datos. La estrategia de programación para el envío y la recepción es muy similar a la implementada </w:t>
      </w:r>
      <w:r w:rsidR="00E15149">
        <w:t xml:space="preserve">por la cátedra </w:t>
      </w:r>
      <w:r>
        <w:t>en la comunicaci</w:t>
      </w:r>
      <w:r w:rsidR="00804049">
        <w:t>ón asincrónica usada con la UART</w:t>
      </w:r>
      <w:r>
        <w:t xml:space="preserve"> a través de primitivas y drivers que operan sobre búferes de entrada y de salida. Se usarán interrupciones por lo que también se desarrollar</w:t>
      </w:r>
      <w:r w:rsidR="00804049">
        <w:t>á</w:t>
      </w:r>
      <w:r>
        <w:t xml:space="preserve"> la rutina correspondiente que las atienda. </w:t>
      </w:r>
    </w:p>
    <w:p w:rsidR="007246A1" w:rsidRDefault="007246A1" w:rsidP="007246A1">
      <w:r>
        <w:br w:type="page"/>
      </w:r>
    </w:p>
    <w:p w:rsidR="007858D7" w:rsidRDefault="007246A1" w:rsidP="007246A1">
      <w:pPr>
        <w:pStyle w:val="Ttulo1"/>
        <w:spacing w:after="360"/>
        <w:rPr>
          <w:color w:val="072B62" w:themeColor="background2" w:themeShade="40"/>
        </w:rPr>
      </w:pPr>
      <w:r>
        <w:rPr>
          <w:color w:val="072B62" w:themeColor="background2" w:themeShade="40"/>
        </w:rPr>
        <w:lastRenderedPageBreak/>
        <w:t>Funciones</w:t>
      </w:r>
    </w:p>
    <w:p w:rsidR="007246A1" w:rsidRDefault="007246A1" w:rsidP="007246A1">
      <w:pPr>
        <w:rPr>
          <w:b/>
        </w:rPr>
      </w:pPr>
      <w:r w:rsidRPr="007246A1">
        <w:rPr>
          <w:b/>
        </w:rPr>
        <w:t>Inicialización</w:t>
      </w:r>
    </w:p>
    <w:p w:rsidR="007246A1" w:rsidRDefault="007246A1" w:rsidP="007246A1"/>
    <w:p w:rsidR="007858D7" w:rsidRPr="0060427E" w:rsidRDefault="007246A1" w:rsidP="007246A1">
      <w:pPr>
        <w:rPr>
          <w:b/>
          <w:sz w:val="24"/>
        </w:rPr>
      </w:pPr>
      <w:r w:rsidRPr="0060427E">
        <w:rPr>
          <w:b/>
          <w:sz w:val="24"/>
        </w:rPr>
        <w:t>Transmisión</w:t>
      </w:r>
    </w:p>
    <w:p w:rsidR="007246A1" w:rsidRDefault="007246A1" w:rsidP="00E15149">
      <w:pPr>
        <w:jc w:val="both"/>
        <w:rPr>
          <w:rFonts w:ascii="Segoe UI Semilight" w:hAnsi="Segoe UI Semilight" w:cs="Segoe UI Semilight"/>
          <w:i/>
        </w:rPr>
      </w:pPr>
      <w:r>
        <w:t xml:space="preserve">La transmisión usando este periférico involucra dos funciones: </w:t>
      </w:r>
      <w:r w:rsidRPr="007246A1">
        <w:rPr>
          <w:rFonts w:ascii="Segoe UI Semilight" w:hAnsi="Segoe UI Semilight" w:cs="Segoe UI Semilight"/>
          <w:i/>
        </w:rPr>
        <w:t xml:space="preserve">uint8_t </w:t>
      </w:r>
      <w:proofErr w:type="spellStart"/>
      <w:r w:rsidRPr="007246A1">
        <w:rPr>
          <w:rFonts w:ascii="Segoe UI Semilight" w:hAnsi="Segoe UI Semilight" w:cs="Segoe UI Semilight"/>
          <w:i/>
        </w:rPr>
        <w:t>WriteTx</w:t>
      </w:r>
      <w:proofErr w:type="spellEnd"/>
      <w:r w:rsidRPr="007246A1">
        <w:rPr>
          <w:rFonts w:ascii="Segoe UI Semilight" w:hAnsi="Segoe UI Semilight" w:cs="Segoe UI Semilight"/>
          <w:i/>
        </w:rPr>
        <w:t xml:space="preserve"> (uint8_t dato)</w:t>
      </w:r>
      <w:r w:rsidRPr="007246A1">
        <w:rPr>
          <w:rFonts w:ascii="Segoe UI Semilight" w:hAnsi="Segoe UI Semilight" w:cs="Segoe UI Semilight"/>
        </w:rPr>
        <w:t xml:space="preserve"> </w:t>
      </w:r>
      <w:r w:rsidRPr="007246A1">
        <w:t>y</w:t>
      </w:r>
      <w:r>
        <w:t xml:space="preserve"> </w:t>
      </w:r>
      <w:proofErr w:type="spellStart"/>
      <w:r w:rsidRPr="007246A1">
        <w:rPr>
          <w:rFonts w:ascii="Segoe UI Semilight" w:hAnsi="Segoe UI Semilight" w:cs="Segoe UI Semilight"/>
          <w:i/>
        </w:rPr>
        <w:t>void</w:t>
      </w:r>
      <w:proofErr w:type="spellEnd"/>
      <w:r w:rsidRPr="007246A1">
        <w:rPr>
          <w:rFonts w:ascii="Consolas" w:hAnsi="Consolas" w:cs="Consolas"/>
          <w:i/>
        </w:rPr>
        <w:t xml:space="preserve"> </w:t>
      </w:r>
      <w:r w:rsidRPr="007246A1">
        <w:rPr>
          <w:rFonts w:ascii="Segoe UI Semilight" w:hAnsi="Segoe UI Semilight" w:cs="Segoe UI Semilight"/>
          <w:i/>
        </w:rPr>
        <w:t>Start_Transmission (</w:t>
      </w:r>
      <w:proofErr w:type="spellStart"/>
      <w:r w:rsidRPr="007246A1">
        <w:rPr>
          <w:rFonts w:ascii="Segoe UI Semilight" w:hAnsi="Segoe UI Semilight" w:cs="Segoe UI Semilight"/>
          <w:i/>
        </w:rPr>
        <w:t>void</w:t>
      </w:r>
      <w:proofErr w:type="spellEnd"/>
      <w:r w:rsidRPr="007246A1">
        <w:rPr>
          <w:rFonts w:ascii="Segoe UI Semilight" w:hAnsi="Segoe UI Semilight" w:cs="Segoe UI Semilight"/>
          <w:i/>
        </w:rPr>
        <w:t>)</w:t>
      </w:r>
    </w:p>
    <w:p w:rsidR="0060427E" w:rsidRPr="0060427E" w:rsidRDefault="0060427E" w:rsidP="00E15149">
      <w:pPr>
        <w:jc w:val="both"/>
        <w:rPr>
          <w:b/>
        </w:rPr>
      </w:pPr>
      <w:r w:rsidRPr="0060427E">
        <w:rPr>
          <w:b/>
        </w:rPr>
        <w:t>Resumen</w:t>
      </w:r>
    </w:p>
    <w:p w:rsidR="007246A1" w:rsidRDefault="007246A1" w:rsidP="00E15149">
      <w:pPr>
        <w:jc w:val="both"/>
      </w:pPr>
      <w:r>
        <w:t xml:space="preserve">La primera función, </w:t>
      </w:r>
      <w:proofErr w:type="spellStart"/>
      <w:r w:rsidRPr="00E15149">
        <w:rPr>
          <w:rFonts w:ascii="Segoe UI Semilight" w:hAnsi="Segoe UI Semilight" w:cs="Segoe UI Semilight"/>
          <w:i/>
        </w:rPr>
        <w:t>WriteTx</w:t>
      </w:r>
      <w:proofErr w:type="spellEnd"/>
      <w:r>
        <w:rPr>
          <w:i/>
        </w:rPr>
        <w:t xml:space="preserve"> </w:t>
      </w:r>
      <w:r>
        <w:t xml:space="preserve">es una función primitiva. Se encarga de </w:t>
      </w:r>
      <w:r w:rsidR="00E15149">
        <w:t xml:space="preserve">recoger los datos de la aplicación y escribirlos en un buffer de transmisión global </w:t>
      </w:r>
      <w:r w:rsidR="00E15149">
        <w:rPr>
          <w:rFonts w:ascii="Segoe UI Semilight" w:hAnsi="Segoe UI Semilight" w:cs="Segoe UI Semilight"/>
          <w:i/>
        </w:rPr>
        <w:t xml:space="preserve">Buff_Tx_SSP1 </w:t>
      </w:r>
      <w:r w:rsidR="00E15149" w:rsidRPr="00E15149">
        <w:t xml:space="preserve">de tipo circular, </w:t>
      </w:r>
      <w:r w:rsidR="00E15149">
        <w:t>el</w:t>
      </w:r>
      <w:r w:rsidR="00E15149" w:rsidRPr="00E15149">
        <w:t xml:space="preserve"> cual escribe usando un índice (puntero)</w:t>
      </w:r>
      <w:r w:rsidR="00E15149">
        <w:rPr>
          <w:rFonts w:ascii="Segoe UI Semilight" w:hAnsi="Segoe UI Semilight" w:cs="Segoe UI Semilight"/>
          <w:i/>
        </w:rPr>
        <w:t xml:space="preserve"> </w:t>
      </w:r>
      <w:r w:rsidR="00E15149" w:rsidRPr="00E15149">
        <w:rPr>
          <w:rFonts w:ascii="Segoe UI Semilight" w:hAnsi="Segoe UI Semilight" w:cs="Segoe UI Semilight"/>
          <w:i/>
        </w:rPr>
        <w:t>SSP1_TxIn_Idx</w:t>
      </w:r>
      <w:r w:rsidR="00E15149">
        <w:rPr>
          <w:rFonts w:ascii="Segoe UI Semilight" w:hAnsi="Segoe UI Semilight" w:cs="Segoe UI Semilight"/>
          <w:i/>
        </w:rPr>
        <w:t xml:space="preserve">. </w:t>
      </w:r>
      <w:r w:rsidR="00E15149">
        <w:t xml:space="preserve">Esta función controla la circularidad del buffer a través del correcto manejo del puntero y además se encarga de habilitar la transmisión, invocando a </w:t>
      </w:r>
      <w:r w:rsidR="00E15149" w:rsidRPr="007246A1">
        <w:rPr>
          <w:rFonts w:ascii="Segoe UI Semilight" w:hAnsi="Segoe UI Semilight" w:cs="Segoe UI Semilight"/>
          <w:i/>
        </w:rPr>
        <w:t xml:space="preserve">Start_Transmission </w:t>
      </w:r>
      <w:r w:rsidR="00E15149">
        <w:rPr>
          <w:rFonts w:ascii="Segoe UI Semilight" w:hAnsi="Segoe UI Semilight" w:cs="Segoe UI Semilight"/>
          <w:i/>
        </w:rPr>
        <w:t xml:space="preserve"> </w:t>
      </w:r>
      <w:r w:rsidR="00E15149">
        <w:t xml:space="preserve">sólo cuando es necesario. Los parámetros que devuelve permiten </w:t>
      </w:r>
      <w:r w:rsidR="0060427E">
        <w:t>dar información a la aplicación sobre el estado del buffer y de la transmisión.</w:t>
      </w:r>
    </w:p>
    <w:p w:rsidR="0060427E" w:rsidRDefault="0060427E" w:rsidP="00E15149">
      <w:pPr>
        <w:jc w:val="both"/>
      </w:pPr>
      <w:r w:rsidRPr="007246A1">
        <w:rPr>
          <w:rFonts w:ascii="Segoe UI Semilight" w:hAnsi="Segoe UI Semilight" w:cs="Segoe UI Semilight"/>
          <w:i/>
        </w:rPr>
        <w:t>Start_Transmission</w:t>
      </w:r>
      <w:r>
        <w:rPr>
          <w:rFonts w:ascii="Segoe UI Semilight" w:hAnsi="Segoe UI Semilight" w:cs="Segoe UI Semilight"/>
          <w:i/>
        </w:rPr>
        <w:t xml:space="preserve"> </w:t>
      </w:r>
      <w:r>
        <w:t xml:space="preserve">se clasifica como función de tipo driver, ya que trabaja directamente con los registros asociados al periférico. Simplemente se encarga de leer el buffer de transmisión, al cual accede con su propio puntero, </w:t>
      </w:r>
      <w:r w:rsidRPr="0060427E">
        <w:rPr>
          <w:rFonts w:ascii="Segoe UI Semilight" w:hAnsi="Segoe UI Semilight" w:cs="Segoe UI Semilight"/>
          <w:i/>
        </w:rPr>
        <w:t>SSP1_TxOut_Idx</w:t>
      </w:r>
      <w:r>
        <w:t>, incrementándolo cada vez que lee un dato. El dato es pasado al registro SR del periférico, donde será transmitido automáticamente si no hay algún dato anterior en el registro FIFO de transmisión. La función implementa pequeñas demoras que son inherentes al funcionamiento del SSP.</w:t>
      </w:r>
    </w:p>
    <w:p w:rsidR="0060427E" w:rsidRDefault="00680031" w:rsidP="00E15149">
      <w:pPr>
        <w:jc w:val="both"/>
        <w:rPr>
          <w:b/>
        </w:rPr>
      </w:pPr>
      <w:r w:rsidRPr="00680031">
        <w:rPr>
          <w:b/>
        </w:rPr>
        <w:t>Funcionamiento y secuencia de envío</w:t>
      </w:r>
    </w:p>
    <w:p w:rsidR="00680031" w:rsidRDefault="00571E0D" w:rsidP="00E15149">
      <w:pPr>
        <w:jc w:val="both"/>
      </w:pPr>
      <w:r>
        <w:t xml:space="preserve">Primero la aplicación llama a </w:t>
      </w:r>
      <w:proofErr w:type="spellStart"/>
      <w:r w:rsidRPr="00E15149">
        <w:rPr>
          <w:rFonts w:ascii="Segoe UI Semilight" w:hAnsi="Segoe UI Semilight" w:cs="Segoe UI Semilight"/>
          <w:i/>
        </w:rPr>
        <w:t>WriteTx</w:t>
      </w:r>
      <w:proofErr w:type="spellEnd"/>
      <w:r>
        <w:t xml:space="preserve"> pudiendo o no guardar el valor de retorno. </w:t>
      </w:r>
      <w:proofErr w:type="spellStart"/>
      <w:r w:rsidRPr="00E15149">
        <w:rPr>
          <w:rFonts w:ascii="Segoe UI Semilight" w:hAnsi="Segoe UI Semilight" w:cs="Segoe UI Semilight"/>
          <w:i/>
        </w:rPr>
        <w:t>WriteTx</w:t>
      </w:r>
      <w:proofErr w:type="spellEnd"/>
      <w:r>
        <w:rPr>
          <w:rFonts w:ascii="Segoe UI Semilight" w:hAnsi="Segoe UI Semilight" w:cs="Segoe UI Semilight"/>
          <w:i/>
        </w:rPr>
        <w:t xml:space="preserve"> </w:t>
      </w:r>
      <w:r>
        <w:t xml:space="preserve">entonces verifica a través un </w:t>
      </w:r>
      <w:proofErr w:type="spellStart"/>
      <w:r>
        <w:t>flag</w:t>
      </w:r>
      <w:proofErr w:type="spellEnd"/>
      <w:r>
        <w:t xml:space="preserve"> (</w:t>
      </w:r>
      <w:proofErr w:type="spellStart"/>
      <w:r w:rsidRPr="00571E0D">
        <w:rPr>
          <w:rFonts w:ascii="Segoe UI Semilight" w:hAnsi="Segoe UI Semilight" w:cs="Segoe UI Semilight"/>
          <w:i/>
        </w:rPr>
        <w:t>tx_buffer_full</w:t>
      </w:r>
      <w:proofErr w:type="spellEnd"/>
      <w:r>
        <w:t xml:space="preserve">) si está habilitada para escribir el buffer, y en caso afirmativo guarda el dato en él e incrementa el puntero </w:t>
      </w:r>
      <w:r w:rsidRPr="00E15149">
        <w:rPr>
          <w:rFonts w:ascii="Segoe UI Semilight" w:hAnsi="Segoe UI Semilight" w:cs="Segoe UI Semilight"/>
          <w:i/>
        </w:rPr>
        <w:t>SSP1_TxIn_Idx</w:t>
      </w:r>
      <w:r>
        <w:t xml:space="preserve">. Si el buffer se encuentra lleno, el </w:t>
      </w:r>
      <w:proofErr w:type="spellStart"/>
      <w:r>
        <w:t>flag</w:t>
      </w:r>
      <w:proofErr w:type="spellEnd"/>
      <w:r>
        <w:t xml:space="preserve"> estará activo y la función devolverá “FULL”. </w:t>
      </w:r>
    </w:p>
    <w:p w:rsidR="005F6F82" w:rsidRDefault="00571E0D" w:rsidP="00E15149">
      <w:pPr>
        <w:jc w:val="both"/>
      </w:pPr>
      <w:r>
        <w:t xml:space="preserve">En la primera vez que se invoca a la función, es decir, cuando se escribe el primer dato a enviar, se llama a </w:t>
      </w:r>
      <w:r>
        <w:rPr>
          <w:rFonts w:ascii="Segoe UI Semilight" w:hAnsi="Segoe UI Semilight" w:cs="Segoe UI Semilight"/>
          <w:i/>
        </w:rPr>
        <w:t>Start_T</w:t>
      </w:r>
      <w:r w:rsidRPr="007246A1">
        <w:rPr>
          <w:rFonts w:ascii="Segoe UI Semilight" w:hAnsi="Segoe UI Semilight" w:cs="Segoe UI Semilight"/>
          <w:i/>
        </w:rPr>
        <w:t>ransmission</w:t>
      </w:r>
      <w:r w:rsidR="006D2BD4">
        <w:t xml:space="preserve"> y así se enviará automáticamente. Cabe aclarar lo siguiente: Al configurar las interrupciones, este módulo no tiene la capacidad de interrumpir por cada dato (byte) recibido, </w:t>
      </w:r>
      <w:r w:rsidR="006D2BD4" w:rsidRPr="006D2BD4">
        <w:rPr>
          <w:u w:val="single"/>
        </w:rPr>
        <w:t xml:space="preserve">sino que lo hará únicamente cuando su FIFO de recepción se encuentre </w:t>
      </w:r>
      <w:r w:rsidR="006D2BD4" w:rsidRPr="006D2BD4">
        <w:rPr>
          <w:i/>
          <w:u w:val="single"/>
        </w:rPr>
        <w:t>al menos medio lleno</w:t>
      </w:r>
      <w:r w:rsidR="006D2BD4">
        <w:t>, tal como lo indica el manual (bit RXIM del registro IMSC activado). Al ser un FIFO de 8 datos, eso quiere decir que la</w:t>
      </w:r>
      <w:r w:rsidR="005F3759">
        <w:t xml:space="preserve"> primera</w:t>
      </w:r>
      <w:r w:rsidR="006D2BD4">
        <w:t xml:space="preserve"> interrupción por recepción únicamente ocurrirá una vez hayan llegado al menos 4 datos. La función primitiva tiene en cuenta esto y devolverá “WARNING” cada vez que se </w:t>
      </w:r>
      <w:r w:rsidR="006D2BD4">
        <w:lastRenderedPageBreak/>
        <w:t>hayan enviado datos pero posiblemente su interrupción correspondiente</w:t>
      </w:r>
      <w:r w:rsidR="006D2BD4">
        <w:rPr>
          <w:rStyle w:val="Refdenotaalpie"/>
        </w:rPr>
        <w:footnoteReference w:id="3"/>
      </w:r>
      <w:r w:rsidR="006D2BD4">
        <w:t xml:space="preserve"> no suceda</w:t>
      </w:r>
      <w:r w:rsidR="005F3759">
        <w:t xml:space="preserve"> (por ejemplo, se hayan enviado menos de 4 datos)</w:t>
      </w:r>
      <w:r w:rsidR="005F6F82">
        <w:t>. Bajo este criterio, la función devolverá “OK” al haber escrito el cuarto dato y volverá a contar desde cero</w:t>
      </w:r>
      <w:r w:rsidR="006D2BD4">
        <w:t>.</w:t>
      </w:r>
      <w:r w:rsidR="005F3759">
        <w:t xml:space="preserve"> </w:t>
      </w:r>
    </w:p>
    <w:p w:rsidR="005F3759" w:rsidRDefault="005F3759" w:rsidP="00E15149">
      <w:pPr>
        <w:jc w:val="both"/>
      </w:pPr>
      <w:r>
        <w:t xml:space="preserve">A la hora de enviar el segundo dato y posteriores (en posteriores llamadas  a </w:t>
      </w:r>
      <w:proofErr w:type="spellStart"/>
      <w:r w:rsidRPr="00E15149">
        <w:rPr>
          <w:rFonts w:ascii="Segoe UI Semilight" w:hAnsi="Segoe UI Semilight" w:cs="Segoe UI Semilight"/>
          <w:i/>
        </w:rPr>
        <w:t>WriteTx</w:t>
      </w:r>
      <w:proofErr w:type="spellEnd"/>
      <w:r>
        <w:t xml:space="preserve">) ya no se invoca a </w:t>
      </w:r>
      <w:r>
        <w:rPr>
          <w:rFonts w:ascii="Segoe UI Semilight" w:hAnsi="Segoe UI Semilight" w:cs="Segoe UI Semilight"/>
          <w:i/>
        </w:rPr>
        <w:t>Start_T</w:t>
      </w:r>
      <w:r w:rsidRPr="007246A1">
        <w:rPr>
          <w:rFonts w:ascii="Segoe UI Semilight" w:hAnsi="Segoe UI Semilight" w:cs="Segoe UI Semilight"/>
          <w:i/>
        </w:rPr>
        <w:t>ransmission</w:t>
      </w:r>
      <w:r>
        <w:rPr>
          <w:rFonts w:ascii="Segoe UI Semilight" w:hAnsi="Segoe UI Semilight" w:cs="Segoe UI Semilight"/>
          <w:i/>
        </w:rPr>
        <w:t xml:space="preserve"> </w:t>
      </w:r>
      <w:r>
        <w:t>sino que se habilitan l</w:t>
      </w:r>
      <w:bookmarkStart w:id="0" w:name="_GoBack"/>
      <w:bookmarkEnd w:id="0"/>
      <w:r>
        <w:t xml:space="preserve">as </w:t>
      </w:r>
      <w:r w:rsidRPr="005F3759">
        <w:rPr>
          <w:u w:val="single"/>
        </w:rPr>
        <w:t>interrupciones por transmisión</w:t>
      </w:r>
      <w:r>
        <w:t xml:space="preserve">. </w:t>
      </w:r>
    </w:p>
    <w:p w:rsidR="00571E0D" w:rsidRDefault="005F3759" w:rsidP="00E15149">
      <w:pPr>
        <w:jc w:val="both"/>
      </w:pPr>
      <w:r>
        <w:t xml:space="preserve">El periférico puede interrumpir cuando </w:t>
      </w:r>
      <w:r w:rsidRPr="005F3759">
        <w:rPr>
          <w:u w:val="single"/>
        </w:rPr>
        <w:t xml:space="preserve">el FIFO de </w:t>
      </w:r>
      <w:r>
        <w:rPr>
          <w:u w:val="single"/>
        </w:rPr>
        <w:t xml:space="preserve">transmisión se encuentra </w:t>
      </w:r>
      <w:r>
        <w:rPr>
          <w:i/>
          <w:u w:val="single"/>
        </w:rPr>
        <w:t>por lo menos medio vacío</w:t>
      </w:r>
      <w:r>
        <w:t xml:space="preserve"> (bit T</w:t>
      </w:r>
      <w:r w:rsidRPr="005F3759">
        <w:t>XIM del registro IMSC activado</w:t>
      </w:r>
      <w:r>
        <w:t>). Lo que sucede con este modo es que se generan demasiadas interrupciones innecesarias (dada la velocidad del módulo) ya que esa condición se cumple casi todo el tiempo. Entonces se optó por poder controlar cuándo será habilitada esa condición de interrupción.</w:t>
      </w:r>
    </w:p>
    <w:p w:rsidR="005F3759" w:rsidRPr="005F3759" w:rsidRDefault="005F3759" w:rsidP="00E15149">
      <w:pPr>
        <w:jc w:val="both"/>
      </w:pPr>
      <w:r>
        <w:t>Cuando s</w:t>
      </w:r>
      <w:r w:rsidR="00CF7613">
        <w:t>e escribe el nuevo dato</w:t>
      </w:r>
      <w:r>
        <w:t xml:space="preserve"> se habilita la interrupción por transmisión </w:t>
      </w:r>
      <w:r w:rsidR="00CF7613">
        <w:t xml:space="preserve">y pasado un pequeño lapso, ésta se presenta, ejecutándose la función correspondiente que la atiende, </w:t>
      </w:r>
      <w:r w:rsidR="00CF7613" w:rsidRPr="00CF7613">
        <w:rPr>
          <w:rFonts w:ascii="Segoe UI Semilight" w:hAnsi="Segoe UI Semilight" w:cs="Segoe UI Semilight"/>
          <w:i/>
        </w:rPr>
        <w:t>SSP1_</w:t>
      </w:r>
      <w:proofErr w:type="gramStart"/>
      <w:r w:rsidR="00CF7613" w:rsidRPr="00CF7613">
        <w:rPr>
          <w:rFonts w:ascii="Segoe UI Semilight" w:hAnsi="Segoe UI Semilight" w:cs="Segoe UI Semilight"/>
          <w:i/>
        </w:rPr>
        <w:t>IRQHandler</w:t>
      </w:r>
      <w:r w:rsidR="00CF7613" w:rsidRPr="00CF7613">
        <w:rPr>
          <w:rFonts w:ascii="Segoe UI Semilight" w:hAnsi="Segoe UI Semilight" w:cs="Segoe UI Semilight"/>
          <w:i/>
        </w:rPr>
        <w:t>(</w:t>
      </w:r>
      <w:proofErr w:type="gramEnd"/>
      <w:r w:rsidR="00CF7613" w:rsidRPr="00CF7613">
        <w:rPr>
          <w:rFonts w:ascii="Segoe UI Semilight" w:hAnsi="Segoe UI Semilight" w:cs="Segoe UI Semilight"/>
          <w:i/>
        </w:rPr>
        <w:t>)</w:t>
      </w:r>
      <w:r w:rsidR="00CF7613">
        <w:rPr>
          <w:rFonts w:ascii="Segoe UI Semilight" w:hAnsi="Segoe UI Semilight" w:cs="Segoe UI Semilight"/>
          <w:i/>
        </w:rPr>
        <w:t>.</w:t>
      </w:r>
      <w:r w:rsidR="00CF7613">
        <w:t xml:space="preserve"> Esta función, entre otras cosas, se encarga de verificar a través de </w:t>
      </w:r>
      <w:proofErr w:type="gramStart"/>
      <w:r w:rsidR="00CF7613" w:rsidRPr="00CF7613">
        <w:rPr>
          <w:rFonts w:ascii="Segoe UI Semilight" w:hAnsi="Segoe UI Semilight" w:cs="Segoe UI Semilight"/>
          <w:i/>
        </w:rPr>
        <w:t>SendSSP1</w:t>
      </w:r>
      <w:r w:rsidR="00CF7613">
        <w:rPr>
          <w:rFonts w:ascii="Segoe UI Semilight" w:hAnsi="Segoe UI Semilight" w:cs="Segoe UI Semilight"/>
          <w:i/>
        </w:rPr>
        <w:t>(</w:t>
      </w:r>
      <w:proofErr w:type="gramEnd"/>
      <w:r w:rsidR="00CF7613">
        <w:rPr>
          <w:rFonts w:ascii="Segoe UI Semilight" w:hAnsi="Segoe UI Semilight" w:cs="Segoe UI Semilight"/>
          <w:i/>
        </w:rPr>
        <w:t xml:space="preserve">) </w:t>
      </w:r>
      <w:r w:rsidR="00CF7613">
        <w:t>(que no es más que una encapsulación de la función</w:t>
      </w:r>
      <w:r w:rsidR="00CD40BD">
        <w:t xml:space="preserve"> </w:t>
      </w:r>
      <w:r w:rsidR="00CD40BD">
        <w:rPr>
          <w:rFonts w:ascii="Segoe UI Semilight" w:hAnsi="Segoe UI Semilight" w:cs="Segoe UI Semilight"/>
          <w:i/>
        </w:rPr>
        <w:t>Start_T</w:t>
      </w:r>
      <w:r w:rsidR="00CD40BD" w:rsidRPr="007246A1">
        <w:rPr>
          <w:rFonts w:ascii="Segoe UI Semilight" w:hAnsi="Segoe UI Semilight" w:cs="Segoe UI Semilight"/>
          <w:i/>
        </w:rPr>
        <w:t>ransmission</w:t>
      </w:r>
      <w:r w:rsidR="00CF7613">
        <w:t xml:space="preserve"> con otros agregados) si dispone datos nuevos en el buffer para enviar</w:t>
      </w:r>
      <w:r w:rsidR="00CD40BD">
        <w:t xml:space="preserve">. Una vez enviados, deshabilita la interrupción por transmisión, a la espera de que </w:t>
      </w:r>
      <w:proofErr w:type="spellStart"/>
      <w:r w:rsidR="00CD40BD" w:rsidRPr="00E15149">
        <w:rPr>
          <w:rFonts w:ascii="Segoe UI Semilight" w:hAnsi="Segoe UI Semilight" w:cs="Segoe UI Semilight"/>
          <w:i/>
        </w:rPr>
        <w:t>WriteTx</w:t>
      </w:r>
      <w:proofErr w:type="spellEnd"/>
      <w:r w:rsidR="00CD40BD">
        <w:rPr>
          <w:rFonts w:ascii="Segoe UI Semilight" w:hAnsi="Segoe UI Semilight" w:cs="Segoe UI Semilight"/>
          <w:i/>
        </w:rPr>
        <w:t xml:space="preserve"> </w:t>
      </w:r>
      <w:r w:rsidR="00CD40BD">
        <w:t>sea quien la vuelva a habilitar, si es que se escriben otros datos para que sean enviados.</w:t>
      </w:r>
    </w:p>
    <w:p w:rsidR="00680031" w:rsidRPr="0060427E" w:rsidRDefault="00680031" w:rsidP="00E15149">
      <w:pPr>
        <w:jc w:val="both"/>
        <w:rPr>
          <w:rFonts w:ascii="Segoe UI Semilight" w:hAnsi="Segoe UI Semilight" w:cs="Segoe UI Semilight"/>
          <w:i/>
        </w:rPr>
      </w:pPr>
    </w:p>
    <w:sectPr w:rsidR="00680031" w:rsidRPr="0060427E" w:rsidSect="00AD414E">
      <w:pgSz w:w="11906" w:h="16838"/>
      <w:pgMar w:top="1417" w:right="1701" w:bottom="1417" w:left="156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4597" w:rsidRDefault="00624597" w:rsidP="007858D7">
      <w:pPr>
        <w:spacing w:after="0" w:line="240" w:lineRule="auto"/>
      </w:pPr>
      <w:r>
        <w:separator/>
      </w:r>
    </w:p>
  </w:endnote>
  <w:endnote w:type="continuationSeparator" w:id="0">
    <w:p w:rsidR="00624597" w:rsidRDefault="00624597" w:rsidP="007858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Segoe UI Semilight">
    <w:panose1 w:val="020B04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4597" w:rsidRDefault="00624597" w:rsidP="007858D7">
      <w:pPr>
        <w:spacing w:after="0" w:line="240" w:lineRule="auto"/>
      </w:pPr>
      <w:r>
        <w:separator/>
      </w:r>
    </w:p>
  </w:footnote>
  <w:footnote w:type="continuationSeparator" w:id="0">
    <w:p w:rsidR="00624597" w:rsidRDefault="00624597" w:rsidP="007858D7">
      <w:pPr>
        <w:spacing w:after="0" w:line="240" w:lineRule="auto"/>
      </w:pPr>
      <w:r>
        <w:continuationSeparator/>
      </w:r>
    </w:p>
  </w:footnote>
  <w:footnote w:id="1">
    <w:p w:rsidR="007858D7" w:rsidRDefault="007858D7">
      <w:pPr>
        <w:pStyle w:val="Textonotapie"/>
      </w:pPr>
      <w:r>
        <w:rPr>
          <w:rStyle w:val="Refdenotaalpie"/>
        </w:rPr>
        <w:footnoteRef/>
      </w:r>
      <w:r>
        <w:t xml:space="preserve"> El manual de usuario remarc</w:t>
      </w:r>
      <w:r w:rsidR="00F60052">
        <w:t>a que el módulo SPI está pensado como periférico heredado, y que se pretende se use el SSP como alternativa.</w:t>
      </w:r>
    </w:p>
  </w:footnote>
  <w:footnote w:id="2">
    <w:p w:rsidR="00F60052" w:rsidRDefault="00F60052">
      <w:pPr>
        <w:pStyle w:val="Textonotapie"/>
      </w:pPr>
      <w:r>
        <w:rPr>
          <w:rStyle w:val="Refdenotaalpie"/>
        </w:rPr>
        <w:footnoteRef/>
      </w:r>
      <w:r>
        <w:t xml:space="preserve"> Ver anexo: Protocolo de Comunicación</w:t>
      </w:r>
      <w:r w:rsidR="00D225E0">
        <w:t xml:space="preserve"> SPI.</w:t>
      </w:r>
    </w:p>
  </w:footnote>
  <w:footnote w:id="3">
    <w:p w:rsidR="006D2BD4" w:rsidRDefault="006D2BD4">
      <w:pPr>
        <w:pStyle w:val="Textonotapie"/>
      </w:pPr>
      <w:r>
        <w:rPr>
          <w:rStyle w:val="Refdenotaalpie"/>
        </w:rPr>
        <w:footnoteRef/>
      </w:r>
      <w:r>
        <w:t xml:space="preserve"> Como se trata de una comunicación full-</w:t>
      </w:r>
      <w:proofErr w:type="spellStart"/>
      <w:r>
        <w:t>duplex</w:t>
      </w:r>
      <w:proofErr w:type="spellEnd"/>
      <w:r>
        <w:t xml:space="preserve">, enviar un dato implica recibir </w:t>
      </w:r>
      <w:r w:rsidR="005F3759">
        <w:t>otro</w:t>
      </w:r>
      <w:r>
        <w:t xml:space="preserve"> prácticamente al instante.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8A33A2"/>
    <w:multiLevelType w:val="hybridMultilevel"/>
    <w:tmpl w:val="1438E9B6"/>
    <w:lvl w:ilvl="0" w:tplc="2C0A0003">
      <w:start w:val="1"/>
      <w:numFmt w:val="bullet"/>
      <w:lvlText w:val="o"/>
      <w:lvlJc w:val="left"/>
      <w:pPr>
        <w:ind w:left="2484" w:hanging="360"/>
      </w:pPr>
      <w:rPr>
        <w:rFonts w:ascii="Courier New" w:hAnsi="Courier New" w:cs="Courier New" w:hint="default"/>
      </w:rPr>
    </w:lvl>
    <w:lvl w:ilvl="1" w:tplc="2C0A0003" w:tentative="1">
      <w:start w:val="1"/>
      <w:numFmt w:val="bullet"/>
      <w:lvlText w:val="o"/>
      <w:lvlJc w:val="left"/>
      <w:pPr>
        <w:ind w:left="3204" w:hanging="360"/>
      </w:pPr>
      <w:rPr>
        <w:rFonts w:ascii="Courier New" w:hAnsi="Courier New" w:cs="Courier New" w:hint="default"/>
      </w:rPr>
    </w:lvl>
    <w:lvl w:ilvl="2" w:tplc="2C0A0005" w:tentative="1">
      <w:start w:val="1"/>
      <w:numFmt w:val="bullet"/>
      <w:lvlText w:val=""/>
      <w:lvlJc w:val="left"/>
      <w:pPr>
        <w:ind w:left="3924" w:hanging="360"/>
      </w:pPr>
      <w:rPr>
        <w:rFonts w:ascii="Wingdings" w:hAnsi="Wingdings" w:hint="default"/>
      </w:rPr>
    </w:lvl>
    <w:lvl w:ilvl="3" w:tplc="2C0A0001" w:tentative="1">
      <w:start w:val="1"/>
      <w:numFmt w:val="bullet"/>
      <w:lvlText w:val=""/>
      <w:lvlJc w:val="left"/>
      <w:pPr>
        <w:ind w:left="4644" w:hanging="360"/>
      </w:pPr>
      <w:rPr>
        <w:rFonts w:ascii="Symbol" w:hAnsi="Symbol" w:hint="default"/>
      </w:rPr>
    </w:lvl>
    <w:lvl w:ilvl="4" w:tplc="2C0A0003" w:tentative="1">
      <w:start w:val="1"/>
      <w:numFmt w:val="bullet"/>
      <w:lvlText w:val="o"/>
      <w:lvlJc w:val="left"/>
      <w:pPr>
        <w:ind w:left="5364" w:hanging="360"/>
      </w:pPr>
      <w:rPr>
        <w:rFonts w:ascii="Courier New" w:hAnsi="Courier New" w:cs="Courier New" w:hint="default"/>
      </w:rPr>
    </w:lvl>
    <w:lvl w:ilvl="5" w:tplc="2C0A0005" w:tentative="1">
      <w:start w:val="1"/>
      <w:numFmt w:val="bullet"/>
      <w:lvlText w:val=""/>
      <w:lvlJc w:val="left"/>
      <w:pPr>
        <w:ind w:left="6084" w:hanging="360"/>
      </w:pPr>
      <w:rPr>
        <w:rFonts w:ascii="Wingdings" w:hAnsi="Wingdings" w:hint="default"/>
      </w:rPr>
    </w:lvl>
    <w:lvl w:ilvl="6" w:tplc="2C0A0001" w:tentative="1">
      <w:start w:val="1"/>
      <w:numFmt w:val="bullet"/>
      <w:lvlText w:val=""/>
      <w:lvlJc w:val="left"/>
      <w:pPr>
        <w:ind w:left="6804" w:hanging="360"/>
      </w:pPr>
      <w:rPr>
        <w:rFonts w:ascii="Symbol" w:hAnsi="Symbol" w:hint="default"/>
      </w:rPr>
    </w:lvl>
    <w:lvl w:ilvl="7" w:tplc="2C0A0003" w:tentative="1">
      <w:start w:val="1"/>
      <w:numFmt w:val="bullet"/>
      <w:lvlText w:val="o"/>
      <w:lvlJc w:val="left"/>
      <w:pPr>
        <w:ind w:left="7524" w:hanging="360"/>
      </w:pPr>
      <w:rPr>
        <w:rFonts w:ascii="Courier New" w:hAnsi="Courier New" w:cs="Courier New" w:hint="default"/>
      </w:rPr>
    </w:lvl>
    <w:lvl w:ilvl="8" w:tplc="2C0A0005" w:tentative="1">
      <w:start w:val="1"/>
      <w:numFmt w:val="bullet"/>
      <w:lvlText w:val=""/>
      <w:lvlJc w:val="left"/>
      <w:pPr>
        <w:ind w:left="8244" w:hanging="360"/>
      </w:pPr>
      <w:rPr>
        <w:rFonts w:ascii="Wingdings" w:hAnsi="Wingdings" w:hint="default"/>
      </w:rPr>
    </w:lvl>
  </w:abstractNum>
  <w:abstractNum w:abstractNumId="1">
    <w:nsid w:val="4C9062A6"/>
    <w:multiLevelType w:val="hybridMultilevel"/>
    <w:tmpl w:val="32CE5546"/>
    <w:lvl w:ilvl="0" w:tplc="F04E887A">
      <w:numFmt w:val="bullet"/>
      <w:lvlText w:val="-"/>
      <w:lvlJc w:val="left"/>
      <w:pPr>
        <w:ind w:left="502" w:hanging="360"/>
      </w:pPr>
      <w:rPr>
        <w:rFonts w:ascii="Palatino Linotype" w:eastAsiaTheme="minorHAnsi" w:hAnsi="Palatino Linotype" w:cstheme="minorBidi" w:hint="default"/>
      </w:rPr>
    </w:lvl>
    <w:lvl w:ilvl="1" w:tplc="2C0A0003" w:tentative="1">
      <w:start w:val="1"/>
      <w:numFmt w:val="bullet"/>
      <w:lvlText w:val="o"/>
      <w:lvlJc w:val="left"/>
      <w:pPr>
        <w:ind w:left="1222" w:hanging="360"/>
      </w:pPr>
      <w:rPr>
        <w:rFonts w:ascii="Courier New" w:hAnsi="Courier New" w:cs="Courier New" w:hint="default"/>
      </w:rPr>
    </w:lvl>
    <w:lvl w:ilvl="2" w:tplc="2C0A0005" w:tentative="1">
      <w:start w:val="1"/>
      <w:numFmt w:val="bullet"/>
      <w:lvlText w:val=""/>
      <w:lvlJc w:val="left"/>
      <w:pPr>
        <w:ind w:left="1942" w:hanging="360"/>
      </w:pPr>
      <w:rPr>
        <w:rFonts w:ascii="Wingdings" w:hAnsi="Wingdings" w:hint="default"/>
      </w:rPr>
    </w:lvl>
    <w:lvl w:ilvl="3" w:tplc="2C0A0001" w:tentative="1">
      <w:start w:val="1"/>
      <w:numFmt w:val="bullet"/>
      <w:lvlText w:val=""/>
      <w:lvlJc w:val="left"/>
      <w:pPr>
        <w:ind w:left="2662" w:hanging="360"/>
      </w:pPr>
      <w:rPr>
        <w:rFonts w:ascii="Symbol" w:hAnsi="Symbol" w:hint="default"/>
      </w:rPr>
    </w:lvl>
    <w:lvl w:ilvl="4" w:tplc="2C0A0003" w:tentative="1">
      <w:start w:val="1"/>
      <w:numFmt w:val="bullet"/>
      <w:lvlText w:val="o"/>
      <w:lvlJc w:val="left"/>
      <w:pPr>
        <w:ind w:left="3382" w:hanging="360"/>
      </w:pPr>
      <w:rPr>
        <w:rFonts w:ascii="Courier New" w:hAnsi="Courier New" w:cs="Courier New" w:hint="default"/>
      </w:rPr>
    </w:lvl>
    <w:lvl w:ilvl="5" w:tplc="2C0A0005" w:tentative="1">
      <w:start w:val="1"/>
      <w:numFmt w:val="bullet"/>
      <w:lvlText w:val=""/>
      <w:lvlJc w:val="left"/>
      <w:pPr>
        <w:ind w:left="4102" w:hanging="360"/>
      </w:pPr>
      <w:rPr>
        <w:rFonts w:ascii="Wingdings" w:hAnsi="Wingdings" w:hint="default"/>
      </w:rPr>
    </w:lvl>
    <w:lvl w:ilvl="6" w:tplc="2C0A0001" w:tentative="1">
      <w:start w:val="1"/>
      <w:numFmt w:val="bullet"/>
      <w:lvlText w:val=""/>
      <w:lvlJc w:val="left"/>
      <w:pPr>
        <w:ind w:left="4822" w:hanging="360"/>
      </w:pPr>
      <w:rPr>
        <w:rFonts w:ascii="Symbol" w:hAnsi="Symbol" w:hint="default"/>
      </w:rPr>
    </w:lvl>
    <w:lvl w:ilvl="7" w:tplc="2C0A0003" w:tentative="1">
      <w:start w:val="1"/>
      <w:numFmt w:val="bullet"/>
      <w:lvlText w:val="o"/>
      <w:lvlJc w:val="left"/>
      <w:pPr>
        <w:ind w:left="5542" w:hanging="360"/>
      </w:pPr>
      <w:rPr>
        <w:rFonts w:ascii="Courier New" w:hAnsi="Courier New" w:cs="Courier New" w:hint="default"/>
      </w:rPr>
    </w:lvl>
    <w:lvl w:ilvl="8" w:tplc="2C0A0005" w:tentative="1">
      <w:start w:val="1"/>
      <w:numFmt w:val="bullet"/>
      <w:lvlText w:val=""/>
      <w:lvlJc w:val="left"/>
      <w:pPr>
        <w:ind w:left="6262"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8D7"/>
    <w:rsid w:val="00353BED"/>
    <w:rsid w:val="0044303F"/>
    <w:rsid w:val="00571E0D"/>
    <w:rsid w:val="005F3759"/>
    <w:rsid w:val="005F6F82"/>
    <w:rsid w:val="0060427E"/>
    <w:rsid w:val="00624597"/>
    <w:rsid w:val="00680031"/>
    <w:rsid w:val="006D2BD4"/>
    <w:rsid w:val="007246A1"/>
    <w:rsid w:val="007858D7"/>
    <w:rsid w:val="00804049"/>
    <w:rsid w:val="00971297"/>
    <w:rsid w:val="009F06AA"/>
    <w:rsid w:val="009F7E39"/>
    <w:rsid w:val="00AD414E"/>
    <w:rsid w:val="00B77528"/>
    <w:rsid w:val="00CD40BD"/>
    <w:rsid w:val="00CE2699"/>
    <w:rsid w:val="00CF0837"/>
    <w:rsid w:val="00CF7613"/>
    <w:rsid w:val="00D225E0"/>
    <w:rsid w:val="00E15149"/>
    <w:rsid w:val="00E96A8C"/>
    <w:rsid w:val="00F60052"/>
    <w:rsid w:val="00FF393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858D7"/>
    <w:pPr>
      <w:keepNext/>
      <w:keepLines/>
      <w:spacing w:before="480" w:after="0"/>
      <w:outlineLvl w:val="0"/>
    </w:pPr>
    <w:rPr>
      <w:rFonts w:asciiTheme="majorHAnsi" w:eastAsiaTheme="majorEastAsia" w:hAnsiTheme="majorHAnsi" w:cstheme="majorBidi"/>
      <w:b/>
      <w:bCs/>
      <w:color w:val="3476B1" w:themeColor="accent1" w:themeShade="BF"/>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858D7"/>
    <w:rPr>
      <w:rFonts w:asciiTheme="majorHAnsi" w:eastAsiaTheme="majorEastAsia" w:hAnsiTheme="majorHAnsi" w:cstheme="majorBidi"/>
      <w:b/>
      <w:bCs/>
      <w:color w:val="3476B1" w:themeColor="accent1" w:themeShade="BF"/>
      <w:sz w:val="28"/>
      <w:szCs w:val="28"/>
    </w:rPr>
  </w:style>
  <w:style w:type="paragraph" w:styleId="Subttulo">
    <w:name w:val="Subtitle"/>
    <w:basedOn w:val="Normal"/>
    <w:next w:val="Normal"/>
    <w:link w:val="SubttuloCar"/>
    <w:uiPriority w:val="11"/>
    <w:qFormat/>
    <w:rsid w:val="007858D7"/>
    <w:pPr>
      <w:numPr>
        <w:ilvl w:val="1"/>
      </w:numPr>
    </w:pPr>
    <w:rPr>
      <w:rFonts w:asciiTheme="majorHAnsi" w:eastAsiaTheme="majorEastAsia" w:hAnsiTheme="majorHAnsi" w:cstheme="majorBidi"/>
      <w:i/>
      <w:iCs/>
      <w:color w:val="629DD1" w:themeColor="accent1"/>
      <w:spacing w:val="15"/>
      <w:sz w:val="24"/>
      <w:szCs w:val="24"/>
    </w:rPr>
  </w:style>
  <w:style w:type="character" w:customStyle="1" w:styleId="SubttuloCar">
    <w:name w:val="Subtítulo Car"/>
    <w:basedOn w:val="Fuentedeprrafopredeter"/>
    <w:link w:val="Subttulo"/>
    <w:uiPriority w:val="11"/>
    <w:rsid w:val="007858D7"/>
    <w:rPr>
      <w:rFonts w:asciiTheme="majorHAnsi" w:eastAsiaTheme="majorEastAsia" w:hAnsiTheme="majorHAnsi" w:cstheme="majorBidi"/>
      <w:i/>
      <w:iCs/>
      <w:color w:val="629DD1" w:themeColor="accent1"/>
      <w:spacing w:val="15"/>
      <w:sz w:val="24"/>
      <w:szCs w:val="24"/>
    </w:rPr>
  </w:style>
  <w:style w:type="paragraph" w:styleId="Ttulo">
    <w:name w:val="Title"/>
    <w:basedOn w:val="Normal"/>
    <w:next w:val="Normal"/>
    <w:link w:val="TtuloCar"/>
    <w:uiPriority w:val="10"/>
    <w:qFormat/>
    <w:rsid w:val="007858D7"/>
    <w:pPr>
      <w:pBdr>
        <w:bottom w:val="single" w:sz="8" w:space="4" w:color="629DD1" w:themeColor="accent1"/>
      </w:pBdr>
      <w:spacing w:after="300" w:line="240" w:lineRule="auto"/>
      <w:contextualSpacing/>
    </w:pPr>
    <w:rPr>
      <w:rFonts w:asciiTheme="majorHAnsi" w:eastAsiaTheme="majorEastAsia" w:hAnsiTheme="majorHAnsi" w:cstheme="majorBidi"/>
      <w:color w:val="1B1D3D" w:themeColor="text2" w:themeShade="BF"/>
      <w:spacing w:val="5"/>
      <w:kern w:val="28"/>
      <w:sz w:val="52"/>
      <w:szCs w:val="52"/>
    </w:rPr>
  </w:style>
  <w:style w:type="character" w:customStyle="1" w:styleId="TtuloCar">
    <w:name w:val="Título Car"/>
    <w:basedOn w:val="Fuentedeprrafopredeter"/>
    <w:link w:val="Ttulo"/>
    <w:uiPriority w:val="10"/>
    <w:rsid w:val="007858D7"/>
    <w:rPr>
      <w:rFonts w:asciiTheme="majorHAnsi" w:eastAsiaTheme="majorEastAsia" w:hAnsiTheme="majorHAnsi" w:cstheme="majorBidi"/>
      <w:color w:val="1B1D3D" w:themeColor="text2" w:themeShade="BF"/>
      <w:spacing w:val="5"/>
      <w:kern w:val="28"/>
      <w:sz w:val="52"/>
      <w:szCs w:val="52"/>
    </w:rPr>
  </w:style>
  <w:style w:type="paragraph" w:styleId="Textonotapie">
    <w:name w:val="footnote text"/>
    <w:basedOn w:val="Normal"/>
    <w:link w:val="TextonotapieCar"/>
    <w:uiPriority w:val="99"/>
    <w:semiHidden/>
    <w:unhideWhenUsed/>
    <w:rsid w:val="007858D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858D7"/>
    <w:rPr>
      <w:sz w:val="20"/>
      <w:szCs w:val="20"/>
    </w:rPr>
  </w:style>
  <w:style w:type="character" w:styleId="Refdenotaalpie">
    <w:name w:val="footnote reference"/>
    <w:basedOn w:val="Fuentedeprrafopredeter"/>
    <w:uiPriority w:val="99"/>
    <w:semiHidden/>
    <w:unhideWhenUsed/>
    <w:rsid w:val="007858D7"/>
    <w:rPr>
      <w:vertAlign w:val="superscript"/>
    </w:rPr>
  </w:style>
  <w:style w:type="paragraph" w:styleId="Prrafodelista">
    <w:name w:val="List Paragraph"/>
    <w:basedOn w:val="Normal"/>
    <w:uiPriority w:val="34"/>
    <w:qFormat/>
    <w:rsid w:val="00CE269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858D7"/>
    <w:pPr>
      <w:keepNext/>
      <w:keepLines/>
      <w:spacing w:before="480" w:after="0"/>
      <w:outlineLvl w:val="0"/>
    </w:pPr>
    <w:rPr>
      <w:rFonts w:asciiTheme="majorHAnsi" w:eastAsiaTheme="majorEastAsia" w:hAnsiTheme="majorHAnsi" w:cstheme="majorBidi"/>
      <w:b/>
      <w:bCs/>
      <w:color w:val="3476B1" w:themeColor="accent1" w:themeShade="BF"/>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858D7"/>
    <w:rPr>
      <w:rFonts w:asciiTheme="majorHAnsi" w:eastAsiaTheme="majorEastAsia" w:hAnsiTheme="majorHAnsi" w:cstheme="majorBidi"/>
      <w:b/>
      <w:bCs/>
      <w:color w:val="3476B1" w:themeColor="accent1" w:themeShade="BF"/>
      <w:sz w:val="28"/>
      <w:szCs w:val="28"/>
    </w:rPr>
  </w:style>
  <w:style w:type="paragraph" w:styleId="Subttulo">
    <w:name w:val="Subtitle"/>
    <w:basedOn w:val="Normal"/>
    <w:next w:val="Normal"/>
    <w:link w:val="SubttuloCar"/>
    <w:uiPriority w:val="11"/>
    <w:qFormat/>
    <w:rsid w:val="007858D7"/>
    <w:pPr>
      <w:numPr>
        <w:ilvl w:val="1"/>
      </w:numPr>
    </w:pPr>
    <w:rPr>
      <w:rFonts w:asciiTheme="majorHAnsi" w:eastAsiaTheme="majorEastAsia" w:hAnsiTheme="majorHAnsi" w:cstheme="majorBidi"/>
      <w:i/>
      <w:iCs/>
      <w:color w:val="629DD1" w:themeColor="accent1"/>
      <w:spacing w:val="15"/>
      <w:sz w:val="24"/>
      <w:szCs w:val="24"/>
    </w:rPr>
  </w:style>
  <w:style w:type="character" w:customStyle="1" w:styleId="SubttuloCar">
    <w:name w:val="Subtítulo Car"/>
    <w:basedOn w:val="Fuentedeprrafopredeter"/>
    <w:link w:val="Subttulo"/>
    <w:uiPriority w:val="11"/>
    <w:rsid w:val="007858D7"/>
    <w:rPr>
      <w:rFonts w:asciiTheme="majorHAnsi" w:eastAsiaTheme="majorEastAsia" w:hAnsiTheme="majorHAnsi" w:cstheme="majorBidi"/>
      <w:i/>
      <w:iCs/>
      <w:color w:val="629DD1" w:themeColor="accent1"/>
      <w:spacing w:val="15"/>
      <w:sz w:val="24"/>
      <w:szCs w:val="24"/>
    </w:rPr>
  </w:style>
  <w:style w:type="paragraph" w:styleId="Ttulo">
    <w:name w:val="Title"/>
    <w:basedOn w:val="Normal"/>
    <w:next w:val="Normal"/>
    <w:link w:val="TtuloCar"/>
    <w:uiPriority w:val="10"/>
    <w:qFormat/>
    <w:rsid w:val="007858D7"/>
    <w:pPr>
      <w:pBdr>
        <w:bottom w:val="single" w:sz="8" w:space="4" w:color="629DD1" w:themeColor="accent1"/>
      </w:pBdr>
      <w:spacing w:after="300" w:line="240" w:lineRule="auto"/>
      <w:contextualSpacing/>
    </w:pPr>
    <w:rPr>
      <w:rFonts w:asciiTheme="majorHAnsi" w:eastAsiaTheme="majorEastAsia" w:hAnsiTheme="majorHAnsi" w:cstheme="majorBidi"/>
      <w:color w:val="1B1D3D" w:themeColor="text2" w:themeShade="BF"/>
      <w:spacing w:val="5"/>
      <w:kern w:val="28"/>
      <w:sz w:val="52"/>
      <w:szCs w:val="52"/>
    </w:rPr>
  </w:style>
  <w:style w:type="character" w:customStyle="1" w:styleId="TtuloCar">
    <w:name w:val="Título Car"/>
    <w:basedOn w:val="Fuentedeprrafopredeter"/>
    <w:link w:val="Ttulo"/>
    <w:uiPriority w:val="10"/>
    <w:rsid w:val="007858D7"/>
    <w:rPr>
      <w:rFonts w:asciiTheme="majorHAnsi" w:eastAsiaTheme="majorEastAsia" w:hAnsiTheme="majorHAnsi" w:cstheme="majorBidi"/>
      <w:color w:val="1B1D3D" w:themeColor="text2" w:themeShade="BF"/>
      <w:spacing w:val="5"/>
      <w:kern w:val="28"/>
      <w:sz w:val="52"/>
      <w:szCs w:val="52"/>
    </w:rPr>
  </w:style>
  <w:style w:type="paragraph" w:styleId="Textonotapie">
    <w:name w:val="footnote text"/>
    <w:basedOn w:val="Normal"/>
    <w:link w:val="TextonotapieCar"/>
    <w:uiPriority w:val="99"/>
    <w:semiHidden/>
    <w:unhideWhenUsed/>
    <w:rsid w:val="007858D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858D7"/>
    <w:rPr>
      <w:sz w:val="20"/>
      <w:szCs w:val="20"/>
    </w:rPr>
  </w:style>
  <w:style w:type="character" w:styleId="Refdenotaalpie">
    <w:name w:val="footnote reference"/>
    <w:basedOn w:val="Fuentedeprrafopredeter"/>
    <w:uiPriority w:val="99"/>
    <w:semiHidden/>
    <w:unhideWhenUsed/>
    <w:rsid w:val="007858D7"/>
    <w:rPr>
      <w:vertAlign w:val="superscript"/>
    </w:rPr>
  </w:style>
  <w:style w:type="paragraph" w:styleId="Prrafodelista">
    <w:name w:val="List Paragraph"/>
    <w:basedOn w:val="Normal"/>
    <w:uiPriority w:val="34"/>
    <w:qFormat/>
    <w:rsid w:val="00CE26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lemental">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Elemental">
      <a:maj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lemental">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glow" dir="tl">
              <a:rot lat="0" lon="0" rev="19800000"/>
            </a:lightRig>
          </a:scene3d>
          <a:sp3d prstMaterial="metal">
            <a:bevelT w="38100" h="3810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50800" h="50800"/>
          </a:sp3d>
        </a:effectStyle>
      </a:effectStyleLst>
      <a:bgFillStyleLst>
        <a:solidFill>
          <a:schemeClr val="phClr"/>
        </a:solidFill>
        <a:gradFill rotWithShape="1">
          <a:gsLst>
            <a:gs pos="0">
              <a:schemeClr val="phClr">
                <a:tint val="95000"/>
              </a:schemeClr>
            </a:gs>
            <a:gs pos="100000">
              <a:schemeClr val="phClr">
                <a:shade val="40000"/>
                <a:satMod val="180000"/>
              </a:schemeClr>
            </a:gs>
          </a:gsLst>
          <a:lin ang="5400000" scaled="0"/>
        </a:gradFill>
        <a:blipFill>
          <a:blip xmlns:r="http://schemas.openxmlformats.org/officeDocument/2006/relationships" r:embed="rId1">
            <a:duotone>
              <a:schemeClr val="phClr">
                <a:shade val="14000"/>
                <a:satMod val="280000"/>
              </a:schemeClr>
              <a:schemeClr val="phClr">
                <a:tint val="60000"/>
                <a:satMod val="120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9E87B2-578E-44E9-9BF3-07BD01BE6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4</Pages>
  <Words>995</Words>
  <Characters>5475</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Federico Cañete</dc:creator>
  <cp:lastModifiedBy>Federico</cp:lastModifiedBy>
  <cp:revision>9</cp:revision>
  <dcterms:created xsi:type="dcterms:W3CDTF">2017-11-02T23:03:00Z</dcterms:created>
  <dcterms:modified xsi:type="dcterms:W3CDTF">2017-11-07T04:30:00Z</dcterms:modified>
</cp:coreProperties>
</file>