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AA" w:rsidRPr="00CE2699" w:rsidRDefault="007858D7" w:rsidP="007858D7">
      <w:pPr>
        <w:pStyle w:val="Ttulo"/>
        <w:rPr>
          <w:color w:val="072B62" w:themeColor="background2" w:themeShade="40"/>
          <w:sz w:val="36"/>
        </w:rPr>
      </w:pPr>
      <w:r w:rsidRPr="00CE2699">
        <w:rPr>
          <w:color w:val="072B62" w:themeColor="background2" w:themeShade="40"/>
          <w:sz w:val="36"/>
        </w:rPr>
        <w:t>Módulo SSP</w:t>
      </w:r>
    </w:p>
    <w:p w:rsidR="007858D7" w:rsidRDefault="007858D7" w:rsidP="00AD414E">
      <w:pPr>
        <w:ind w:firstLine="142"/>
        <w:jc w:val="both"/>
      </w:pPr>
      <w:r>
        <w:t xml:space="preserve">Para la comunicación SPI con el módulo transceptor nRF24l01 se necesitó hacer uso del módulo SSP1 del LPC1769. Si bien el microcontrolador cuenta con un módulo llamado SPI dedicado exclusivamente a la comunicación con ese protocolo, no fue posible implementarlo con el Kit </w:t>
      </w:r>
      <w:proofErr w:type="spellStart"/>
      <w:r>
        <w:t>Infotronic</w:t>
      </w:r>
      <w:proofErr w:type="spellEnd"/>
      <w:r>
        <w:t xml:space="preserve"> ya que los pines de salida requeridos estaban siendo usados por otro módulo (en este caso por la UART1 para la comunicación asincrónica), entonces se optó por usar el módulo SSP</w:t>
      </w:r>
      <w:r>
        <w:rPr>
          <w:rStyle w:val="Refdenotaalpie"/>
        </w:rPr>
        <w:footnoteReference w:id="1"/>
      </w:r>
      <w:r>
        <w:t xml:space="preserve"> que se describe a continuación. </w:t>
      </w:r>
    </w:p>
    <w:p w:rsidR="007858D7" w:rsidRDefault="007858D7" w:rsidP="00AD414E">
      <w:pPr>
        <w:ind w:firstLine="142"/>
        <w:jc w:val="both"/>
      </w:pPr>
      <w:r>
        <w:t xml:space="preserve">El </w:t>
      </w:r>
      <w:r w:rsidR="00D225E0">
        <w:t>periférico</w:t>
      </w:r>
      <w:r>
        <w:t xml:space="preserve"> SSP (</w:t>
      </w:r>
      <w:proofErr w:type="spellStart"/>
      <w:r w:rsidR="00F60052" w:rsidRPr="00F60052">
        <w:rPr>
          <w:i/>
        </w:rPr>
        <w:t>Synchronous</w:t>
      </w:r>
      <w:proofErr w:type="spellEnd"/>
      <w:r w:rsidR="00F60052" w:rsidRPr="00F60052">
        <w:rPr>
          <w:i/>
        </w:rPr>
        <w:t xml:space="preserve"> Serial Port</w:t>
      </w:r>
      <w:r>
        <w:t xml:space="preserve">) </w:t>
      </w:r>
      <w:r w:rsidR="00F60052">
        <w:t>es un controlador capaz de operar comunicaciones en distintos protocolos, entre los que se encuentra el SPI.</w:t>
      </w:r>
      <w:r w:rsidR="00F60052">
        <w:rPr>
          <w:rStyle w:val="Refdenotaalpie"/>
        </w:rPr>
        <w:footnoteReference w:id="2"/>
      </w:r>
    </w:p>
    <w:p w:rsidR="00CE2699" w:rsidRDefault="00CE2699" w:rsidP="00AD414E">
      <w:pPr>
        <w:ind w:firstLine="142"/>
        <w:jc w:val="both"/>
      </w:pPr>
      <w:r>
        <w:t>Las características más relevantes de este periférico son:</w:t>
      </w:r>
    </w:p>
    <w:p w:rsidR="00CE2699" w:rsidRPr="00CE2699" w:rsidRDefault="00CE2699" w:rsidP="00CE2699">
      <w:pPr>
        <w:pStyle w:val="Prrafodelista"/>
        <w:numPr>
          <w:ilvl w:val="0"/>
          <w:numId w:val="1"/>
        </w:numPr>
        <w:jc w:val="both"/>
      </w:pPr>
      <w:r w:rsidRPr="00CE2699">
        <w:t xml:space="preserve">Modo Master, Slave o </w:t>
      </w:r>
      <w:proofErr w:type="spellStart"/>
      <w:r w:rsidRPr="00CE2699">
        <w:t>Loop</w:t>
      </w:r>
      <w:proofErr w:type="spellEnd"/>
      <w:r w:rsidRPr="00CE2699">
        <w:t xml:space="preserve"> Back, con pines dedicados (MISO, MOSI, SSEL </w:t>
      </w:r>
      <w:r>
        <w:t>y</w:t>
      </w:r>
      <w:r w:rsidRPr="00CE2699">
        <w:t xml:space="preserve"> SCK).</w:t>
      </w:r>
    </w:p>
    <w:p w:rsidR="00CE2699" w:rsidRDefault="00CE2699" w:rsidP="00CE2699">
      <w:pPr>
        <w:pStyle w:val="Prrafodelista"/>
        <w:numPr>
          <w:ilvl w:val="0"/>
          <w:numId w:val="1"/>
        </w:numPr>
        <w:jc w:val="both"/>
      </w:pPr>
      <w:r w:rsidRPr="00CE2699">
        <w:t>Tramas de datos de 4 a 16 bits</w:t>
      </w:r>
      <w:r>
        <w:t>.</w:t>
      </w:r>
    </w:p>
    <w:p w:rsidR="00CE2699" w:rsidRPr="00CE2699" w:rsidRDefault="00CE2699" w:rsidP="00CE2699">
      <w:pPr>
        <w:pStyle w:val="Prrafodelista"/>
        <w:numPr>
          <w:ilvl w:val="0"/>
          <w:numId w:val="1"/>
        </w:numPr>
        <w:jc w:val="both"/>
      </w:pPr>
      <w:r>
        <w:t>4 Fuentes de interrupción.</w:t>
      </w:r>
    </w:p>
    <w:p w:rsidR="00CE2699" w:rsidRPr="00CE2699" w:rsidRDefault="00CE2699" w:rsidP="00CE2699">
      <w:pPr>
        <w:pStyle w:val="Prrafodelista"/>
        <w:numPr>
          <w:ilvl w:val="0"/>
          <w:numId w:val="1"/>
        </w:numPr>
        <w:jc w:val="both"/>
      </w:pPr>
      <w:r>
        <w:t>Soporte para DMA.</w:t>
      </w:r>
    </w:p>
    <w:p w:rsidR="00CE2699" w:rsidRDefault="00CE2699" w:rsidP="00CE2699">
      <w:pPr>
        <w:pStyle w:val="Prrafodelista"/>
        <w:numPr>
          <w:ilvl w:val="0"/>
          <w:numId w:val="1"/>
        </w:numPr>
        <w:jc w:val="both"/>
      </w:pPr>
      <w:proofErr w:type="spellStart"/>
      <w:r>
        <w:t>FIFOs</w:t>
      </w:r>
      <w:proofErr w:type="spellEnd"/>
      <w:r>
        <w:t xml:space="preserve"> de transmisión y de recepción con capacidad de 8 tramas.</w:t>
      </w:r>
    </w:p>
    <w:p w:rsidR="00CE2699" w:rsidRDefault="00CE2699" w:rsidP="00CE2699">
      <w:pPr>
        <w:pStyle w:val="Ttulo1"/>
        <w:spacing w:after="360"/>
        <w:rPr>
          <w:color w:val="072B62" w:themeColor="background2" w:themeShade="40"/>
        </w:rPr>
      </w:pPr>
      <w:r w:rsidRPr="00CE2699">
        <w:rPr>
          <w:color w:val="072B62" w:themeColor="background2" w:themeShade="40"/>
        </w:rPr>
        <w:t>Registros</w:t>
      </w:r>
    </w:p>
    <w:p w:rsidR="00CE2699" w:rsidRDefault="00CE2699" w:rsidP="00CE2699">
      <w:pPr>
        <w:ind w:firstLine="142"/>
      </w:pPr>
      <w:r>
        <w:t>A continuación se presentan los registros configurables para los periféricos SSP0 y SSP1:</w:t>
      </w:r>
    </w:p>
    <w:p w:rsidR="00CE2699" w:rsidRPr="00E96A8C" w:rsidRDefault="00CE2699" w:rsidP="00CF0837">
      <w:pPr>
        <w:pStyle w:val="Prrafodelista"/>
        <w:numPr>
          <w:ilvl w:val="0"/>
          <w:numId w:val="1"/>
        </w:numPr>
      </w:pPr>
      <w:r w:rsidRPr="00CF0837">
        <w:rPr>
          <w:b/>
        </w:rPr>
        <w:t>CR0</w:t>
      </w:r>
      <w:r w:rsidR="00E96A8C" w:rsidRPr="00E96A8C">
        <w:t xml:space="preserve"> - Control </w:t>
      </w:r>
      <w:proofErr w:type="spellStart"/>
      <w:r w:rsidR="00E96A8C" w:rsidRPr="00E96A8C">
        <w:t>Register</w:t>
      </w:r>
      <w:proofErr w:type="spellEnd"/>
      <w:r w:rsidR="00E96A8C" w:rsidRPr="00E96A8C">
        <w:t xml:space="preserve"> 0</w:t>
      </w:r>
    </w:p>
    <w:p w:rsidR="00E96A8C" w:rsidRPr="00E96A8C" w:rsidRDefault="00E96A8C" w:rsidP="00E96A8C">
      <w:pPr>
        <w:spacing w:after="360"/>
        <w:ind w:left="425"/>
      </w:pPr>
      <w:r w:rsidRPr="00E96A8C">
        <w:t xml:space="preserve">Permite </w:t>
      </w:r>
      <w:r>
        <w:t>configurar el tipo de trama</w:t>
      </w:r>
      <w:r w:rsidR="00CF0837">
        <w:t xml:space="preserve"> (SPI), la </w:t>
      </w:r>
      <w:r w:rsidR="00B77528">
        <w:t>velocidad</w:t>
      </w:r>
      <w:r w:rsidR="00CF0837">
        <w:t xml:space="preserve"> de</w:t>
      </w:r>
      <w:r w:rsidR="00B77528">
        <w:t>l</w:t>
      </w:r>
      <w:bookmarkStart w:id="0" w:name="_GoBack"/>
      <w:bookmarkEnd w:id="0"/>
      <w:r w:rsidR="00CF0837">
        <w:t xml:space="preserve"> </w:t>
      </w:r>
      <w:proofErr w:type="spellStart"/>
      <w:r w:rsidR="00CF0837">
        <w:t>clock</w:t>
      </w:r>
      <w:proofErr w:type="spellEnd"/>
      <w:r w:rsidRPr="00E96A8C">
        <w:t xml:space="preserve">, </w:t>
      </w:r>
      <w:r>
        <w:t xml:space="preserve">el tamaño de la trama y los bits de configuración del </w:t>
      </w:r>
      <w:proofErr w:type="spellStart"/>
      <w:r>
        <w:t>clock</w:t>
      </w:r>
      <w:proofErr w:type="spellEnd"/>
      <w:r>
        <w:t xml:space="preserve"> CPOL y CPHA.</w:t>
      </w:r>
    </w:p>
    <w:p w:rsidR="00CE2699" w:rsidRPr="00E96A8C" w:rsidRDefault="00E96A8C" w:rsidP="00CF0837">
      <w:pPr>
        <w:pStyle w:val="Prrafodelista"/>
        <w:numPr>
          <w:ilvl w:val="0"/>
          <w:numId w:val="1"/>
        </w:numPr>
      </w:pPr>
      <w:r w:rsidRPr="00CF0837">
        <w:rPr>
          <w:b/>
        </w:rPr>
        <w:t>CR1</w:t>
      </w:r>
      <w:r>
        <w:t xml:space="preserve"> - </w:t>
      </w:r>
      <w:r w:rsidRPr="00E96A8C">
        <w:t xml:space="preserve">Control </w:t>
      </w:r>
      <w:proofErr w:type="spellStart"/>
      <w:r w:rsidRPr="00E96A8C">
        <w:t>Register</w:t>
      </w:r>
      <w:proofErr w:type="spellEnd"/>
      <w:r w:rsidRPr="00E96A8C">
        <w:t xml:space="preserve"> </w:t>
      </w:r>
      <w:r>
        <w:t>1</w:t>
      </w:r>
    </w:p>
    <w:p w:rsidR="00E96A8C" w:rsidRPr="00E96A8C" w:rsidRDefault="00E96A8C" w:rsidP="00CF0837">
      <w:pPr>
        <w:spacing w:after="360"/>
        <w:ind w:left="425"/>
      </w:pPr>
      <w:r w:rsidRPr="00E96A8C">
        <w:t>Selecciona los modos de operaci</w:t>
      </w:r>
      <w:r>
        <w:t>ón y permite habilitar o deshabilitar el periférico.</w:t>
      </w:r>
    </w:p>
    <w:p w:rsidR="00E96A8C" w:rsidRPr="00CF0837" w:rsidRDefault="00E96A8C" w:rsidP="00CF0837">
      <w:pPr>
        <w:pStyle w:val="Prrafodelista"/>
        <w:numPr>
          <w:ilvl w:val="0"/>
          <w:numId w:val="1"/>
        </w:numPr>
        <w:rPr>
          <w:lang w:val="en-US"/>
        </w:rPr>
      </w:pPr>
      <w:r w:rsidRPr="00CF0837">
        <w:rPr>
          <w:b/>
          <w:lang w:val="en-US"/>
        </w:rPr>
        <w:t>DR</w:t>
      </w:r>
      <w:r w:rsidRPr="00CF0837">
        <w:rPr>
          <w:lang w:val="en-US"/>
        </w:rPr>
        <w:t xml:space="preserve"> – Data Register </w:t>
      </w:r>
    </w:p>
    <w:p w:rsidR="00E96A8C" w:rsidRPr="00E96A8C" w:rsidRDefault="00E96A8C" w:rsidP="00E96A8C">
      <w:pPr>
        <w:ind w:left="426"/>
      </w:pPr>
      <w:r w:rsidRPr="00E96A8C">
        <w:t>Registro que actúa de intermedia</w:t>
      </w:r>
      <w:r>
        <w:t>ri</w:t>
      </w:r>
      <w:r w:rsidRPr="00E96A8C">
        <w:t xml:space="preserve">o entre </w:t>
      </w:r>
      <w:r>
        <w:t xml:space="preserve">los </w:t>
      </w:r>
      <w:proofErr w:type="spellStart"/>
      <w:r>
        <w:t>FIFOs</w:t>
      </w:r>
      <w:proofErr w:type="spellEnd"/>
      <w:r>
        <w:t xml:space="preserve"> de entrada y salida. Los datos a enviar o recibir se escriben o se leen de este registro. </w:t>
      </w:r>
    </w:p>
    <w:p w:rsidR="00E96A8C" w:rsidRPr="00E96A8C" w:rsidRDefault="00E96A8C" w:rsidP="00E96A8C">
      <w:pPr>
        <w:ind w:left="426"/>
      </w:pPr>
    </w:p>
    <w:p w:rsidR="00E96A8C" w:rsidRPr="00E96A8C" w:rsidRDefault="00E96A8C" w:rsidP="00CF0837">
      <w:pPr>
        <w:pStyle w:val="Prrafodelista"/>
        <w:numPr>
          <w:ilvl w:val="0"/>
          <w:numId w:val="1"/>
        </w:numPr>
      </w:pPr>
      <w:r w:rsidRPr="00CF0837">
        <w:rPr>
          <w:b/>
        </w:rPr>
        <w:t>SR</w:t>
      </w:r>
      <w:r w:rsidRPr="00E96A8C">
        <w:t xml:space="preserve"> – Status </w:t>
      </w:r>
      <w:proofErr w:type="spellStart"/>
      <w:r w:rsidRPr="00E96A8C">
        <w:t>Register</w:t>
      </w:r>
      <w:proofErr w:type="spellEnd"/>
    </w:p>
    <w:p w:rsidR="00E96A8C" w:rsidRPr="00E96A8C" w:rsidRDefault="00E96A8C" w:rsidP="00CF0837">
      <w:pPr>
        <w:spacing w:after="360"/>
        <w:ind w:left="425"/>
      </w:pPr>
      <w:r w:rsidRPr="00E96A8C">
        <w:t xml:space="preserve">Contiene </w:t>
      </w:r>
      <w:proofErr w:type="spellStart"/>
      <w:r w:rsidRPr="00E96A8C">
        <w:t>fla</w:t>
      </w:r>
      <w:r>
        <w:t>gs</w:t>
      </w:r>
      <w:proofErr w:type="spellEnd"/>
      <w:r>
        <w:t xml:space="preserve"> que informan sobre el estado actual del módulo</w:t>
      </w:r>
    </w:p>
    <w:p w:rsidR="00E96A8C" w:rsidRPr="00CF0837" w:rsidRDefault="00E96A8C" w:rsidP="00CF0837">
      <w:pPr>
        <w:pStyle w:val="Prrafodelista"/>
        <w:numPr>
          <w:ilvl w:val="0"/>
          <w:numId w:val="1"/>
        </w:numPr>
        <w:rPr>
          <w:lang w:val="en-US"/>
        </w:rPr>
      </w:pPr>
      <w:r w:rsidRPr="00CF0837">
        <w:rPr>
          <w:b/>
          <w:lang w:val="en-US"/>
        </w:rPr>
        <w:t>CPSR</w:t>
      </w:r>
      <w:r w:rsidRPr="00CF0837">
        <w:rPr>
          <w:lang w:val="en-US"/>
        </w:rPr>
        <w:t xml:space="preserve"> – Clock </w:t>
      </w:r>
      <w:proofErr w:type="spellStart"/>
      <w:r w:rsidRPr="00CF0837">
        <w:rPr>
          <w:lang w:val="en-US"/>
        </w:rPr>
        <w:t>Prescale</w:t>
      </w:r>
      <w:proofErr w:type="spellEnd"/>
      <w:r w:rsidRPr="00CF0837">
        <w:rPr>
          <w:lang w:val="en-US"/>
        </w:rPr>
        <w:t xml:space="preserve"> Register</w:t>
      </w:r>
    </w:p>
    <w:p w:rsidR="00CF0837" w:rsidRPr="00CF0837" w:rsidRDefault="00CF0837" w:rsidP="00CF0837">
      <w:pPr>
        <w:spacing w:after="360"/>
        <w:ind w:left="425"/>
      </w:pPr>
      <w:r w:rsidRPr="00CF0837">
        <w:t>Divisor para configurar la tasa de bits por segundo.</w:t>
      </w:r>
    </w:p>
    <w:p w:rsidR="00E96A8C" w:rsidRPr="00CF0837" w:rsidRDefault="00E96A8C" w:rsidP="00CF0837">
      <w:pPr>
        <w:pStyle w:val="Prrafodelista"/>
        <w:numPr>
          <w:ilvl w:val="0"/>
          <w:numId w:val="1"/>
        </w:numPr>
        <w:rPr>
          <w:lang w:val="en-US"/>
        </w:rPr>
      </w:pPr>
      <w:r w:rsidRPr="00CF0837">
        <w:rPr>
          <w:b/>
          <w:lang w:val="en-US"/>
        </w:rPr>
        <w:t>IMSC</w:t>
      </w:r>
      <w:r w:rsidR="00CF0837" w:rsidRPr="00CF0837">
        <w:rPr>
          <w:lang w:val="en-US"/>
        </w:rPr>
        <w:t xml:space="preserve"> – Interrupt Mask Set/Clear Register</w:t>
      </w:r>
    </w:p>
    <w:p w:rsidR="00CF0837" w:rsidRPr="00CF0837" w:rsidRDefault="00CF0837" w:rsidP="00CF0837">
      <w:pPr>
        <w:spacing w:after="360"/>
        <w:ind w:left="425"/>
      </w:pPr>
      <w:r w:rsidRPr="00CF0837">
        <w:t>Registro que permite habilitar las posibles causas de interrupci</w:t>
      </w:r>
      <w:r>
        <w:t>ón</w:t>
      </w:r>
    </w:p>
    <w:p w:rsidR="00E96A8C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lang w:val="en-US"/>
        </w:rPr>
      </w:pPr>
      <w:r w:rsidRPr="00353BED">
        <w:rPr>
          <w:b/>
          <w:lang w:val="en-US"/>
        </w:rPr>
        <w:t>RIS</w:t>
      </w:r>
      <w:r w:rsidR="00CF0837">
        <w:rPr>
          <w:lang w:val="en-US"/>
        </w:rPr>
        <w:t xml:space="preserve"> – Raw Interrupt Status Register</w:t>
      </w:r>
    </w:p>
    <w:p w:rsidR="00CF0837" w:rsidRPr="00CF0837" w:rsidRDefault="00CF0837" w:rsidP="00353BED">
      <w:pPr>
        <w:pStyle w:val="Prrafodelista"/>
        <w:spacing w:after="360"/>
        <w:ind w:left="505"/>
        <w:contextualSpacing w:val="0"/>
        <w:jc w:val="both"/>
      </w:pPr>
      <w:r w:rsidRPr="00CF0837">
        <w:t xml:space="preserve">Registro de </w:t>
      </w:r>
      <w:r>
        <w:t>só</w:t>
      </w:r>
      <w:r w:rsidRPr="00CF0837">
        <w:t xml:space="preserve">lo lectura que permite visualizar </w:t>
      </w:r>
      <w:r>
        <w:t xml:space="preserve">en el momento de la interrupción </w:t>
      </w:r>
      <w:r w:rsidR="00353BED">
        <w:t>cuáles fueron las causas posibles (estén o no habilitadas la interrupciones para esos eventos).</w:t>
      </w:r>
    </w:p>
    <w:p w:rsidR="00E96A8C" w:rsidRPr="00353BED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b/>
          <w:lang w:val="en-US"/>
        </w:rPr>
      </w:pPr>
      <w:r w:rsidRPr="00353BED">
        <w:rPr>
          <w:b/>
          <w:lang w:val="en-US"/>
        </w:rPr>
        <w:t>MIS</w:t>
      </w:r>
    </w:p>
    <w:p w:rsidR="00353BED" w:rsidRPr="00353BED" w:rsidRDefault="00353BED" w:rsidP="00353BED">
      <w:pPr>
        <w:pStyle w:val="Prrafodelista"/>
        <w:spacing w:after="360"/>
        <w:ind w:left="502"/>
        <w:contextualSpacing w:val="0"/>
        <w:jc w:val="both"/>
      </w:pPr>
      <w:r w:rsidRPr="00CF0837">
        <w:t xml:space="preserve">Registro de </w:t>
      </w:r>
      <w:r>
        <w:t>só</w:t>
      </w:r>
      <w:r w:rsidRPr="00CF0837">
        <w:t xml:space="preserve">lo lectura que permite visualizar </w:t>
      </w:r>
      <w:r>
        <w:t>en el momento de la interrupción cuáles fueron las causas posibles (</w:t>
      </w:r>
      <w:r>
        <w:t>habiendo sido habilitadas</w:t>
      </w:r>
      <w:r>
        <w:t>)</w:t>
      </w:r>
      <w:r>
        <w:t>.</w:t>
      </w:r>
    </w:p>
    <w:p w:rsidR="00E96A8C" w:rsidRPr="00353BED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b/>
          <w:lang w:val="en-US"/>
        </w:rPr>
      </w:pPr>
      <w:r w:rsidRPr="00353BED">
        <w:rPr>
          <w:b/>
          <w:lang w:val="en-US"/>
        </w:rPr>
        <w:t>ICR</w:t>
      </w:r>
    </w:p>
    <w:p w:rsidR="00353BED" w:rsidRPr="00353BED" w:rsidRDefault="00353BED" w:rsidP="00353BED">
      <w:pPr>
        <w:pStyle w:val="Prrafodelista"/>
        <w:spacing w:after="360"/>
        <w:ind w:left="505"/>
        <w:contextualSpacing w:val="0"/>
      </w:pPr>
      <w:r w:rsidRPr="00CF0837">
        <w:t xml:space="preserve">Registro </w:t>
      </w:r>
      <w:r>
        <w:t xml:space="preserve">que permite borrar los </w:t>
      </w:r>
      <w:proofErr w:type="spellStart"/>
      <w:r>
        <w:t>flags</w:t>
      </w:r>
      <w:proofErr w:type="spellEnd"/>
      <w:r>
        <w:t xml:space="preserve"> correspondientes a la interrupción. </w:t>
      </w:r>
    </w:p>
    <w:p w:rsidR="00E96A8C" w:rsidRPr="00353BED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b/>
          <w:lang w:val="en-US"/>
        </w:rPr>
      </w:pPr>
      <w:r w:rsidRPr="00353BED">
        <w:rPr>
          <w:b/>
          <w:lang w:val="en-US"/>
        </w:rPr>
        <w:t>DMACR</w:t>
      </w:r>
    </w:p>
    <w:p w:rsidR="00353BED" w:rsidRPr="00353BED" w:rsidRDefault="00353BED" w:rsidP="00353BED">
      <w:pPr>
        <w:pStyle w:val="Prrafodelista"/>
        <w:ind w:left="502"/>
      </w:pPr>
      <w:r w:rsidRPr="00353BED">
        <w:t>Registro para configuración de acceso directo a memoria</w:t>
      </w:r>
      <w:r>
        <w:t>.</w:t>
      </w:r>
    </w:p>
    <w:p w:rsidR="00CE2699" w:rsidRPr="00353BED" w:rsidRDefault="00CE2699" w:rsidP="00CE2699">
      <w:pPr>
        <w:ind w:left="142"/>
        <w:jc w:val="both"/>
      </w:pPr>
    </w:p>
    <w:p w:rsidR="007858D7" w:rsidRPr="00353BED" w:rsidRDefault="007858D7" w:rsidP="00AD414E">
      <w:pPr>
        <w:ind w:firstLine="142"/>
      </w:pPr>
    </w:p>
    <w:p w:rsidR="007858D7" w:rsidRPr="00353BED" w:rsidRDefault="007858D7" w:rsidP="00AD414E">
      <w:pPr>
        <w:ind w:firstLine="142"/>
      </w:pPr>
    </w:p>
    <w:sectPr w:rsidR="007858D7" w:rsidRPr="00353BED" w:rsidSect="00AD414E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93D" w:rsidRDefault="00FF393D" w:rsidP="007858D7">
      <w:pPr>
        <w:spacing w:after="0" w:line="240" w:lineRule="auto"/>
      </w:pPr>
      <w:r>
        <w:separator/>
      </w:r>
    </w:p>
  </w:endnote>
  <w:endnote w:type="continuationSeparator" w:id="0">
    <w:p w:rsidR="00FF393D" w:rsidRDefault="00FF393D" w:rsidP="0078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93D" w:rsidRDefault="00FF393D" w:rsidP="007858D7">
      <w:pPr>
        <w:spacing w:after="0" w:line="240" w:lineRule="auto"/>
      </w:pPr>
      <w:r>
        <w:separator/>
      </w:r>
    </w:p>
  </w:footnote>
  <w:footnote w:type="continuationSeparator" w:id="0">
    <w:p w:rsidR="00FF393D" w:rsidRDefault="00FF393D" w:rsidP="007858D7">
      <w:pPr>
        <w:spacing w:after="0" w:line="240" w:lineRule="auto"/>
      </w:pPr>
      <w:r>
        <w:continuationSeparator/>
      </w:r>
    </w:p>
  </w:footnote>
  <w:footnote w:id="1">
    <w:p w:rsidR="007858D7" w:rsidRDefault="007858D7">
      <w:pPr>
        <w:pStyle w:val="Textonotapie"/>
      </w:pPr>
      <w:r>
        <w:rPr>
          <w:rStyle w:val="Refdenotaalpie"/>
        </w:rPr>
        <w:footnoteRef/>
      </w:r>
      <w:r>
        <w:t xml:space="preserve"> El manual de usuario remarc</w:t>
      </w:r>
      <w:r w:rsidR="00F60052">
        <w:t>a que el módulo SPI está pensado como periférico heredado, y que se pretende se use el SSP como alternativa.</w:t>
      </w:r>
    </w:p>
  </w:footnote>
  <w:footnote w:id="2">
    <w:p w:rsidR="00F60052" w:rsidRDefault="00F60052">
      <w:pPr>
        <w:pStyle w:val="Textonotapie"/>
      </w:pPr>
      <w:r>
        <w:rPr>
          <w:rStyle w:val="Refdenotaalpie"/>
        </w:rPr>
        <w:footnoteRef/>
      </w:r>
      <w:r>
        <w:t xml:space="preserve"> Ver anexo: Protocolo de Comunicación</w:t>
      </w:r>
      <w:r w:rsidR="00D225E0">
        <w:t xml:space="preserve"> SPI.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33A2"/>
    <w:multiLevelType w:val="hybridMultilevel"/>
    <w:tmpl w:val="1438E9B6"/>
    <w:lvl w:ilvl="0" w:tplc="2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4C9062A6"/>
    <w:multiLevelType w:val="hybridMultilevel"/>
    <w:tmpl w:val="32CE5546"/>
    <w:lvl w:ilvl="0" w:tplc="F04E887A">
      <w:numFmt w:val="bullet"/>
      <w:lvlText w:val="-"/>
      <w:lvlJc w:val="left"/>
      <w:pPr>
        <w:ind w:left="502" w:hanging="360"/>
      </w:pPr>
      <w:rPr>
        <w:rFonts w:ascii="Palatino Linotype" w:eastAsiaTheme="minorHAnsi" w:hAnsi="Palatino Linotype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D7"/>
    <w:rsid w:val="00353BED"/>
    <w:rsid w:val="007858D7"/>
    <w:rsid w:val="009F06AA"/>
    <w:rsid w:val="00AD414E"/>
    <w:rsid w:val="00B77528"/>
    <w:rsid w:val="00CE2699"/>
    <w:rsid w:val="00CF0837"/>
    <w:rsid w:val="00D225E0"/>
    <w:rsid w:val="00E96A8C"/>
    <w:rsid w:val="00F60052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8D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8D7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58D7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58D7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58D7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858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58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858D7"/>
    <w:rPr>
      <w:vertAlign w:val="superscript"/>
    </w:rPr>
  </w:style>
  <w:style w:type="paragraph" w:styleId="Prrafodelista">
    <w:name w:val="List Paragraph"/>
    <w:basedOn w:val="Normal"/>
    <w:uiPriority w:val="34"/>
    <w:qFormat/>
    <w:rsid w:val="00CE2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8D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8D7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58D7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58D7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58D7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858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58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858D7"/>
    <w:rPr>
      <w:vertAlign w:val="superscript"/>
    </w:rPr>
  </w:style>
  <w:style w:type="paragraph" w:styleId="Prrafodelista">
    <w:name w:val="List Paragraph"/>
    <w:basedOn w:val="Normal"/>
    <w:uiPriority w:val="34"/>
    <w:qFormat/>
    <w:rsid w:val="00CE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F91E5-15B6-431F-9898-61767151C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Cañete</dc:creator>
  <cp:lastModifiedBy>Federico Cañete</cp:lastModifiedBy>
  <cp:revision>5</cp:revision>
  <dcterms:created xsi:type="dcterms:W3CDTF">2017-11-02T23:03:00Z</dcterms:created>
  <dcterms:modified xsi:type="dcterms:W3CDTF">2017-11-03T02:11:00Z</dcterms:modified>
</cp:coreProperties>
</file>