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8"/>
          <w:szCs w:val="48"/>
          <w:rtl w:val="0"/>
        </w:rPr>
        <w:t xml:space="preserve">Futuras actualizaciones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 implementarán los procesos de negocios Gestionar Obras, Vender Obras y Presupuestar Obras no incluidos en la entrega actual, los cuales incluyen funcionalidades para registrar información sobre contratistas, rubros, obras, revisiones de obra, estados de avance, presupuestos, contratos, registro de ventas, pagos de clientes, cuentas bancarias, cartera de cheques.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 entrega actual, Comprar Materiales de Construcción, contará con las siguientes funcionalidades: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Un contratista podrá generar, editar y cancelar, pedidos de materiales para una obra.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El Encargado de compra de materiales de construcción podrá generar una Orden de Compra a partir de uno o más pedidos.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El Encargado de compra de materiales de construcción podrá dar de alta comprobantes del proveedor una vez que éste responda a la orden de compra.</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Chequear cuánto material de construcción se ha utilizado hasta un momento dado en una obra, comparando con el presupuesto con las órdenes de compra emitidas.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Alta, baja y modificación de Proveedores.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Manejo de precios de productos individualmente para cada Proveedor.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Alta, baja y modificación de productos.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Mientras que en entregas futuras se incluirán las siguientes funcionalidades: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 identificador de estado para cada detalle de un pedido realizado por un contratista, de esta manera se podría descomponer el pedido en varias órdenes de compra que podrían enviarse a distintos proveedores y en distinto momento.</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Una sección para actualizar los precios de los productos importando el listado desde una planilla de cálculo.</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Funcionalidad para gestionar pagos a proveedores, cuotas abonadas, controlar vencimientos de comprobantes.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Un identificador de estado para las órdenes de compra, pudiendo identificar cuáles han sido canceladas o impresas y enviadas al proveedor.</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Una sección para gestionar notas de crédito.</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Permitir que el Encargado de comprar materiales de construcción pueda generar un pedido.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