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8zp96m3weqoe" w:id="0"/>
      <w:bookmarkEnd w:id="0"/>
      <w:r w:rsidDel="00000000" w:rsidR="00000000" w:rsidRPr="00000000">
        <w:rPr>
          <w:rtl w:val="0"/>
        </w:rPr>
        <w:t xml:space="preserve">Blueprint de Arquitectura y Especificaciones Técnicas: Ecosistema Gastronómico de Ultra-Alto Rendimiento #### 1. Umbrales de Rendimiento y Core Web Vitals 2026 En el ecosistema digital de 2026, el rendimiento no es una preferencia técnica, es el motor de la rentabilidad. La optimización implacable de los Core Web Vitals (CWV) correlaciona directamente con un incremento de entre el 8% y el 35% en los ingresos, mejorando radicalmente la tasa de conversión y la retención del usuario. Para un negocio gastronómico, un retraso de milisegundos en la carga del menú o del sistema de reservas es sinónimo de una mesa vacía. Como estándar de ingeniería para 2026, todo desarrollo debe cumplir con los siguientes umbrales en el percentil 75 de datos reales (CrUX): | Métrica | Objetivo "Good" (P75) | Definición Técnica y Relevancia | | ------ | ------ | ------ | | </w:t>
      </w:r>
      <w:r w:rsidDel="00000000" w:rsidR="00000000" w:rsidRPr="00000000">
        <w:rPr>
          <w:b w:val="1"/>
          <w:bCs w:val="1"/>
          <w:rtl w:val="0"/>
        </w:rPr>
        <w:t xml:space="preserve">LCP</w:t>
      </w:r>
      <w:r w:rsidDel="00000000" w:rsidR="00000000" w:rsidRPr="00000000">
        <w:rPr>
          <w:rFonts w:ascii="Arial Unicode MS" w:cs="Arial Unicode MS" w:eastAsia="Arial Unicode MS" w:hAnsi="Arial Unicode MS"/>
          <w:rtl w:val="0"/>
        </w:rPr>
        <w:t xml:space="preserve"> (Largest Contentful Paint) | ≤ 2.5s | Carga del elemento visual primario (Hero image/video). | | </w:t>
      </w:r>
      <w:r w:rsidDel="00000000" w:rsidR="00000000" w:rsidRPr="00000000">
        <w:rPr>
          <w:b w:val="1"/>
          <w:bCs w:val="1"/>
          <w:rtl w:val="0"/>
        </w:rPr>
        <w:t xml:space="preserve">INP</w:t>
      </w:r>
      <w:r w:rsidDel="00000000" w:rsidR="00000000" w:rsidRPr="00000000">
        <w:rPr>
          <w:rFonts w:ascii="Arial Unicode MS" w:cs="Arial Unicode MS" w:eastAsia="Arial Unicode MS" w:hAnsi="Arial Unicode MS"/>
          <w:rtl w:val="0"/>
        </w:rPr>
        <w:t xml:space="preserve"> (Interaction to Next Paint) | ≤ 200ms | </w:t>
      </w:r>
      <w:r w:rsidDel="00000000" w:rsidR="00000000" w:rsidRPr="00000000">
        <w:rPr>
          <w:b w:val="1"/>
          <w:bCs w:val="1"/>
          <w:rtl w:val="0"/>
        </w:rPr>
        <w:t xml:space="preserve">Métrica mandatoria.</w:t>
      </w:r>
      <w:r w:rsidDel="00000000" w:rsidR="00000000" w:rsidRPr="00000000">
        <w:rPr>
          <w:rtl w:val="0"/>
        </w:rPr>
        <w:t xml:space="preserve"> Sustituye definitivamente al FID. | | </w:t>
      </w:r>
      <w:r w:rsidDel="00000000" w:rsidR="00000000" w:rsidRPr="00000000">
        <w:rPr>
          <w:b w:val="1"/>
          <w:bCs w:val="1"/>
          <w:rtl w:val="0"/>
        </w:rPr>
        <w:t xml:space="preserve">CLS</w:t>
      </w:r>
      <w:r w:rsidDel="00000000" w:rsidR="00000000" w:rsidRPr="00000000">
        <w:rPr>
          <w:rFonts w:ascii="Arial Unicode MS" w:cs="Arial Unicode MS" w:eastAsia="Arial Unicode MS" w:hAnsi="Arial Unicode MS"/>
          <w:rtl w:val="0"/>
        </w:rPr>
        <w:t xml:space="preserve"> (Cumulative Layout Shift) | ≤ 0.1 | Estabilidad visual; prohibición de saltos de contenido. | | </w:t>
      </w:r>
      <w:r w:rsidDel="00000000" w:rsidR="00000000" w:rsidRPr="00000000">
        <w:rPr>
          <w:b w:val="1"/>
          <w:bCs w:val="1"/>
          <w:rtl w:val="0"/>
        </w:rPr>
        <w:t xml:space="preserve">FCP</w:t>
      </w:r>
      <w:r w:rsidDel="00000000" w:rsidR="00000000" w:rsidRPr="00000000">
        <w:rPr>
          <w:rFonts w:ascii="Arial Unicode MS" w:cs="Arial Unicode MS" w:eastAsia="Arial Unicode MS" w:hAnsi="Arial Unicode MS"/>
          <w:rtl w:val="0"/>
        </w:rPr>
        <w:t xml:space="preserve"> (First Contentful Paint) | ≤ 1.8s | Primer indicio de renderizado de contenido. | | </w:t>
      </w:r>
      <w:r w:rsidDel="00000000" w:rsidR="00000000" w:rsidRPr="00000000">
        <w:rPr>
          <w:b w:val="1"/>
          <w:bCs w:val="1"/>
          <w:rtl w:val="0"/>
        </w:rPr>
        <w:t xml:space="preserve">TTFB</w:t>
      </w:r>
      <w:r w:rsidDel="00000000" w:rsidR="00000000" w:rsidRPr="00000000">
        <w:rPr>
          <w:rFonts w:ascii="Arial Unicode MS" w:cs="Arial Unicode MS" w:eastAsia="Arial Unicode MS" w:hAnsi="Arial Unicode MS"/>
          <w:rtl w:val="0"/>
        </w:rPr>
        <w:t xml:space="preserve"> (Time to First Byte) | ≤ 800ms | Latencia de respuesta del servidor y red. | ##### Reglas de Ejecución Técnica Obligatorias 1. </w:t>
      </w:r>
      <w:r w:rsidDel="00000000" w:rsidR="00000000" w:rsidRPr="00000000">
        <w:rPr>
          <w:b w:val="1"/>
          <w:bCs w:val="1"/>
          <w:rtl w:val="0"/>
        </w:rPr>
        <w:t xml:space="preserve">Priorización Crítica del LCP:</w:t>
      </w:r>
      <w:r w:rsidDel="00000000" w:rsidR="00000000" w:rsidRPr="00000000">
        <w:rPr>
          <w:rtl w:val="0"/>
        </w:rPr>
        <w:t xml:space="preserve"> Es mandatorio el uso de fetchpriority="high" junto con para el recurso LCP. </w:t>
      </w:r>
      <w:r w:rsidDel="00000000" w:rsidR="00000000" w:rsidRPr="00000000">
        <w:rPr>
          <w:b w:val="1"/>
          <w:bCs w:val="1"/>
          <w:rtl w:val="0"/>
        </w:rPr>
        <w:t xml:space="preserve">Queda estrictamente prohibido</w:t>
      </w:r>
      <w:r w:rsidDel="00000000" w:rsidR="00000000" w:rsidRPr="00000000">
        <w:rPr>
          <w:rtl w:val="0"/>
        </w:rPr>
        <w:t xml:space="preserve"> el uso de loading="lazy" en el elemento LCP (imagen hero o video); debe configurarse como loading="eager" para evitar el retraso del descubrimiento del recurso por parte del navegador. 2. </w:t>
      </w:r>
      <w:r w:rsidDel="00000000" w:rsidR="00000000" w:rsidRPr="00000000">
        <w:rPr>
          <w:b w:val="1"/>
          <w:bCs w:val="1"/>
          <w:rtl w:val="0"/>
        </w:rPr>
        <w:t xml:space="preserve">Estabilidad Visual (Zero CLS):</w:t>
      </w:r>
      <w:r w:rsidDel="00000000" w:rsidR="00000000" w:rsidRPr="00000000">
        <w:rPr>
          <w:rtl w:val="0"/>
        </w:rPr>
        <w:t xml:space="preserve"> Se prohíbe la inserción de imágenes o contenedores dinámicos sin atributos width y height explícitos. Utilice exclusivamente formatos AVIF o WebP. Para anuncios o widgets externos, reserve el espacio mediante min-height en CSS para evitar desplazamientos tras la carga. 3. </w:t>
      </w:r>
      <w:r w:rsidDel="00000000" w:rsidR="00000000" w:rsidRPr="00000000">
        <w:rPr>
          <w:b w:val="1"/>
          <w:bCs w:val="1"/>
          <w:rtl w:val="0"/>
        </w:rPr>
        <w:t xml:space="preserve">Optimización de Interactividad (INP):</w:t>
      </w:r>
      <w:r w:rsidDel="00000000" w:rsidR="00000000" w:rsidRPr="00000000">
        <w:rPr>
          <w:rtl w:val="0"/>
        </w:rPr>
        <w:t xml:space="preserve"> El seguimiento de FID queda oficialmente descartado. Para garantizar un INP &lt; 200ms, delegue tareas pesadas a </w:t>
      </w:r>
      <w:r w:rsidDel="00000000" w:rsidR="00000000" w:rsidRPr="00000000">
        <w:rPr>
          <w:b w:val="1"/>
          <w:bCs w:val="1"/>
          <w:rtl w:val="0"/>
        </w:rPr>
        <w:t xml:space="preserve">Web Workers</w:t>
      </w:r>
      <w:r w:rsidDel="00000000" w:rsidR="00000000" w:rsidRPr="00000000">
        <w:rPr>
          <w:rtl w:val="0"/>
        </w:rPr>
        <w:t xml:space="preserve"> . Fragmenten obligatoriamente cualquier tarea de JavaScript que supere los 50ms utilizando setTimeout(resolve, 0) o requestIdleCallback, permitiendo que el hilo principal procese interacciones sin latencia. Esta infraestructura de velocidad debe estar anclada en una estructura semántica que permita a los algoritmos de búsqueda e IA procesar la relevancia del negocio con la misma eficiencia. -------------------------------------------------------------------------------- #### 2. Arquitectura de la Información y Estructura Semántica HTML5 Una estructura HTML limpia es el cimiento de la interpretación tópica tanto para motores de búsqueda tradicionales como para sistemas de IA generativa. La jerarquía semántica no es una sugerencia estética; es la interfaz de datos que define la autoridad del establecimiento. ##### Jerarquía de Etiquetas y Mandatos de Marcado * </w:t>
      </w:r>
      <w:r w:rsidDel="00000000" w:rsidR="00000000" w:rsidRPr="00000000">
        <w:rPr>
          <w:b w:val="1"/>
          <w:bCs w:val="1"/>
          <w:rtl w:val="0"/>
        </w:rPr>
        <w:t xml:space="preserve">Jerarquía de Encabezados:</w:t>
      </w:r>
      <w:r w:rsidDel="00000000" w:rsidR="00000000" w:rsidRPr="00000000">
        <w:rPr>
          <w:rtl w:val="0"/>
        </w:rPr>
        <w:t xml:space="preserve"> Mandato de un único</w:t>
      </w:r>
    </w:p>
    <w:p w:rsidR="00000000" w:rsidDel="00000000" w:rsidP="00000000" w:rsidRDefault="00000000" w:rsidRPr="00000000" w14:paraId="00000002">
      <w:pPr>
        <w:pStyle w:val="Heading1"/>
        <w:rPr/>
      </w:pPr>
      <w:bookmarkStart w:colFirst="0" w:colLast="0" w:name="_krmvlw4vrvh2" w:id="1"/>
      <w:bookmarkEnd w:id="1"/>
      <w:r w:rsidDel="00000000" w:rsidR="00000000" w:rsidRPr="00000000">
        <w:rPr>
          <w:rtl w:val="0"/>
        </w:rPr>
        <w:t xml:space="preserve">por documento. </w:t>
      </w:r>
      <w:r w:rsidDel="00000000" w:rsidR="00000000" w:rsidRPr="00000000">
        <w:rPr>
          <w:b w:val="1"/>
          <w:bCs w:val="1"/>
          <w:rtl w:val="0"/>
        </w:rPr>
        <w:t xml:space="preserve">Queda estrictamente prohibido</w:t>
      </w:r>
      <w:r w:rsidDel="00000000" w:rsidR="00000000" w:rsidRPr="00000000">
        <w:rPr>
          <w:rtl w:val="0"/>
        </w:rPr>
        <w:t xml:space="preserve"> saltar niveles (ej. pasar de</w:t>
      </w:r>
    </w:p>
    <w:p w:rsidR="00000000" w:rsidDel="00000000" w:rsidP="00000000" w:rsidRDefault="00000000" w:rsidRPr="00000000" w14:paraId="00000003">
      <w:pPr>
        <w:pStyle w:val="Heading2"/>
        <w:rPr/>
      </w:pPr>
      <w:bookmarkStart w:colFirst="0" w:colLast="0" w:name="_8a4jtk4g2axr" w:id="2"/>
      <w:bookmarkEnd w:id="2"/>
      <w:r w:rsidDel="00000000" w:rsidR="00000000" w:rsidRPr="00000000">
        <w:rPr>
          <w:rtl w:val="0"/>
        </w:rPr>
        <w:t xml:space="preserve">a</w:t>
      </w:r>
    </w:p>
    <w:p w:rsidR="00000000" w:rsidDel="00000000" w:rsidP="00000000" w:rsidRDefault="00000000" w:rsidRPr="00000000" w14:paraId="00000004">
      <w:pPr>
        <w:pStyle w:val="Heading4"/>
        <w:rPr/>
      </w:pPr>
      <w:bookmarkStart w:colFirst="0" w:colLast="0" w:name="_nm9vtmmx4ow2" w:id="3"/>
      <w:bookmarkEnd w:id="3"/>
      <w:r w:rsidDel="00000000" w:rsidR="00000000" w:rsidRPr="00000000">
        <w:rPr>
          <w:rtl w:val="0"/>
        </w:rPr>
        <w:t xml:space="preserve">). Asimismo, se prohíbe el uso de clases CSS para imitar encabezados visuales (ej. un</w:t>
      </w:r>
    </w:p>
    <w:p w:rsidR="00000000" w:rsidDel="00000000" w:rsidP="00000000" w:rsidRDefault="00000000" w:rsidRPr="00000000" w14:paraId="00000005">
      <w:pPr>
        <w:rPr/>
      </w:pPr>
      <w:r w:rsidDel="00000000" w:rsidR="00000000" w:rsidRPr="00000000">
        <w:rPr>
          <w:rtl w:val="0"/>
        </w:rPr>
        <w:t xml:space="preserve">en lugar de un</w:t>
      </w:r>
    </w:p>
    <w:p w:rsidR="00000000" w:rsidDel="00000000" w:rsidP="00000000" w:rsidRDefault="00000000" w:rsidRPr="00000000" w14:paraId="00000006">
      <w:pPr>
        <w:pStyle w:val="Heading1"/>
        <w:rPr/>
      </w:pPr>
      <w:bookmarkStart w:colFirst="0" w:colLast="0" w:name="_kfs7wzksk8yq" w:id="4"/>
      <w:bookmarkEnd w:id="4"/>
      <w:r w:rsidDel="00000000" w:rsidR="00000000" w:rsidRPr="00000000">
        <w:rPr>
          <w:rtl w:val="0"/>
        </w:rPr>
        <w:t xml:space="preserve">real); la semántica debe ser nativa. * </w:t>
      </w:r>
      <w:r w:rsidDel="00000000" w:rsidR="00000000" w:rsidRPr="00000000">
        <w:rPr>
          <w:b w:val="1"/>
          <w:bCs w:val="1"/>
          <w:rtl w:val="0"/>
        </w:rPr>
        <w:t xml:space="preserve">ARIA Landmarks:</w:t>
      </w:r>
      <w:r w:rsidDel="00000000" w:rsidR="00000000" w:rsidRPr="00000000">
        <w:rPr>
          <w:rtl w:val="0"/>
        </w:rPr>
        <w:t xml:space="preserve"> Es obligatorio definir el layout mediante hitos estructurales de HTML5: (branding), (navegación), (contenido único), (complementario) y (legal/contacto). * </w:t>
      </w:r>
      <w:r w:rsidDel="00000000" w:rsidR="00000000" w:rsidRPr="00000000">
        <w:rPr>
          <w:b w:val="1"/>
          <w:bCs w:val="1"/>
          <w:rtl w:val="0"/>
        </w:rPr>
        <w:t xml:space="preserve">Estrategia de URLs y Autoridad:</w:t>
      </w:r>
      <w:r w:rsidDel="00000000" w:rsidR="00000000" w:rsidRPr="00000000">
        <w:rPr>
          <w:rtl w:val="0"/>
        </w:rPr>
        <w:t xml:space="preserve"> Los slugs deben ser semánticos, breves y carecer de parámetros innecesarios. Implemente rel="canonical" de forma mandatoria en todas las URLs para consolidar la autoridad y evitar la canibalización de contenido. El enlazado interno debe auditarse para eliminar páginas huérfanas, garantizando que el "link juice" fluya hacia las secciones críticas: Menú y Reservas. Esta solidez estructural es el requisito previo indispensable para el despliegue de datos estructurados de alta precisión. -------------------------------------------------------------------------------- #### 3. Blueprint Avanzado de Schema Markup (JSON-LD) El Schema Markup es la clave para dominar los </w:t>
      </w:r>
      <w:r w:rsidDel="00000000" w:rsidR="00000000" w:rsidRPr="00000000">
        <w:rPr>
          <w:b w:val="1"/>
          <w:bCs w:val="1"/>
          <w:rtl w:val="0"/>
        </w:rPr>
        <w:t xml:space="preserve">Rich Snippets</w:t>
      </w:r>
      <w:r w:rsidDel="00000000" w:rsidR="00000000" w:rsidRPr="00000000">
        <w:rPr>
          <w:rtl w:val="0"/>
        </w:rPr>
        <w:t xml:space="preserve"> en las SERPs gastronómicas. La implementación correcta garantiza la visibilidad de calificaciones, rangos de precios y horarios, lo que dispara el CTR visual sobre la competencia. ##### Implementación Técnica de Desambiguación Para 2026, no basta con un marcado básico. Es mandatorio utilizar la propiedad @id para desambiguar la entidad y conectarla al Knowledge Graph. En estructuras multi-local, use parentOrganization para vincular sucursales con la entidad corporativa principal. json { "@context": "https://schema.org", "@type": "Restaurant", "@id": "https://www.tu-restaurante.uy/#restaurant", "name": "Nombre del Establecimiento", "parentOrganization": { "@type": "Organization", "name": "Grupo Gastronómico Global", "@id": "https://www.grupo-gastronomico.uy/#corp" }, "image": "https://www.tu-restaurante.uy/images/hero-lcp.avif", "priceRange": "$15-30", "servesCuisine": "Cocina Autóctona Uruguaya", "address": { "@type": "PostalAddress", "streetAddress": "Av. 18 de Julio 1234", "addressLocality": "Montevideo", "addressCountry": "UY" }, "geo": { "@type": "GeoCoordinates", "latitude": -34.90642, "longitude": -56.18523 }, "openingHoursSpecification": [ { "@type": "OpeningHoursSpecification", "dayOfWeek": ["Monday", "Tuesday", "Wednesday", "Thursday", "Friday", "Saturday", "Sunday"], "opens": "11:30:00", "closes": "23:30:00" } ], "menu": "https://www.tu-restaurante.uy/menu-accesible" }  ##### Directrices de Precisión * </w:t>
      </w:r>
      <w:r w:rsidDel="00000000" w:rsidR="00000000" w:rsidRPr="00000000">
        <w:rPr>
          <w:b w:val="1"/>
          <w:bCs w:val="1"/>
          <w:rtl w:val="0"/>
        </w:rPr>
        <w:t xml:space="preserve">Coordenadas Geo:</w:t>
      </w:r>
      <w:r w:rsidDel="00000000" w:rsidR="00000000" w:rsidRPr="00000000">
        <w:rPr>
          <w:rtl w:val="0"/>
        </w:rPr>
        <w:t xml:space="preserve"> Las propiedades latitude y longitude deben tener exactamente </w:t>
      </w:r>
      <w:r w:rsidDel="00000000" w:rsidR="00000000" w:rsidRPr="00000000">
        <w:rPr>
          <w:b w:val="1"/>
          <w:bCs w:val="1"/>
          <w:rtl w:val="0"/>
        </w:rPr>
        <w:t xml:space="preserve">5 decimales</w:t>
      </w:r>
      <w:r w:rsidDel="00000000" w:rsidR="00000000" w:rsidRPr="00000000">
        <w:rPr>
          <w:rtl w:val="0"/>
        </w:rPr>
        <w:t xml:space="preserve"> . Esta precisión garantiza una ubicación exacta dentro de un radio de ~1 metro, crítica para aplicaciones de navegación. * </w:t>
      </w:r>
      <w:r w:rsidDel="00000000" w:rsidR="00000000" w:rsidRPr="00000000">
        <w:rPr>
          <w:b w:val="1"/>
          <w:bCs w:val="1"/>
          <w:rtl w:val="0"/>
        </w:rPr>
        <w:t xml:space="preserve">PriceRange:</w:t>
      </w:r>
      <w:r w:rsidDel="00000000" w:rsidR="00000000" w:rsidRPr="00000000">
        <w:rPr>
          <w:rtl w:val="0"/>
        </w:rPr>
        <w:t xml:space="preserve"> No use solo símbolos. Defina el rango numérico (ej. "$10-20") para mejorar la relevancia en búsquedas filtradas por presupuesto. Este marcado debe ser idéntico y legible en todos los dispositivos, reforzando la estrategia de indexación Mobile-First. -------------------------------------------------------------------------------- #### 4. Mobile-First Indexing de Tolerancia Cero El entorno móvil es el rastreador primario y el punto de contacto principal. Cualquier fricción en la interfaz móvil resulta en la desindexación de facto de las oportunidades de conversión. ##### Estándares Imperativos de Interfaz (UI) * </w:t>
      </w:r>
      <w:r w:rsidDel="00000000" w:rsidR="00000000" w:rsidRPr="00000000">
        <w:rPr>
          <w:b w:val="1"/>
          <w:bCs w:val="1"/>
          <w:rtl w:val="0"/>
        </w:rPr>
        <w:t xml:space="preserve">Touch Targets:</w:t>
      </w:r>
      <w:r w:rsidDel="00000000" w:rsidR="00000000" w:rsidRPr="00000000">
        <w:rPr>
          <w:rtl w:val="0"/>
        </w:rPr>
        <w:t xml:space="preserve"> Todo elemento interactivo debe tener un área mínima de </w:t>
      </w:r>
      <w:r w:rsidDel="00000000" w:rsidR="00000000" w:rsidRPr="00000000">
        <w:rPr>
          <w:b w:val="1"/>
          <w:bCs w:val="1"/>
          <w:rtl w:val="0"/>
        </w:rPr>
        <w:t xml:space="preserve">48x48 píxeles</w:t>
      </w:r>
      <w:r w:rsidDel="00000000" w:rsidR="00000000" w:rsidRPr="00000000">
        <w:rPr>
          <w:rtl w:val="0"/>
        </w:rPr>
        <w:t xml:space="preserve"> . El espacio entre objetivos debe prevenir clics accidentales, un error crítico de usabilidad en dispositivos táctiles. * </w:t>
      </w:r>
      <w:r w:rsidDel="00000000" w:rsidR="00000000" w:rsidRPr="00000000">
        <w:rPr>
          <w:b w:val="1"/>
          <w:bCs w:val="1"/>
          <w:rtl w:val="0"/>
        </w:rPr>
        <w:t xml:space="preserve">Legibilidad y Viewport:</w:t>
      </w:r>
      <w:r w:rsidDel="00000000" w:rsidR="00000000" w:rsidRPr="00000000">
        <w:rPr>
          <w:rtl w:val="0"/>
        </w:rPr>
        <w:t xml:space="preserve"> Se prohíbe el escalado manual (zoom horizontal). Las fuentes deben configurarse entre </w:t>
      </w:r>
      <w:r w:rsidDel="00000000" w:rsidR="00000000" w:rsidRPr="00000000">
        <w:rPr>
          <w:b w:val="1"/>
          <w:bCs w:val="1"/>
          <w:rtl w:val="0"/>
        </w:rPr>
        <w:t xml:space="preserve">16 y 20 puntos</w:t>
      </w:r>
      <w:r w:rsidDel="00000000" w:rsidR="00000000" w:rsidRPr="00000000">
        <w:rPr>
          <w:rtl w:val="0"/>
        </w:rPr>
        <w:t xml:space="preserve"> (macrotipos) para garantizar la lectura sin esfuerzo. ##### Optimización del Main Thread El JavaScript de terceros (chatbots, píxeles de rastreo) no debe comprometer la interactividad. * </w:t>
      </w:r>
      <w:r w:rsidDel="00000000" w:rsidR="00000000" w:rsidRPr="00000000">
        <w:rPr>
          <w:b w:val="1"/>
          <w:bCs w:val="1"/>
          <w:rtl w:val="0"/>
        </w:rPr>
        <w:t xml:space="preserve">Mandato:</w:t>
      </w:r>
      <w:r w:rsidDel="00000000" w:rsidR="00000000" w:rsidRPr="00000000">
        <w:rPr>
          <w:rtl w:val="0"/>
        </w:rPr>
        <w:t xml:space="preserve"> Implemente </w:t>
      </w:r>
      <w:r w:rsidDel="00000000" w:rsidR="00000000" w:rsidRPr="00000000">
        <w:rPr>
          <w:b w:val="1"/>
          <w:bCs w:val="1"/>
          <w:rtl w:val="0"/>
        </w:rPr>
        <w:t xml:space="preserve">Partytown</w:t>
      </w:r>
      <w:r w:rsidDel="00000000" w:rsidR="00000000" w:rsidRPr="00000000">
        <w:rPr>
          <w:rtl w:val="0"/>
        </w:rPr>
        <w:t xml:space="preserve"> para desplazar la ejecución de scripts de terceros a Web Workers. * </w:t>
      </w:r>
      <w:r w:rsidDel="00000000" w:rsidR="00000000" w:rsidRPr="00000000">
        <w:rPr>
          <w:b w:val="1"/>
          <w:bCs w:val="1"/>
          <w:rtl w:val="0"/>
        </w:rPr>
        <w:t xml:space="preserve">Carga diferida:</w:t>
      </w:r>
      <w:r w:rsidDel="00000000" w:rsidR="00000000" w:rsidRPr="00000000">
        <w:rPr>
          <w:rtl w:val="0"/>
        </w:rPr>
        <w:t xml:space="preserve"> Use defer sistemáticamente en scripts no críticos. La optimización del hilo principal no solo mejora el rendimiento técnico, sino que reduce la carga cognitiva para usuarios con discapacidades, sirviendo como puente hacia la accesibilidad universal. -------------------------------------------------------------------------------- #### 5. Accesibilidad Digital y Experiencia Inclusiva La accesibilidad es un imperativo ético y legal bajo la </w:t>
      </w:r>
      <w:r w:rsidDel="00000000" w:rsidR="00000000" w:rsidRPr="00000000">
        <w:rPr>
          <w:b w:val="1"/>
          <w:bCs w:val="1"/>
          <w:rtl w:val="0"/>
        </w:rPr>
        <w:t xml:space="preserve">Ley N.º 18.651</w:t>
      </w:r>
      <w:r w:rsidDel="00000000" w:rsidR="00000000" w:rsidRPr="00000000">
        <w:rPr>
          <w:rtl w:val="0"/>
        </w:rPr>
        <w:t xml:space="preserve"> en Uruguay. Con más de </w:t>
      </w:r>
      <w:r w:rsidDel="00000000" w:rsidR="00000000" w:rsidRPr="00000000">
        <w:rPr>
          <w:b w:val="1"/>
          <w:bCs w:val="1"/>
          <w:rtl w:val="0"/>
        </w:rPr>
        <w:t xml:space="preserve">800,000 personas en Uruguay</w:t>
      </w:r>
      <w:r w:rsidDel="00000000" w:rsidR="00000000" w:rsidRPr="00000000">
        <w:rPr>
          <w:rtl w:val="0"/>
        </w:rPr>
        <w:t xml:space="preserve"> identificadas con alguna discapacidad (y el 15% de la población mundial), la exclusión digital es una negligencia financiera y social. ##### Directrices para el Menú y Entorno Digital * </w:t>
      </w:r>
      <w:r w:rsidDel="00000000" w:rsidR="00000000" w:rsidRPr="00000000">
        <w:rPr>
          <w:b w:val="1"/>
          <w:bCs w:val="1"/>
          <w:rtl w:val="0"/>
        </w:rPr>
        <w:t xml:space="preserve">Prohibición de PDF de Imagen:</w:t>
      </w:r>
      <w:r w:rsidDel="00000000" w:rsidR="00000000" w:rsidRPr="00000000">
        <w:rPr>
          <w:rtl w:val="0"/>
        </w:rPr>
        <w:t xml:space="preserve"> Quedan terminantemente prohibidos los menús que consistan en fotos de la carta o PDFs escaneados. El menú debe ser </w:t>
      </w:r>
      <w:r w:rsidDel="00000000" w:rsidR="00000000" w:rsidRPr="00000000">
        <w:rPr>
          <w:b w:val="1"/>
          <w:bCs w:val="1"/>
          <w:rtl w:val="0"/>
        </w:rPr>
        <w:t xml:space="preserve">HTML accesible</w:t>
      </w:r>
      <w:r w:rsidDel="00000000" w:rsidR="00000000" w:rsidRPr="00000000">
        <w:rPr>
          <w:rtl w:val="0"/>
        </w:rPr>
        <w:t xml:space="preserve"> o un PDF etiquetado (Tagged PDF) compatible con lectores de pantalla (NVDA/TalkBack). * </w:t>
      </w:r>
      <w:r w:rsidDel="00000000" w:rsidR="00000000" w:rsidRPr="00000000">
        <w:rPr>
          <w:b w:val="1"/>
          <w:bCs w:val="1"/>
          <w:rtl w:val="0"/>
        </w:rPr>
        <w:t xml:space="preserve">Tecnologías de Navegación:</w:t>
      </w:r>
      <w:r w:rsidDel="00000000" w:rsidR="00000000" w:rsidRPr="00000000">
        <w:rPr>
          <w:rtl w:val="0"/>
        </w:rPr>
        <w:t xml:space="preserve"> Es obligatorio implementar soluciones de vanguardia como </w:t>
      </w:r>
      <w:r w:rsidDel="00000000" w:rsidR="00000000" w:rsidRPr="00000000">
        <w:rPr>
          <w:b w:val="1"/>
          <w:bCs w:val="1"/>
          <w:rtl w:val="0"/>
        </w:rPr>
        <w:t xml:space="preserve">NaviLens</w:t>
      </w:r>
      <w:r w:rsidDel="00000000" w:rsidR="00000000" w:rsidRPr="00000000">
        <w:rPr>
          <w:rtl w:val="0"/>
        </w:rPr>
        <w:t xml:space="preserve"> (códigos QR de largo alcance para personas ciegas) y </w:t>
      </w:r>
      <w:r w:rsidDel="00000000" w:rsidR="00000000" w:rsidRPr="00000000">
        <w:rPr>
          <w:b w:val="1"/>
          <w:bCs w:val="1"/>
          <w:rtl w:val="0"/>
        </w:rPr>
        <w:t xml:space="preserve">Beepcons</w:t>
      </w:r>
      <w:r w:rsidDel="00000000" w:rsidR="00000000" w:rsidRPr="00000000">
        <w:rPr>
          <w:rtl w:val="0"/>
        </w:rPr>
        <w:t xml:space="preserve"> (balizas de orientación por bluetooth), siguiendo el estándar de </w:t>
      </w:r>
      <w:r w:rsidDel="00000000" w:rsidR="00000000" w:rsidRPr="00000000">
        <w:rPr>
          <w:b w:val="1"/>
          <w:bCs w:val="1"/>
          <w:rtl w:val="0"/>
        </w:rPr>
        <w:t xml:space="preserve">Bar Facal</w:t>
      </w:r>
      <w:r w:rsidDel="00000000" w:rsidR="00000000" w:rsidRPr="00000000">
        <w:rPr>
          <w:rtl w:val="0"/>
        </w:rPr>
        <w:t xml:space="preserve"> , el primer establecimiento en Sudamérica en alcanzar niveles internacionales de accesibilidad integral. ##### Infraestructura de Apoyo * </w:t>
      </w:r>
      <w:r w:rsidDel="00000000" w:rsidR="00000000" w:rsidRPr="00000000">
        <w:rPr>
          <w:b w:val="1"/>
          <w:bCs w:val="1"/>
          <w:rtl w:val="0"/>
        </w:rPr>
        <w:t xml:space="preserve">Bucle Magnético:</w:t>
      </w:r>
      <w:r w:rsidDel="00000000" w:rsidR="00000000" w:rsidRPr="00000000">
        <w:rPr>
          <w:rtl w:val="0"/>
        </w:rPr>
        <w:t xml:space="preserve"> Instalación mandatoria de sistemas de bucle de inducción (telebobina) en cajas y áreas de atención para usuarios con audífonos o implantes cocleares. * </w:t>
      </w:r>
      <w:r w:rsidDel="00000000" w:rsidR="00000000" w:rsidRPr="00000000">
        <w:rPr>
          <w:b w:val="1"/>
          <w:bCs w:val="1"/>
          <w:rtl w:val="0"/>
        </w:rPr>
        <w:t xml:space="preserve">Señalización Podotáctil:</w:t>
      </w:r>
      <w:r w:rsidDel="00000000" w:rsidR="00000000" w:rsidRPr="00000000">
        <w:rPr>
          <w:rtl w:val="0"/>
        </w:rPr>
        <w:t xml:space="preserve"> Coordinación del entorno físico con el digital mediante superficies táctiles en el suelo que indiquen rutas seguras hacia baños accesibles y salidas. La validación de estos estándares requiere un protocolo de auditoría continua que elimine la degradación del código con el tiempo. -------------------------------------------------------------------------------- #### 6. Stack Tecnológico, Dependencias y Protocolos de Auditoría La selección del stack debe priorizar la entrega de HTML estático o pre-renderizado. </w:t>
      </w:r>
      <w:r w:rsidDel="00000000" w:rsidR="00000000" w:rsidRPr="00000000">
        <w:rPr>
          <w:b w:val="1"/>
          <w:bCs w:val="1"/>
          <w:rtl w:val="0"/>
        </w:rPr>
        <w:t xml:space="preserve">Se prohíben frameworks monolíticos</w:t>
      </w:r>
      <w:r w:rsidDel="00000000" w:rsidR="00000000" w:rsidRPr="00000000">
        <w:rPr>
          <w:rtl w:val="0"/>
        </w:rPr>
        <w:t xml:space="preserve"> que bloqueen el hilo principal con hidratación innecesaria. ##### Ecosistema de Alto Rendimiento Mandatorio * </w:t>
      </w:r>
      <w:r w:rsidDel="00000000" w:rsidR="00000000" w:rsidRPr="00000000">
        <w:rPr>
          <w:b w:val="1"/>
          <w:bCs w:val="1"/>
          <w:rtl w:val="0"/>
        </w:rPr>
        <w:t xml:space="preserve">Frameworks:</w:t>
      </w:r>
      <w:r w:rsidDel="00000000" w:rsidR="00000000" w:rsidRPr="00000000">
        <w:rPr>
          <w:rtl w:val="0"/>
        </w:rPr>
        <w:t xml:space="preserve"> Restringido a </w:t>
      </w:r>
      <w:r w:rsidDel="00000000" w:rsidR="00000000" w:rsidRPr="00000000">
        <w:rPr>
          <w:b w:val="1"/>
          <w:bCs w:val="1"/>
          <w:rtl w:val="0"/>
        </w:rPr>
        <w:t xml:space="preserve">Next.js</w:t>
      </w:r>
      <w:r w:rsidDel="00000000" w:rsidR="00000000" w:rsidRPr="00000000">
        <w:rPr>
          <w:rtl w:val="0"/>
        </w:rPr>
        <w:t xml:space="preserve"> (utilizando SSR/ISR para garantizar TTFB bajo) o </w:t>
      </w:r>
      <w:r w:rsidDel="00000000" w:rsidR="00000000" w:rsidRPr="00000000">
        <w:rPr>
          <w:b w:val="1"/>
          <w:bCs w:val="1"/>
          <w:rtl w:val="0"/>
        </w:rPr>
        <w:t xml:space="preserve">Astro</w:t>
      </w:r>
      <w:r w:rsidDel="00000000" w:rsidR="00000000" w:rsidRPr="00000000">
        <w:rPr>
          <w:rtl w:val="0"/>
        </w:rPr>
        <w:t xml:space="preserve"> (para islas de interactividad y eliminación de JS residual). * </w:t>
      </w:r>
      <w:r w:rsidDel="00000000" w:rsidR="00000000" w:rsidRPr="00000000">
        <w:rPr>
          <w:b w:val="1"/>
          <w:bCs w:val="1"/>
          <w:rtl w:val="0"/>
        </w:rPr>
        <w:t xml:space="preserve">Dependencias de Optimización:</w:t>
      </w:r>
      <w:r w:rsidDel="00000000" w:rsidR="00000000" w:rsidRPr="00000000">
        <w:rPr>
          <w:rtl w:val="0"/>
        </w:rPr>
        <w:t xml:space="preserve"> * </w:t>
      </w:r>
      <w:r w:rsidDel="00000000" w:rsidR="00000000" w:rsidRPr="00000000">
        <w:rPr>
          <w:b w:val="1"/>
          <w:bCs w:val="1"/>
          <w:rtl w:val="0"/>
        </w:rPr>
        <w:t xml:space="preserve">Sharp:</w:t>
      </w:r>
      <w:r w:rsidDel="00000000" w:rsidR="00000000" w:rsidRPr="00000000">
        <w:rPr>
          <w:rtl w:val="0"/>
        </w:rPr>
        <w:t xml:space="preserve"> Para procesamiento y compresión automatizada de imágenes en el pipeline de CI/CD. * </w:t>
      </w:r>
      <w:r w:rsidDel="00000000" w:rsidR="00000000" w:rsidRPr="00000000">
        <w:rPr>
          <w:b w:val="1"/>
          <w:bCs w:val="1"/>
          <w:rtl w:val="0"/>
        </w:rPr>
        <w:t xml:space="preserve">Critters o Penthouse:</w:t>
      </w:r>
      <w:r w:rsidDel="00000000" w:rsidR="00000000" w:rsidRPr="00000000">
        <w:rPr>
          <w:rtl w:val="0"/>
        </w:rPr>
        <w:t xml:space="preserve"> Para el inlining automático de CSS crítico above-the-fold, eliminando recursos que bloquean el renderizado. ##### Protocolo de Validación Continua Todo despliegue debe pasar por un riguroso proceso de validación: 1. </w:t>
      </w:r>
      <w:r w:rsidDel="00000000" w:rsidR="00000000" w:rsidRPr="00000000">
        <w:rPr>
          <w:b w:val="1"/>
          <w:bCs w:val="1"/>
          <w:rtl w:val="0"/>
        </w:rPr>
        <w:t xml:space="preserve">Lighthouse CI:</w:t>
      </w:r>
      <w:r w:rsidDel="00000000" w:rsidR="00000000" w:rsidRPr="00000000">
        <w:rPr>
          <w:rtl w:val="0"/>
        </w:rPr>
        <w:t xml:space="preserve"> Integración obligatoria en el pipeline para bloquear pull requests que reduzcan el score de rendimiento o accesibilidad por debajo de 95. 2. </w:t>
      </w:r>
      <w:r w:rsidDel="00000000" w:rsidR="00000000" w:rsidRPr="00000000">
        <w:rPr>
          <w:b w:val="1"/>
          <w:bCs w:val="1"/>
          <w:rtl w:val="0"/>
        </w:rPr>
        <w:t xml:space="preserve">Schema Markup Validator:</w:t>
      </w:r>
      <w:r w:rsidDel="00000000" w:rsidR="00000000" w:rsidRPr="00000000">
        <w:rPr>
          <w:rtl w:val="0"/>
        </w:rPr>
        <w:t xml:space="preserve"> Verificación diaria de la salud de los datos estructurados y la persistencia del @id. 3. </w:t>
      </w:r>
      <w:r w:rsidDel="00000000" w:rsidR="00000000" w:rsidRPr="00000000">
        <w:rPr>
          <w:b w:val="1"/>
          <w:bCs w:val="1"/>
          <w:rtl w:val="0"/>
        </w:rPr>
        <w:t xml:space="preserve">Chrome DevTools:</w:t>
      </w:r>
      <w:r w:rsidDel="00000000" w:rsidR="00000000" w:rsidRPr="00000000">
        <w:rPr>
          <w:rtl w:val="0"/>
        </w:rPr>
        <w:t xml:space="preserve"> Perfilado de memoria y análisis de cascada de red para identificar "Long Tasks" que afecten el INP. Este blueprint constituye la especificación técnica final e innegociable para la construcción de ecosistemas gastronómicos líderes, garantizando visibilidad, conversión y accesibilidad total en 2026.</w:t>
      </w:r>
    </w:p>
    <w:p w:rsidR="00000000" w:rsidDel="00000000" w:rsidP="00000000" w:rsidRDefault="00000000" w:rsidRPr="00000000" w14:paraId="0000000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