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Federico Lopez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Observations or insights about the data: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All but one drug regimens were conducted with 25 mice, this leads us to believe that we will have consistent results between each drug regimen, yet I believe that more mice should have been used to get more reliable results.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Our pie graphs lead us to believe that all drug regimens might have been conducted 50% male and 50% female mouse, yet to confirm this information we should make individual pie charts for each drug regimen's sex percentage to find out if the data could have been unreliable due to the fact that maybe some drugs work better on females than males or vice versa.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On our individual mouse line plot we can infer that the treatment is decreasing the tumor size.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On our correlation scatter plot, we can notice that when the weight of a mouse gets higher, the average tumor volume also increases. I do not have enough information on these data points to state a conclusion because I do not know when the mice were weighed. If the mice were weighed before the treatments and also every mouse started at the same tumor size. Then I would conclude that the lighter the mouse is, the more likely that Capomulin is going to work for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