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1B2A4A"/>
          <w:sz w:val="72"/>
          <w:szCs w:val="72"/>
        </w:rPr>
        <w:t xml:space="preserve">GUÍA DE FUNDAMENTOS</w:t>
      </w:r>
    </w:p>
    <w:p>
      <w:pPr>
        <w:pBdr>
          <w:bottom w:val="single" w:color="2E5FA3" w:sz="12" w:space="8"/>
        </w:pBdr>
        <w:spacing w:before="120" w:after="120"/>
        <w:jc w:val="center"/>
      </w:pPr>
      <w:r>
        <w:rPr>
          <w:rFonts w:ascii="Arial" w:cs="Arial" w:eastAsia="Arial" w:hAnsi="Arial"/>
          <w:color w:val="2E5FA3"/>
          <w:sz w:val="34"/>
          <w:szCs w:val="34"/>
        </w:rPr>
        <w:t xml:space="preserve">SEC EDGAR Pipeline — Versión 4.0</w:t>
      </w:r>
    </w:p>
    <w:p>
      <w:pPr>
        <w:spacing w:before="0" w:after="0"/>
      </w:pPr>
      <w:r>
        <w:t xml:space="preserve"/>
      </w:r>
    </w:p>
    <w:p>
      <w:pPr>
        <w:spacing w:before="0" w:after="0"/>
      </w:pPr>
      <w:r>
        <w:t xml:space="preserve"/>
      </w:r>
    </w:p>
    <w:p>
      <w:pPr>
        <w:spacing w:before="80" w:after="80"/>
        <w:jc w:val="center"/>
      </w:pPr>
      <w:r>
        <w:rPr>
          <w:rFonts w:ascii="Arial" w:cs="Arial" w:eastAsia="Arial" w:hAnsi="Arial"/>
          <w:i/>
          <w:iCs/>
          <w:color w:val="94A3B8"/>
          <w:sz w:val="26"/>
          <w:szCs w:val="26"/>
        </w:rPr>
        <w:t xml:space="preserve">DCF Probabilístico por Familias de Escenarios</w:t>
      </w:r>
    </w:p>
    <w:p>
      <w:pPr>
        <w:spacing w:before="0" w:after="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1. Arquitectura</w:t>
            </w:r>
          </w:p>
          <w:p>
            <w:pPr>
              <w:spacing w:before="0" w:after="0"/>
              <w:jc w:val="center"/>
            </w:pPr>
            <w:r>
              <w:rPr>
                <w:rFonts w:ascii="Arial" w:cs="Arial" w:eastAsia="Arial" w:hAnsi="Arial"/>
                <w:color w:val="0F172A"/>
                <w:sz w:val="18"/>
                <w:szCs w:val="18"/>
              </w:rPr>
              <w:t xml:space="preserve">Pipeline completo de 9 módulos</w:t>
            </w:r>
          </w:p>
        </w:tc>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2. SEC &amp; XBRL</w:t>
            </w:r>
          </w:p>
          <w:p>
            <w:pPr>
              <w:spacing w:before="0" w:after="0"/>
              <w:jc w:val="center"/>
            </w:pPr>
            <w:r>
              <w:rPr>
                <w:rFonts w:ascii="Arial" w:cs="Arial" w:eastAsia="Arial" w:hAnsi="Arial"/>
                <w:color w:val="0F172A"/>
                <w:sz w:val="18"/>
                <w:szCs w:val="18"/>
              </w:rPr>
              <w:t xml:space="preserve">API, rate limiting, conceptos GAAP</w:t>
            </w:r>
          </w:p>
        </w:tc>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3. Python</w:t>
            </w:r>
          </w:p>
          <w:p>
            <w:pPr>
              <w:spacing w:before="0" w:after="0"/>
              <w:jc w:val="center"/>
            </w:pPr>
            <w:r>
              <w:rPr>
                <w:rFonts w:ascii="Arial" w:cs="Arial" w:eastAsia="Arial" w:hAnsi="Arial"/>
                <w:color w:val="0F172A"/>
                <w:sz w:val="18"/>
                <w:szCs w:val="18"/>
              </w:rPr>
              <w:t xml:space="preserve">pandas, numpy, scipy, yfinance</w:t>
            </w:r>
          </w:p>
        </w:tc>
      </w:tr>
      <w:tr>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4. Finanzas</w:t>
            </w:r>
          </w:p>
          <w:p>
            <w:pPr>
              <w:spacing w:before="0" w:after="0"/>
              <w:jc w:val="center"/>
            </w:pPr>
            <w:r>
              <w:rPr>
                <w:rFonts w:ascii="Arial" w:cs="Arial" w:eastAsia="Arial" w:hAnsi="Arial"/>
                <w:color w:val="0F172A"/>
                <w:sz w:val="18"/>
                <w:szCs w:val="18"/>
              </w:rPr>
              <w:t xml:space="preserve">Ratios, FCF, WACC, CAPM</w:t>
            </w:r>
          </w:p>
        </w:tc>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5. DCF Prob.</w:t>
            </w:r>
          </w:p>
          <w:p>
            <w:pPr>
              <w:spacing w:before="0" w:after="0"/>
              <w:jc w:val="center"/>
            </w:pPr>
            <w:r>
              <w:rPr>
                <w:rFonts w:ascii="Arial" w:cs="Arial" w:eastAsia="Arial" w:hAnsi="Arial"/>
                <w:color w:val="0F172A"/>
                <w:sz w:val="18"/>
                <w:szCs w:val="18"/>
              </w:rPr>
              <w:t xml:space="preserve">Escenarios, Vasicek, 30.000 paths</w:t>
            </w:r>
          </w:p>
        </w:tc>
        <w:tc>
          <w:tcPr>
            <w:tcW w:type="dxa" w:w="3120"/>
            <w:tcBorders>
              <w:top w:val="single" w:color="2E5FA3" w:sz="1"/>
              <w:left w:val="single" w:color="2E5FA3" w:sz="1"/>
              <w:bottom w:val="single" w:color="2E5FA3" w:sz="1"/>
              <w:right w:val="single" w:color="2E5FA3" w:sz="1"/>
            </w:tcBorders>
            <w:shd w:fill="D6E4F7" w:val="clear"/>
            <w:tcMar>
              <w:top w:type="dxa" w:w="150"/>
              <w:left w:type="dxa" w:w="170"/>
              <w:bottom w:type="dxa" w:w="150"/>
              <w:right w:type="dxa" w:w="170"/>
            </w:tcMar>
          </w:tcPr>
          <w:p>
            <w:pPr>
              <w:spacing w:before="0" w:after="60"/>
              <w:jc w:val="center"/>
            </w:pPr>
            <w:r>
              <w:rPr>
                <w:rFonts w:ascii="Arial" w:cs="Arial" w:eastAsia="Arial" w:hAnsi="Arial"/>
                <w:b/>
                <w:bCs/>
                <w:color w:val="1B2A4A"/>
                <w:sz w:val="22"/>
                <w:szCs w:val="22"/>
              </w:rPr>
              <w:t xml:space="preserve">6. Scorecard</w:t>
            </w:r>
          </w:p>
          <w:p>
            <w:pPr>
              <w:spacing w:before="0" w:after="0"/>
              <w:jc w:val="center"/>
            </w:pPr>
            <w:r>
              <w:rPr>
                <w:rFonts w:ascii="Arial" w:cs="Arial" w:eastAsia="Arial" w:hAnsi="Arial"/>
                <w:color w:val="0F172A"/>
                <w:sz w:val="18"/>
                <w:szCs w:val="18"/>
              </w:rPr>
              <w:t xml:space="preserve">Percentile rank, ponderación, ratings</w:t>
            </w:r>
          </w:p>
        </w:tc>
      </w:tr>
    </w:tbl>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color w:val="94A3B8"/>
          <w:sz w:val="20"/>
          <w:szCs w:val="20"/>
        </w:rPr>
        <w:t xml:space="preserve">Versión 4.0  |  2025</w:t>
      </w:r>
    </w:p>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1. Arquitectura General del Pipeline (v4)</w:t>
      </w:r>
    </w:p>
    <w:p>
      <w:pPr>
        <w:spacing w:before="80" w:after="80"/>
      </w:pPr>
      <w:r>
        <w:rPr>
          <w:rFonts w:ascii="Arial" w:cs="Arial" w:eastAsia="Arial" w:hAnsi="Arial"/>
          <w:sz w:val="21"/>
          <w:szCs w:val="21"/>
        </w:rPr>
        <w:t xml:space="preserve">El notebook es un pipeline ETL financiero de 9 módulos que va desde la configuración hasta la persistencia en SQLite. Cada módulo es independiente y se puede ejecutar de forma secuencial en Jupyter.</w:t>
      </w:r>
    </w:p>
    <w:p>
      <w:pPr>
        <w:spacing w:before="0" w:after="0"/>
      </w:pPr>
      <w:r>
        <w:t xml:space="preserve"/>
      </w:r>
    </w:p>
    <w:p>
      <w:pPr>
        <w:pStyle w:val="Heading2"/>
        <w:spacing w:before="240" w:after="80"/>
      </w:pPr>
      <w:r>
        <w:rPr>
          <w:rFonts w:ascii="Arial" w:cs="Arial" w:eastAsia="Arial" w:hAnsi="Arial"/>
          <w:b/>
          <w:bCs/>
          <w:color w:val="2E5FA3"/>
          <w:sz w:val="26"/>
          <w:szCs w:val="26"/>
        </w:rPr>
        <w:t xml:space="preserve">1.1  Flujo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Módulo</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Descripción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1 — Configuración</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Define User-Agent, tickers, parámetros DCF, pesos de escenarios y constantes sectoriales. Todo lo configurable está aquí.</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2 — Rate Limiter + CIK</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Descarga el mapa Ticker→CIK de la SEC y construye la ventana deslizante de rate limiting (máx. 9 req/s).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3 — Extracción XBRL</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Para cada empresa llama al endpoint /api/xbrl/companyfacts. Extrae 11 conceptos US-GAAP con 7 años de historia.</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4 — Ratios Financieros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Calcula 10 ratios vectorizados con pandas: ROE, ROA, Margen Neto, D/E, Current Ratio, Asset Turnover, FCF, EBITDA margin y más.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5 — DCF Probabilístico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Núcleo del modelo: FCF normalizado, crecimiento multi-señal, WACC con Vasicek, 3 escenarios × 10.000 simulaciones = 30.000 paths.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6 — Visualizaciones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6 gráficos Seaborn básicos: scatter, heatmap, ROE ranking, violines por escenario, upside barras, matriz de valoración.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7 — Scorecard</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Percentile rank de cada métrica. Ponderación en 3 dimensiones. Rating OVERWEIGHT / NEUTRAL / UNDERWEIGHT.</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8 — Resumen Ejecutivo</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Print estructurado con tabla de resultados DCF y ratings por empresa.</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Módulo 9 — Export CSV + SQLite</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4 tablas persistidas: sector_ratios, latest_year_ratios, dcf_probabilistic, scorecard.</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1.2  Dependencias entre variables globales</w:t>
      </w:r>
    </w:p>
    <w:p>
      <w:pPr>
        <w:spacing w:before="80" w:after="80"/>
      </w:pPr>
      <w:r>
        <w:rPr>
          <w:rFonts w:ascii="Arial" w:cs="Arial" w:eastAsia="Arial" w:hAnsi="Arial"/>
          <w:sz w:val="21"/>
          <w:szCs w:val="21"/>
        </w:rPr>
        <w:t xml:space="preserve">Las celdas deben ejecutarse en orden. Las variables globales son compartidas entre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VARIABLES GLOBALES CLAVE — orden de creación</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TICKER_CIK_MAP      → build_ticker_to_cik_map()          (Módulo 2)</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ticker_cik_sector   → filtrado del mapa por SECTOR_TICKERS (Módulo 2)</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sector_raw_data     → extract_company_financials()        (Módulo 3)</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sector_df           → calculate_ratios() para cada empresa (Módulo 4)</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latest_year_df      → groupby('ticker').last()            (Módulo 4)</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dcf_results         → run_probabilistic_dcf()             (Módulo 5)</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dcf_df              → DataFrame sin columnas de arrays     (Módulo 5)</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scorecard           → build_scorecard()                   (Módulo 7)</w:t>
            </w:r>
          </w:p>
        </w:tc>
      </w:tr>
    </w:tbl>
    <w:p>
      <w:pPr>
        <w:spacing w:before="80" w:after="80"/>
      </w:pPr>
      <w:r>
        <w:rPr>
          <w:rFonts w:ascii="Arial" w:cs="Arial" w:eastAsia="Arial" w:hAnsi="Arial"/>
          <w:b/>
          <w:bCs/>
          <w:color w:val="0F172A"/>
          <w:sz w:val="21"/>
          <w:szCs w:val="21"/>
        </w:rPr>
        <w:t xml:space="preserve">Regla crítica: </w:t>
      </w:r>
      <w:r>
        <w:rPr>
          <w:rFonts w:ascii="Arial" w:cs="Arial" w:eastAsia="Arial" w:hAnsi="Arial"/>
          <w:color w:val="0F172A"/>
          <w:sz w:val="21"/>
          <w:szCs w:val="21"/>
        </w:rPr>
        <w:t xml:space="preserve">si re-ejecutás una celda intermedia (ej. Módulo 4), debés re-ejecutar todos los módulos posteriores (5, 6, 7, 8, 9) para que las variables sean consistentes.</w:t>
      </w:r>
    </w:p>
    <w:p>
      <w:pPr>
        <w:spacing w:before="0" w:after="0"/>
      </w:pPr>
      <w:r>
        <w:t xml:space="preserve"/>
      </w:r>
    </w:p>
    <w:p>
      <w:pPr>
        <w:pStyle w:val="Heading2"/>
        <w:spacing w:before="240" w:after="80"/>
      </w:pPr>
      <w:r>
        <w:rPr>
          <w:rFonts w:ascii="Arial" w:cs="Arial" w:eastAsia="Arial" w:hAnsi="Arial"/>
          <w:b/>
          <w:bCs/>
          <w:color w:val="2E5FA3"/>
          <w:sz w:val="26"/>
          <w:szCs w:val="26"/>
        </w:rPr>
        <w:t xml:space="preserve">1.3  Archivos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Archivo</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Tipo</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Contenido</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historical_ratios_{sector}.csv</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CSV</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Serie histórica de ratios por empresa y año fiscal (hasta 7 años)</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dcf_probabilistic_{sector}.csv</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CSV</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Resultados DCF: FCF normalizado, growth, WACC, P10/mediana/P90, upside por escenario, P(IV&gt;Mkt)</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scorecard_{sector}.csv</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CSV</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Ranking final con score compuesto, scores por dimensión y rating</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{sector}_analysis.db</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SQLite</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Base de datos local con las 4 tablas anteriores para consultas SQL sin re-ejecutar el pipeline</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2. SEC EDGAR — La Fuente de Datos</w:t>
      </w:r>
    </w:p>
    <w:p>
      <w:pPr>
        <w:spacing w:before="80" w:after="80"/>
      </w:pPr>
      <w:r>
        <w:rPr>
          <w:rFonts w:ascii="Arial" w:cs="Arial" w:eastAsia="Arial" w:hAnsi="Arial"/>
          <w:sz w:val="21"/>
          <w:szCs w:val="21"/>
        </w:rPr>
        <w:t xml:space="preserve">La SEC provee acceso programático gratuito a todos los filings históricos de empresas públicas de EE.UU. El notebook usa exclusivamente la API REST pública, sin autenticación ni API key.</w:t>
      </w:r>
    </w:p>
    <w:p>
      <w:pPr>
        <w:spacing w:before="0" w:after="0"/>
      </w:pPr>
      <w:r>
        <w:t xml:space="preserve"/>
      </w:r>
    </w:p>
    <w:p>
      <w:pPr>
        <w:pStyle w:val="Heading2"/>
        <w:spacing w:before="240" w:after="80"/>
      </w:pPr>
      <w:r>
        <w:rPr>
          <w:rFonts w:ascii="Arial" w:cs="Arial" w:eastAsia="Arial" w:hAnsi="Arial"/>
          <w:b/>
          <w:bCs/>
          <w:color w:val="2E5FA3"/>
          <w:sz w:val="26"/>
          <w:szCs w:val="26"/>
        </w:rPr>
        <w:t xml:space="preserve">2.1  Endpoints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Endpoint</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Frecuencia</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Contenido</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company_tickers.json</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Una vez al inicio</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Mapa completo de ~12.000 tickers con su CIK correspondiente</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/api/xbrl/companyfacts/CIK{n}.json</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Una vez por empresa</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Todos los datos XBRL históricos: revenue, net income, assets, FCF, etc.</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2.2  Rate Limiter — ventana deslizante nativa</w:t>
      </w:r>
    </w:p>
    <w:p>
      <w:pPr>
        <w:spacing w:before="80" w:after="80"/>
      </w:pPr>
      <w:r>
        <w:rPr>
          <w:rFonts w:ascii="Arial" w:cs="Arial" w:eastAsia="Arial" w:hAnsi="Arial"/>
          <w:sz w:val="21"/>
          <w:szCs w:val="21"/>
        </w:rPr>
        <w:t xml:space="preserve">La SEC bloquea IPs que superen 10 requests/segundo. El notebook implementa un rate limiter sin dependencias externas usando time.monotonic():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ALGORITMO DE VENTANA DESLIZANTE</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1. Al inicio de cada request, registrar el timestamp actual (time.monotonic())</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2. Limpiar de la lista todos los timestamps con antigüedad &gt; 1 segundo</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3. Si la lista tiene 9 o más entradas → esperar hasta que la más antigua supere 1 seg.</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4. Agregar el timestamp actual y ejecutar el request</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Resultado: máximo 9 requests en cualquier ventana de 1 segundo (margen de 1 para seguridad)</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Ventaja vs ratelimit: sin pip install, sin decoradores, funciona en cualquier entorno</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2.3  Normalización Ticker → CIK</w:t>
      </w:r>
    </w:p>
    <w:p>
      <w:pPr>
        <w:spacing w:before="80" w:after="80"/>
      </w:pPr>
      <w:r>
        <w:rPr>
          <w:rFonts w:ascii="Arial" w:cs="Arial" w:eastAsia="Arial" w:hAnsi="Arial"/>
          <w:color w:val="0F172A"/>
          <w:sz w:val="21"/>
          <w:szCs w:val="21"/>
        </w:rPr>
        <w:t xml:space="preserve">El CIK (Central Index Key) es el identificador de 10 dígitos de la SEC. La función </w:t>
      </w:r>
      <w:r>
        <w:rPr>
          <w:rFonts w:ascii="Courier New" w:cs="Courier New" w:eastAsia="Courier New" w:hAnsi="Courier New"/>
          <w:color w:val="0F7B6C"/>
          <w:sz w:val="19"/>
          <w:szCs w:val="19"/>
        </w:rPr>
        <w:t xml:space="preserve">str(cik).zfill(10)</w:t>
      </w:r>
      <w:r>
        <w:rPr>
          <w:rFonts w:ascii="Arial" w:cs="Arial" w:eastAsia="Arial" w:hAnsi="Arial"/>
          <w:color w:val="0F172A"/>
          <w:sz w:val="21"/>
          <w:szCs w:val="21"/>
        </w:rPr>
        <w:t xml:space="preserve"> garantiza el padding correcto. </w:t>
      </w:r>
      <w:r>
        <w:rPr>
          <w:rFonts w:ascii="Arial" w:cs="Arial" w:eastAsia="Arial" w:hAnsi="Arial"/>
          <w:b/>
          <w:bCs/>
          <w:color w:val="0F172A"/>
          <w:sz w:val="21"/>
          <w:szCs w:val="21"/>
        </w:rPr>
        <w:t xml:space="preserve">Error común: </w:t>
      </w:r>
      <w:r>
        <w:rPr>
          <w:rFonts w:ascii="Arial" w:cs="Arial" w:eastAsia="Arial" w:hAnsi="Arial"/>
          <w:color w:val="0F172A"/>
          <w:sz w:val="21"/>
          <w:szCs w:val="21"/>
        </w:rPr>
        <w:t xml:space="preserve">CIK 1045810 debe ser '0001045810'. Sin el padding, la URL del endpoint retorna 404.</w:t>
      </w:r>
    </w:p>
    <w:p>
      <w:pPr>
        <w:spacing w:before="0" w:after="0"/>
      </w:pPr>
      <w:r>
        <w:t xml:space="preserve"/>
      </w:r>
    </w:p>
    <w:p>
      <w:pPr>
        <w:pStyle w:val="Heading2"/>
        <w:spacing w:before="240" w:after="80"/>
      </w:pPr>
      <w:r>
        <w:rPr>
          <w:rFonts w:ascii="Arial" w:cs="Arial" w:eastAsia="Arial" w:hAnsi="Arial"/>
          <w:b/>
          <w:bCs/>
          <w:color w:val="2E5FA3"/>
          <w:sz w:val="26"/>
          <w:szCs w:val="26"/>
        </w:rPr>
        <w:t xml:space="preserve">2.4  Estructura del JSON de Company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JSON RETORNADO POR /api/xbrl/companyfacts (simplificado)</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"entityName": "NVIDIA Corp",</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"facts":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"us-gaap":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"Revenues":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"units":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"USD":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 "end": "2024-01-28", "val": 60922000000, "form": "10-K", "fy": 2024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 "end": "2023-01-29", "val": 26974000000, "form": "10-K", "fy": 2023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   }</w:t>
            </w:r>
          </w:p>
        </w:tc>
      </w:tr>
      <w:tr>
        <w:tc>
          <w:tcPr>
            <w:tcW w:type="dxa" w:w="9360"/>
            <w:tcBorders>
              <w:top w:val="single" w:color="1B2A4A" w:sz="1"/>
              <w:left w:val="single" w:color="1B2A4A" w:sz="1"/>
              <w:bottom w:val="single" w:color="1B2A4A" w:sz="1"/>
              <w:right w:val="single" w:color="1B2A4A" w:sz="1"/>
            </w:tcBorders>
            <w:shd w:fill="F1F5F9" w:val="clear"/>
            <w:tcMar>
              <w:top w:type="dxa" w:w="55"/>
              <w:left w:type="dxa" w:w="140"/>
              <w:bottom w:type="dxa" w:w="55"/>
              <w:right w:type="dxa" w:w="140"/>
            </w:tcMar>
          </w:tcPr>
          <w:p>
            <w:pPr>
              <w:spacing w:before="0" w:after="0"/>
            </w:pPr>
            <w:r>
              <w:rPr>
                <w:rFonts w:ascii="Arial" w:cs="Arial" w:eastAsia="Arial" w:hAnsi="Arial"/>
                <w:sz w:val="20"/>
                <w:szCs w:val="20"/>
              </w:rPr>
              <w:t xml:space="preserve">}</w:t>
            </w:r>
          </w:p>
        </w:tc>
      </w:tr>
    </w:tbl>
    <w:p>
      <w:pPr>
        <w:spacing w:before="80" w:after="80"/>
      </w:pPr>
      <w:r>
        <w:rPr>
          <w:rFonts w:ascii="Arial" w:cs="Arial" w:eastAsia="Arial" w:hAnsi="Arial"/>
          <w:b/>
          <w:bCs/>
          <w:color w:val="0F172A"/>
          <w:sz w:val="21"/>
          <w:szCs w:val="21"/>
        </w:rPr>
        <w:t xml:space="preserve">Punto clave: </w:t>
      </w:r>
      <w:r>
        <w:rPr>
          <w:rFonts w:ascii="Arial" w:cs="Arial" w:eastAsia="Arial" w:hAnsi="Arial"/>
          <w:color w:val="0F172A"/>
          <w:sz w:val="21"/>
          <w:szCs w:val="21"/>
        </w:rPr>
        <w:t xml:space="preserve">el array USD mezcla períodos anuales y trimestrales. La función </w:t>
      </w:r>
      <w:r>
        <w:rPr>
          <w:rFonts w:ascii="Courier New" w:cs="Courier New" w:eastAsia="Courier New" w:hAnsi="Courier New"/>
          <w:color w:val="0F7B6C"/>
          <w:sz w:val="19"/>
          <w:szCs w:val="19"/>
        </w:rPr>
        <w:t xml:space="preserve">extract_annual_series()</w:t>
      </w:r>
      <w:r>
        <w:rPr>
          <w:rFonts w:ascii="Arial" w:cs="Arial" w:eastAsia="Arial" w:hAnsi="Arial"/>
          <w:color w:val="0F172A"/>
          <w:sz w:val="21"/>
          <w:szCs w:val="21"/>
        </w:rPr>
        <w:t xml:space="preserve"> filtra por </w:t>
      </w:r>
      <w:r>
        <w:rPr>
          <w:rFonts w:ascii="Courier New" w:cs="Courier New" w:eastAsia="Courier New" w:hAnsi="Courier New"/>
          <w:color w:val="0F7B6C"/>
          <w:sz w:val="19"/>
          <w:szCs w:val="19"/>
        </w:rPr>
        <w:t xml:space="preserve">form.isin(["10-K", "10-K/A"])</w:t>
      </w:r>
      <w:r>
        <w:rPr>
          <w:rFonts w:ascii="Arial" w:cs="Arial" w:eastAsia="Arial" w:hAnsi="Arial"/>
          <w:color w:val="0F172A"/>
          <w:sz w:val="21"/>
          <w:szCs w:val="21"/>
        </w:rPr>
        <w:t xml:space="preserve"> y elimina duplicados por año fiscal con </w:t>
      </w:r>
      <w:r>
        <w:rPr>
          <w:rFonts w:ascii="Courier New" w:cs="Courier New" w:eastAsia="Courier New" w:hAnsi="Courier New"/>
          <w:color w:val="0F7B6C"/>
          <w:sz w:val="19"/>
          <w:szCs w:val="19"/>
        </w:rPr>
        <w:t xml:space="preserve">.drop_duplicates(subset='fiscal_year', keep='last')</w:t>
      </w:r>
      <w:r>
        <w:rPr>
          <w:rFonts w:ascii="Arial" w:cs="Arial" w:eastAsia="Arial" w:hAnsi="Arial"/>
          <w:color w:val="0F172A"/>
          <w:sz w:val="21"/>
          <w:szCs w:val="21"/>
        </w:rPr>
        <w:t xml:space="preserve">.</w:t>
      </w:r>
    </w:p>
    <w:p>
      <w:pPr>
        <w:spacing w:before="0" w:after="0"/>
      </w:pPr>
      <w:r>
        <w:t xml:space="preserve"/>
      </w:r>
    </w:p>
    <w:p>
      <w:pPr>
        <w:pStyle w:val="Heading2"/>
        <w:spacing w:before="240" w:after="80"/>
      </w:pPr>
      <w:r>
        <w:rPr>
          <w:rFonts w:ascii="Arial" w:cs="Arial" w:eastAsia="Arial" w:hAnsi="Arial"/>
          <w:b/>
          <w:bCs/>
          <w:color w:val="2E5FA3"/>
          <w:sz w:val="26"/>
          <w:szCs w:val="26"/>
        </w:rPr>
        <w:t xml:space="preserve">2.5  Aliases XBRL — por qué son necesarios</w:t>
      </w:r>
    </w:p>
    <w:p>
      <w:pPr>
        <w:spacing w:before="80" w:after="80"/>
      </w:pPr>
      <w:r>
        <w:rPr>
          <w:rFonts w:ascii="Arial" w:cs="Arial" w:eastAsia="Arial" w:hAnsi="Arial"/>
          <w:sz w:val="21"/>
          <w:szCs w:val="21"/>
        </w:rPr>
        <w:t xml:space="preserve">Distintas empresas usan distintos nombres de concepto para la misma métrica. El notebook define listas priorizadas de aliases para cada concepto: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Concepto</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Aliases probados en orden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revenue</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Revenues</w:t>
            </w:r>
            <w:r>
              <w:rPr>
                <w:rFonts w:ascii="Arial" w:cs="Arial" w:eastAsia="Arial" w:hAnsi="Arial"/>
                <w:color w:val="0F172A"/>
                <w:sz w:val="21"/>
                <w:szCs w:val="21"/>
              </w:rPr>
              <w:t xml:space="preserve">, </w:t>
            </w:r>
            <w:r>
              <w:rPr>
                <w:rFonts w:ascii="Courier New" w:cs="Courier New" w:eastAsia="Courier New" w:hAnsi="Courier New"/>
                <w:color w:val="0F7B6C"/>
                <w:sz w:val="19"/>
                <w:szCs w:val="19"/>
              </w:rPr>
              <w:t xml:space="preserve">RevenueFromContractWithCustomerExcludingAssessedTax</w:t>
            </w:r>
            <w:r>
              <w:rPr>
                <w:rFonts w:ascii="Arial" w:cs="Arial" w:eastAsia="Arial" w:hAnsi="Arial"/>
                <w:color w:val="0F172A"/>
                <w:sz w:val="21"/>
                <w:szCs w:val="21"/>
              </w:rPr>
              <w:t xml:space="preserve">, </w:t>
            </w:r>
            <w:r>
              <w:rPr>
                <w:rFonts w:ascii="Courier New" w:cs="Courier New" w:eastAsia="Courier New" w:hAnsi="Courier New"/>
                <w:color w:val="0F7B6C"/>
                <w:sz w:val="19"/>
                <w:szCs w:val="19"/>
              </w:rPr>
              <w:t xml:space="preserve">SalesRevenueNet</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net_income</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NetIncomeLoss</w:t>
            </w:r>
            <w:r>
              <w:rPr>
                <w:rFonts w:ascii="Arial" w:cs="Arial" w:eastAsia="Arial" w:hAnsi="Arial"/>
                <w:color w:val="0F172A"/>
                <w:sz w:val="21"/>
                <w:szCs w:val="21"/>
              </w:rPr>
              <w:t xml:space="preserve">, </w:t>
            </w:r>
            <w:r>
              <w:rPr>
                <w:rFonts w:ascii="Courier New" w:cs="Courier New" w:eastAsia="Courier New" w:hAnsi="Courier New"/>
                <w:color w:val="0F7B6C"/>
                <w:sz w:val="19"/>
                <w:szCs w:val="19"/>
              </w:rPr>
              <w:t xml:space="preserve">ProfitLoss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operating_cash_flow</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NetCashProvidedByUsedInOperatingActivities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capex</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PaymentsToAcquirePropertyPlantAndEquipment</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ebit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OperatingIncomeLoss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depreciation</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Courier New" w:cs="Courier New" w:eastAsia="Courier New" w:hAnsi="Courier New"/>
                <w:color w:val="0F7B6C"/>
                <w:sz w:val="19"/>
                <w:szCs w:val="19"/>
              </w:rPr>
              <w:t xml:space="preserve">DepreciationDepletionAndAmortization</w:t>
            </w:r>
            <w:r>
              <w:rPr>
                <w:rFonts w:ascii="Arial" w:cs="Arial" w:eastAsia="Arial" w:hAnsi="Arial"/>
                <w:color w:val="0F172A"/>
                <w:sz w:val="21"/>
                <w:szCs w:val="21"/>
              </w:rPr>
              <w:t xml:space="preserve">, </w:t>
            </w:r>
            <w:r>
              <w:rPr>
                <w:rFonts w:ascii="Courier New" w:cs="Courier New" w:eastAsia="Courier New" w:hAnsi="Courier New"/>
                <w:color w:val="0F7B6C"/>
                <w:sz w:val="19"/>
                <w:szCs w:val="19"/>
              </w:rPr>
              <w:t xml:space="preserve">DepreciationAndAmortization</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2.6  Por qué 7 años de historia</w:t>
      </w:r>
    </w:p>
    <w:p>
      <w:pPr>
        <w:spacing w:before="80" w:after="80"/>
      </w:pPr>
      <w:r>
        <w:rPr>
          <w:rFonts w:ascii="Arial" w:cs="Arial" w:eastAsia="Arial" w:hAnsi="Arial"/>
          <w:sz w:val="21"/>
          <w:szCs w:val="21"/>
        </w:rPr>
        <w:t xml:space="preserve">La v4 extrae 7 años en lugar de 5 porque el módulo DCF probabilístico necesita estimar la volatilidad histórica del FCF (std de retornos anuales). Con menos de 3 puntos la volatilidad no es calculable; con 7 se tiene una estimación estadísticamente útil incluso si algunos años tienen NaN.</w:t>
      </w:r>
    </w:p>
    <w:p>
      <w:pPr>
        <w:spacing w:before="0" w:after="0"/>
      </w:pPr>
      <w:r>
        <w:t xml:space="preserve"/>
      </w:r>
    </w:p>
    <w:p>
      <w:pPr>
        <w:pStyle w:val="Heading2"/>
        <w:spacing w:before="240" w:after="80"/>
      </w:pPr>
      <w:r>
        <w:rPr>
          <w:rFonts w:ascii="Arial" w:cs="Arial" w:eastAsia="Arial" w:hAnsi="Arial"/>
          <w:b/>
          <w:bCs/>
          <w:color w:val="2E5FA3"/>
          <w:sz w:val="26"/>
          <w:szCs w:val="26"/>
        </w:rPr>
        <w:t xml:space="preserve">2.7  Errores comunes de la SEC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Error / Síntoma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Causa y solución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HTTP 403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User-Agent mal formado o ausente. Formato requerido: "Nombre email@dominio.com"</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HTTP 429</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Rate limit superado. Reducir _MAX_CALLS de 9 a 7 o agregar time.sleep(0.1) entre requests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HTTP 404</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CIK incorrecto o empresa sin filings XBRL (algunas empresas previas a 2009)</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KeyError 'USD'</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El concepto existe pero está en unidades distintas (ej: 'shares' para EPS). El try-except lo maneja.</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Serie vacía</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Ningún alias coincide con el concepto. Buscar el nombre exacto en el JSON raw del endpoint y agregarlo a XBRL_CONCEPTS.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Valores duplicados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Una empresa puede reportar el mismo año fiscal con dos fechas de cierre. drop_duplicates(keep='last') resuelve esto.</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3. Python — Librerías y Patrones</w:t>
      </w:r>
    </w:p>
    <w:p>
      <w:pPr>
        <w:pStyle w:val="Heading2"/>
        <w:spacing w:before="240" w:after="80"/>
      </w:pPr>
      <w:r>
        <w:rPr>
          <w:rFonts w:ascii="Arial" w:cs="Arial" w:eastAsia="Arial" w:hAnsi="Arial"/>
          <w:b/>
          <w:bCs/>
          <w:color w:val="2E5FA3"/>
          <w:sz w:val="26"/>
          <w:szCs w:val="26"/>
        </w:rPr>
        <w:t xml:space="preserve">3.1  Mapa de librerías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Librería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Rol</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requests</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HTTP client para SEC API y Yahoo Finance. Maneja headers, timeouts y status codes.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pandas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Motor de transformación. DataFrames para series temporales, merge, groupby, pct_change y rank.</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numpy</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Álgebra vectorizada. Todo el Monte Carlo corre en arrays NumPy sin loops Python.</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scipy.stats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zscore() para filtrar outliers en las distribuciones Monte Carlo (&gt; 4 sigma).</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seaborn</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Visualizaciones con una línea: violinplot, barplot, scatterplot, heatmap. Sin customización.</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matplotlib</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Backend de seaborn. Se usa directamente para subplots (fig, axes) y plt.show().</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yfinance</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Beta real para WACC via CAPM + Market Cap para calcular upside y P(IV&gt;Mkt).</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tqdm</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Barra de progreso en el loop de descarga. Muestra tiempo estimado y velocidad.</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sqlite3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Módulo estándar de Python. Persiste los 4 DataFrames en una base de datos local .db.</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time</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time.monotonic() para el rate limiter. Más preciso que time.time() para intervalos.</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3.2  Patrones pandas críticos</w:t>
      </w:r>
    </w:p>
    <w:p>
      <w:pPr>
        <w:pStyle w:val="Heading3"/>
        <w:spacing w:before="180" w:after="60"/>
      </w:pPr>
      <w:r>
        <w:rPr>
          <w:rFonts w:ascii="Arial" w:cs="Arial" w:eastAsia="Arial" w:hAnsi="Arial"/>
          <w:b/>
          <w:bCs/>
          <w:color w:val="0F7B6C"/>
          <w:sz w:val="22"/>
          <w:szCs w:val="22"/>
        </w:rPr>
        <w:t xml:space="preserve">align_series() — alineación por índice antes de dividir</w:t>
      </w:r>
    </w:p>
    <w:p>
      <w:pPr>
        <w:spacing w:before="80" w:after="80"/>
      </w:pPr>
      <w:r>
        <w:rPr>
          <w:rFonts w:ascii="Arial" w:cs="Arial" w:eastAsia="Arial" w:hAnsi="Arial"/>
          <w:color w:val="0F172A"/>
          <w:sz w:val="21"/>
          <w:szCs w:val="21"/>
        </w:rPr>
        <w:t xml:space="preserve">Dos empresas pueden tener años fiscales distintos. Sin alinear, </w:t>
      </w:r>
      <w:r>
        <w:rPr>
          <w:rFonts w:ascii="Courier New" w:cs="Courier New" w:eastAsia="Courier New" w:hAnsi="Courier New"/>
          <w:color w:val="0F7B6C"/>
          <w:sz w:val="19"/>
          <w:szCs w:val="19"/>
        </w:rPr>
        <w:t xml:space="preserve">net_income / equity</w:t>
      </w:r>
      <w:r>
        <w:rPr>
          <w:rFonts w:ascii="Arial" w:cs="Arial" w:eastAsia="Arial" w:hAnsi="Arial"/>
          <w:color w:val="0F172A"/>
          <w:sz w:val="21"/>
          <w:szCs w:val="21"/>
        </w:rPr>
        <w:t xml:space="preserve"> produce NaN en posiciones incorrectas (pandas hace outer join silencioso). La función toma la intersección de índices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PROBLEMA DE ALINEACIÓN</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net_income.index  → [2020, 2021, 2022, 2023, 2024]</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equity.index      → [2019, 2021, 2022, 2023]</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Sin align:  net_income / equity  → [NaN, val, val, val, NaN]  ← INCORRECTO</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Con align:  intersección [2021, 2022, 2023]  → [val, val, val]  ← CORRECTO</w:t>
            </w:r>
          </w:p>
        </w:tc>
      </w:tr>
    </w:tbl>
    <w:p>
      <w:pPr>
        <w:spacing w:before="0" w:after="0"/>
      </w:pPr>
      <w:r>
        <w:t xml:space="preserve"/>
      </w:r>
    </w:p>
    <w:p>
      <w:pPr>
        <w:pStyle w:val="Heading3"/>
        <w:spacing w:before="180" w:after="60"/>
      </w:pPr>
      <w:r>
        <w:rPr>
          <w:rFonts w:ascii="Arial" w:cs="Arial" w:eastAsia="Arial" w:hAnsi="Arial"/>
          <w:b/>
          <w:bCs/>
          <w:color w:val="0F7B6C"/>
          <w:sz w:val="22"/>
          <w:szCs w:val="22"/>
        </w:rPr>
        <w:t xml:space="preserve">groupby().last() — snapshot del año más reciente</w:t>
      </w:r>
    </w:p>
    <w:p>
      <w:pPr>
        <w:spacing w:before="80" w:after="80"/>
      </w:pPr>
      <w:r>
        <w:rPr>
          <w:rFonts w:ascii="Arial" w:cs="Arial" w:eastAsia="Arial" w:hAnsi="Arial"/>
          <w:color w:val="0F172A"/>
          <w:sz w:val="21"/>
          <w:szCs w:val="21"/>
        </w:rPr>
        <w:t xml:space="preserve">Para el Scorecard se necesita un solo valor por empresa. </w:t>
      </w:r>
      <w:r>
        <w:rPr>
          <w:rFonts w:ascii="Courier New" w:cs="Courier New" w:eastAsia="Courier New" w:hAnsi="Courier New"/>
          <w:color w:val="0F7B6C"/>
          <w:sz w:val="19"/>
          <w:szCs w:val="19"/>
        </w:rPr>
        <w:t xml:space="preserve">.sort_values('fiscal_year').groupby('ticker').last()</w:t>
      </w:r>
      <w:r>
        <w:rPr>
          <w:rFonts w:ascii="Arial" w:cs="Arial" w:eastAsia="Arial" w:hAnsi="Arial"/>
          <w:color w:val="0F172A"/>
          <w:sz w:val="21"/>
          <w:szCs w:val="21"/>
        </w:rPr>
        <w:t xml:space="preserve"> garantiza el último año disponible, que puede diferir entre empresas (una hasta 2024, otra hasta 2023).</w:t>
      </w:r>
    </w:p>
    <w:p>
      <w:pPr>
        <w:spacing w:before="0" w:after="0"/>
      </w:pPr>
      <w:r>
        <w:t xml:space="preserve"/>
      </w:r>
    </w:p>
    <w:p>
      <w:pPr>
        <w:pStyle w:val="Heading3"/>
        <w:spacing w:before="180" w:after="60"/>
      </w:pPr>
      <w:r>
        <w:rPr>
          <w:rFonts w:ascii="Arial" w:cs="Arial" w:eastAsia="Arial" w:hAnsi="Arial"/>
          <w:b/>
          <w:bCs/>
          <w:color w:val="0F7B6C"/>
          <w:sz w:val="22"/>
          <w:szCs w:val="22"/>
        </w:rPr>
        <w:t xml:space="preserve">pct_change() — crecimiento year-over-year</w:t>
      </w:r>
    </w:p>
    <w:p>
      <w:pPr>
        <w:spacing w:before="80" w:after="80"/>
      </w:pPr>
      <w:r>
        <w:rPr>
          <w:rFonts w:ascii="Arial" w:cs="Arial" w:eastAsia="Arial" w:hAnsi="Arial"/>
          <w:color w:val="0F172A"/>
          <w:sz w:val="21"/>
          <w:szCs w:val="21"/>
        </w:rPr>
        <w:t xml:space="preserve">El crecimiento de revenue se calcula con </w:t>
      </w:r>
      <w:r>
        <w:rPr>
          <w:rFonts w:ascii="Courier New" w:cs="Courier New" w:eastAsia="Courier New" w:hAnsi="Courier New"/>
          <w:color w:val="0F7B6C"/>
          <w:sz w:val="19"/>
          <w:szCs w:val="19"/>
        </w:rPr>
        <w:t xml:space="preserve">revenue.pct_change() * 100</w:t>
      </w:r>
      <w:r>
        <w:rPr>
          <w:rFonts w:ascii="Arial" w:cs="Arial" w:eastAsia="Arial" w:hAnsi="Arial"/>
          <w:color w:val="0F172A"/>
          <w:sz w:val="21"/>
          <w:szCs w:val="21"/>
        </w:rPr>
        <w:t xml:space="preserve">. El primer año siempre es NaN (no hay año anterior). Esto es esperado y no requiere manejo especial.</w:t>
      </w:r>
    </w:p>
    <w:p>
      <w:pPr>
        <w:spacing w:before="0" w:after="0"/>
      </w:pPr>
      <w:r>
        <w:t xml:space="preserve"/>
      </w:r>
    </w:p>
    <w:p>
      <w:pPr>
        <w:pStyle w:val="Heading2"/>
        <w:spacing w:before="240" w:after="80"/>
      </w:pPr>
      <w:r>
        <w:rPr>
          <w:rFonts w:ascii="Arial" w:cs="Arial" w:eastAsia="Arial" w:hAnsi="Arial"/>
          <w:b/>
          <w:bCs/>
          <w:color w:val="2E5FA3"/>
          <w:sz w:val="26"/>
          <w:szCs w:val="26"/>
        </w:rPr>
        <w:t xml:space="preserve">3.3  Vectorización NumPy en el Monte Carlo</w:t>
      </w:r>
    </w:p>
    <w:p>
      <w:pPr>
        <w:spacing w:before="80" w:after="80"/>
      </w:pPr>
      <w:r>
        <w:rPr>
          <w:rFonts w:ascii="Arial" w:cs="Arial" w:eastAsia="Arial" w:hAnsi="Arial"/>
          <w:b/>
          <w:bCs/>
          <w:color w:val="0F172A"/>
          <w:sz w:val="21"/>
          <w:szCs w:val="21"/>
        </w:rPr>
        <w:t xml:space="preserve">Regla fundamental: </w:t>
      </w:r>
      <w:r>
        <w:rPr>
          <w:rFonts w:ascii="Arial" w:cs="Arial" w:eastAsia="Arial" w:hAnsi="Arial"/>
          <w:color w:val="0F172A"/>
          <w:sz w:val="21"/>
          <w:szCs w:val="21"/>
        </w:rPr>
        <w:t xml:space="preserve">nunca usar un loop Python cuando NumPy puede hacerlo. Con 10.000 simulaciones × 5 años, un loop sería ~50.000 iteraciones. La versión vectorizada las calcula en microsegundos: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BROADCASTING NUMPY — 10.000 × 5 AÑOS SIN LOOPS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g_samples: (10000,)  →  tasa de crecimiento por simulación</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t: (5,)              →  [1, 2, 3, 4, 5] años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(10000,1) × (1,5) → broadcasting → resultado (10000, 5)</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fcf_proj = base_fcf * (1 + g_samples[:, np.newaxis]) ** t[np.newaxis, :]</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disc_factors: (10000, 5)</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disc_factors = 1.0 / (1 + w_samples[:, np.newaxis]) ** t[np.newaxis, :]</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pv_fcf: (10000,) — suma sobre el eje de años (axis=1)</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pv_fcf = np.sum(fcf_proj * disc_factors, axis=1)</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np.newaxis convierte (N,) en (N,1) para multiplicar contra (1,M)</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El resultado es siempre (N, M) — una fila por simulación, una col por año</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3.4  Estrategia de manejo de errores</w:t>
      </w:r>
    </w:p>
    <w:p>
      <w:pPr>
        <w:spacing w:before="80" w:after="80"/>
      </w:pPr>
      <w:r>
        <w:rPr>
          <w:rFonts w:ascii="Arial" w:cs="Arial" w:eastAsia="Arial" w:hAnsi="Arial"/>
          <w:sz w:val="21"/>
          <w:szCs w:val="21"/>
        </w:rPr>
        <w:t xml:space="preserve">El pipeline nunca falla completamente si una empresa tiene datos faltantes. Cada punto de control captura su error y permite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Función</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Error capturado</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Comportamiento</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fetch_company_facts()</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HTTPError, RequestException</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Retorna None → empresa se saltea</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extract_annual_series()</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KeyError, TypeError, ValueError</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Retorna pd.Series vacía → ratio queda en NaN</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calculate_ratios()</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Cualquier excepción por métrica</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Esa métrica queda NaN, el resto se calcula</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run_probabilistic_dcf()</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Sin FCF o sin simulaciones válidas</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Retorna dict con key 'error'</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simulate_scenario()</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Outliers extremos</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Filtra values con |zscore| &gt; 4</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save_to_sqlite()</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sqlite3.Error</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Print del error, continúa con la siguiente tabla</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4. Finanzas — Los Ratios y su Lógica</w:t>
      </w:r>
    </w:p>
    <w:p>
      <w:pPr>
        <w:pStyle w:val="Heading2"/>
        <w:spacing w:before="240" w:after="80"/>
      </w:pPr>
      <w:r>
        <w:rPr>
          <w:rFonts w:ascii="Arial" w:cs="Arial" w:eastAsia="Arial" w:hAnsi="Arial"/>
          <w:b/>
          <w:bCs/>
          <w:color w:val="2E5FA3"/>
          <w:sz w:val="26"/>
          <w:szCs w:val="26"/>
        </w:rPr>
        <w:t xml:space="preserve">4.1  Ratios de Rentabilidad</w:t>
      </w:r>
    </w:p>
    <w:p>
      <w:pPr>
        <w:pStyle w:val="Heading3"/>
        <w:spacing w:before="180" w:after="60"/>
      </w:pPr>
      <w:r>
        <w:rPr>
          <w:rFonts w:ascii="Arial" w:cs="Arial" w:eastAsia="Arial" w:hAnsi="Arial"/>
          <w:b/>
          <w:bCs/>
          <w:color w:val="0F7B6C"/>
          <w:sz w:val="22"/>
          <w:szCs w:val="22"/>
        </w:rPr>
        <w:t xml:space="preserve">ROE — Return on Equity</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Net Income / Stockholders' Equity × 100</w:t>
      </w:r>
    </w:p>
    <w:p>
      <w:pPr>
        <w:spacing w:before="80" w:after="80"/>
      </w:pPr>
      <w:r>
        <w:rPr>
          <w:rFonts w:ascii="Arial" w:cs="Arial" w:eastAsia="Arial" w:hAnsi="Arial"/>
          <w:sz w:val="21"/>
          <w:szCs w:val="21"/>
        </w:rPr>
        <w:t xml:space="preserve">Mide cuánta ganancia genera la empresa por cada dólar de capital propio. Es el indicador más importante de eficiencia para el accionista, pero puede ser inflado artificialmente por deuda alta (D/E alto reduce el equity, denominador más chico = ROE más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Rango</w:t>
            </w:r>
          </w:p>
        </w:tc>
        <w:tc>
          <w:tcPr>
            <w:tcW w:type="dxa" w:w="68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Interpretación</w:t>
            </w:r>
          </w:p>
        </w:tc>
      </w:tr>
      <w:tr>
        <w:tc>
          <w:tcPr>
            <w:tcW w:type="dxa" w:w="25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ROE &lt; 10%</w:t>
            </w:r>
          </w:p>
        </w:tc>
        <w:tc>
          <w:tcPr>
            <w:tcW w:type="dxa" w:w="68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Retorno bajo. No genera suficiente valor sobre el capital.</w:t>
            </w:r>
          </w:p>
        </w:tc>
      </w:tr>
      <w:tr>
        <w:tc>
          <w:tcPr>
            <w:tcW w:type="dxa" w:w="25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ROE 10–20%</w:t>
            </w:r>
          </w:p>
        </w:tc>
        <w:tc>
          <w:tcPr>
            <w:tcW w:type="dxa" w:w="68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Rango saludable para industrias maduras.</w:t>
            </w:r>
          </w:p>
        </w:tc>
      </w:tr>
      <w:tr>
        <w:tc>
          <w:tcPr>
            <w:tcW w:type="dxa" w:w="25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ROE 20–40%</w:t>
            </w:r>
          </w:p>
        </w:tc>
        <w:tc>
          <w:tcPr>
            <w:tcW w:type="dxa" w:w="68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Excelente. Típico de empresas con ventajas competitivas.</w:t>
            </w:r>
          </w:p>
        </w:tc>
      </w:tr>
      <w:tr>
        <w:tc>
          <w:tcPr>
            <w:tcW w:type="dxa" w:w="25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ROE &gt; 40%</w:t>
            </w:r>
          </w:p>
        </w:tc>
        <w:tc>
          <w:tcPr>
            <w:tcW w:type="dxa" w:w="68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Excepcional. Verificar si es por apalancamiento antes de celebrar.</w:t>
            </w:r>
          </w:p>
        </w:tc>
      </w:tr>
    </w:tbl>
    <w:p>
      <w:pPr>
        <w:spacing w:before="0" w:after="0"/>
      </w:pPr>
      <w:r>
        <w:t xml:space="preserve"/>
      </w:r>
    </w:p>
    <w:p>
      <w:pPr>
        <w:pStyle w:val="Heading3"/>
        <w:spacing w:before="180" w:after="60"/>
      </w:pPr>
      <w:r>
        <w:rPr>
          <w:rFonts w:ascii="Arial" w:cs="Arial" w:eastAsia="Arial" w:hAnsi="Arial"/>
          <w:b/>
          <w:bCs/>
          <w:color w:val="0F7B6C"/>
          <w:sz w:val="22"/>
          <w:szCs w:val="22"/>
        </w:rPr>
        <w:t xml:space="preserve">ROA — Return on Assets</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Net Income / Total Assets × 100</w:t>
      </w:r>
    </w:p>
    <w:p>
      <w:pPr>
        <w:spacing w:before="80" w:after="80"/>
      </w:pPr>
      <w:r>
        <w:rPr>
          <w:rFonts w:ascii="Arial" w:cs="Arial" w:eastAsia="Arial" w:hAnsi="Arial"/>
          <w:sz w:val="21"/>
          <w:szCs w:val="21"/>
        </w:rPr>
        <w:t xml:space="preserve">No se ve afectado por la estructura de capital. Mide eficiencia sobre TODOS los activos (propios y financiados con deuda). ROA &gt; 10% es muy eficiente, típico de empresas fabless como NVIDIA. El heatmap del notebook mostró ROA-Margen con correlación 0.90 en semiconductores, lo que indica redundancia informativa entre ambas métricas.</w:t>
      </w:r>
    </w:p>
    <w:p>
      <w:pPr>
        <w:spacing w:before="0" w:after="0"/>
      </w:pPr>
      <w:r>
        <w:t xml:space="preserve"/>
      </w:r>
    </w:p>
    <w:p>
      <w:pPr>
        <w:pStyle w:val="Heading3"/>
        <w:spacing w:before="180" w:after="60"/>
      </w:pPr>
      <w:r>
        <w:rPr>
          <w:rFonts w:ascii="Arial" w:cs="Arial" w:eastAsia="Arial" w:hAnsi="Arial"/>
          <w:b/>
          <w:bCs/>
          <w:color w:val="0F7B6C"/>
          <w:sz w:val="22"/>
          <w:szCs w:val="22"/>
        </w:rPr>
        <w:t xml:space="preserve">Margen Neto</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Net Income / Revenue × 100</w:t>
      </w:r>
    </w:p>
    <w:p>
      <w:pPr>
        <w:spacing w:before="80" w:after="80"/>
      </w:pPr>
      <w:r>
        <w:rPr>
          <w:rFonts w:ascii="Arial" w:cs="Arial" w:eastAsia="Arial" w:hAnsi="Arial"/>
          <w:sz w:val="21"/>
          <w:szCs w:val="21"/>
        </w:rPr>
        <w:t xml:space="preserve">Porcentaje de cada dólar de ventas que queda como ganancia neta. En el sector de semiconductores los rangos son muy amplios: empresas fabless (diseño sin fábricas propias) pueden tener márgenes del 40–55%, mientras que IDMs (Integrated Device Manufacturers) que poseen fábricas suelen estar en 10–25%.</w:t>
      </w:r>
    </w:p>
    <w:p>
      <w:pPr>
        <w:spacing w:before="0" w:after="0"/>
      </w:pPr>
      <w:r>
        <w:t xml:space="preserve"/>
      </w:r>
    </w:p>
    <w:p>
      <w:pPr>
        <w:pStyle w:val="Heading2"/>
        <w:spacing w:before="240" w:after="80"/>
      </w:pPr>
      <w:r>
        <w:rPr>
          <w:rFonts w:ascii="Arial" w:cs="Arial" w:eastAsia="Arial" w:hAnsi="Arial"/>
          <w:b/>
          <w:bCs/>
          <w:color w:val="2E5FA3"/>
          <w:sz w:val="26"/>
          <w:szCs w:val="26"/>
        </w:rPr>
        <w:t xml:space="preserve">4.2  Ratios de Solvencia</w:t>
      </w:r>
    </w:p>
    <w:p>
      <w:pPr>
        <w:pStyle w:val="Heading3"/>
        <w:spacing w:before="180" w:after="60"/>
      </w:pPr>
      <w:r>
        <w:rPr>
          <w:rFonts w:ascii="Arial" w:cs="Arial" w:eastAsia="Arial" w:hAnsi="Arial"/>
          <w:b/>
          <w:bCs/>
          <w:color w:val="0F7B6C"/>
          <w:sz w:val="22"/>
          <w:szCs w:val="22"/>
        </w:rPr>
        <w:t xml:space="preserve">Debt-to-Equity (D/E)</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Total Liabilities / Stockholders' Equity</w:t>
      </w:r>
    </w:p>
    <w:p>
      <w:pPr>
        <w:spacing w:before="80" w:after="80"/>
      </w:pPr>
      <w:r>
        <w:rPr>
          <w:rFonts w:ascii="Arial" w:cs="Arial" w:eastAsia="Arial" w:hAnsi="Arial"/>
          <w:sz w:val="21"/>
          <w:szCs w:val="21"/>
        </w:rPr>
        <w:t xml:space="preserve">En el Scorecard el D/E se invierte (100 − percentile_rank) porque menor D/E es mejor. Un D/E alto en un sector de tasas elevadas es una señal de alerta. El heatmap v4 mostró correlación D/E — Current Ratio de −0.70, lo que confirma que empresas endeudadas tienen menos liquidez.</w:t>
      </w:r>
    </w:p>
    <w:p>
      <w:pPr>
        <w:spacing w:before="0" w:after="0"/>
      </w:pPr>
      <w:r>
        <w:t xml:space="preserve"/>
      </w:r>
    </w:p>
    <w:p>
      <w:pPr>
        <w:pStyle w:val="Heading3"/>
        <w:spacing w:before="180" w:after="60"/>
      </w:pPr>
      <w:r>
        <w:rPr>
          <w:rFonts w:ascii="Arial" w:cs="Arial" w:eastAsia="Arial" w:hAnsi="Arial"/>
          <w:b/>
          <w:bCs/>
          <w:color w:val="0F7B6C"/>
          <w:sz w:val="22"/>
          <w:szCs w:val="22"/>
        </w:rPr>
        <w:t xml:space="preserve">Current Ratio</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Current Assets / Current Liabilities</w:t>
      </w:r>
    </w:p>
    <w:p>
      <w:pPr>
        <w:spacing w:before="80" w:after="80"/>
      </w:pPr>
      <w:r>
        <w:rPr>
          <w:rFonts w:ascii="Arial" w:cs="Arial" w:eastAsia="Arial" w:hAnsi="Arial"/>
          <w:sz w:val="21"/>
          <w:szCs w:val="21"/>
        </w:rPr>
        <w:t xml:space="preserve">Liquidez a 12 meses. Menor a 1.0 es señal de alerta. Mayor a 3.0 puede indicar capital ocioso. En semiconductores, empresas con inventario cíclico alto (como MU) pueden ver fluctuaciones grandes en este ratio entre trimestres.</w:t>
      </w:r>
    </w:p>
    <w:p>
      <w:pPr>
        <w:spacing w:before="0" w:after="0"/>
      </w:pPr>
      <w:r>
        <w:t xml:space="preserve"/>
      </w:r>
    </w:p>
    <w:p>
      <w:pPr>
        <w:pStyle w:val="Heading2"/>
        <w:spacing w:before="240" w:after="80"/>
      </w:pPr>
      <w:r>
        <w:rPr>
          <w:rFonts w:ascii="Arial" w:cs="Arial" w:eastAsia="Arial" w:hAnsi="Arial"/>
          <w:b/>
          <w:bCs/>
          <w:color w:val="2E5FA3"/>
          <w:sz w:val="26"/>
          <w:szCs w:val="26"/>
        </w:rPr>
        <w:t xml:space="preserve">4.3  Free Cash Flow (FCF)</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Operating Cash Flow − |CapEx|</w:t>
      </w:r>
    </w:p>
    <w:p>
      <w:pPr>
        <w:spacing w:before="80" w:after="80"/>
      </w:pPr>
      <w:r>
        <w:rPr>
          <w:rFonts w:ascii="Arial" w:cs="Arial" w:eastAsia="Arial" w:hAnsi="Arial"/>
          <w:sz w:val="21"/>
          <w:szCs w:val="21"/>
        </w:rPr>
        <w:t xml:space="preserve">El CapEx se extrae como valor absoluto porque en XBRL muchas empresas lo reportan como negativo (es un pago, una salida de caja). La función safe_div() y align_series() garantizan que la resta sea sobre el mismo conjunto de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FCF vs Net Income — cuál usar para valorar</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Net Income incluye items no-cash (depreciación, amortización, stock compensation).</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Puede ser manipulado con cambios de criterios contables.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FCF = cash real disponible para: dividendos, recompras, deuda, M&amp;A o reinversión.</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Más difícil de manipular porque requiere movimiento de caja real.</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Una empresa con Net Income positivo y FCF negativo puede tener problemas de liquidez.</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Empresas en fase de CapEx masivo (MU, INTC) tienen FCF temporalmente deprimido</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aunque el negocio subyacente sea sano. Por eso el modelo normaliza el FCF.</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4.4  EBITDA Margin</w:t>
      </w:r>
    </w:p>
    <w:p>
      <w:pPr>
        <w:spacing w:before="80" w:after="80"/>
      </w:pPr>
      <w:r>
        <w:rPr>
          <w:rFonts w:ascii="Arial" w:cs="Arial" w:eastAsia="Arial" w:hAnsi="Arial"/>
          <w:b/>
          <w:bCs/>
          <w:color w:val="0F172A"/>
          <w:sz w:val="21"/>
          <w:szCs w:val="21"/>
        </w:rPr>
        <w:t xml:space="preserve">Fórmula: </w:t>
      </w:r>
      <w:r>
        <w:rPr>
          <w:rFonts w:ascii="Courier New" w:cs="Courier New" w:eastAsia="Courier New" w:hAnsi="Courier New"/>
          <w:color w:val="0F7B6C"/>
          <w:sz w:val="19"/>
          <w:szCs w:val="19"/>
        </w:rPr>
        <w:t xml:space="preserve">(EBIT + Depreciation) / Revenue × 100</w:t>
      </w:r>
    </w:p>
    <w:p>
      <w:pPr>
        <w:spacing w:before="80" w:after="80"/>
      </w:pPr>
      <w:r>
        <w:rPr>
          <w:rFonts w:ascii="Arial" w:cs="Arial" w:eastAsia="Arial" w:hAnsi="Arial"/>
          <w:sz w:val="21"/>
          <w:szCs w:val="21"/>
        </w:rPr>
        <w:t xml:space="preserve">Se calcula en el notebook pero no entra directamente al Scorecard. Es útil para comparar empresas con distintas políticas de depreciación. Un margen EBITDA alto con margen neto bajo puede indicar deuda excesiva (intereses que consumen la diferencia).</w:t>
      </w:r>
    </w:p>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5. DCF Probabilístico — El Modelo Central</w:t>
      </w:r>
    </w:p>
    <w:p>
      <w:pPr>
        <w:spacing w:before="80" w:after="80"/>
      </w:pPr>
      <w:r>
        <w:rPr>
          <w:rFonts w:ascii="Arial" w:cs="Arial" w:eastAsia="Arial" w:hAnsi="Arial"/>
          <w:sz w:val="21"/>
          <w:szCs w:val="21"/>
        </w:rPr>
        <w:t xml:space="preserve">Esta es la innovación principal de la v4 respecto al DCF histórico tradicional. El problema con el DCF histórico puro es que extrapola el pasado reciente, que en semiconductores está frecuentemente distorsionado por ciclos de CapEx, adquisiciones o shocks de demanda.</w:t>
      </w:r>
    </w:p>
    <w:p>
      <w:pPr>
        <w:spacing w:before="0" w:after="0"/>
      </w:pPr>
      <w:r>
        <w:t xml:space="preserve"/>
      </w:r>
    </w:p>
    <w:p>
      <w:pPr>
        <w:pStyle w:val="Heading2"/>
        <w:spacing w:before="240" w:after="80"/>
      </w:pPr>
      <w:r>
        <w:rPr>
          <w:rFonts w:ascii="Arial" w:cs="Arial" w:eastAsia="Arial" w:hAnsi="Arial"/>
          <w:b/>
          <w:bCs/>
          <w:color w:val="2E5FA3"/>
          <w:sz w:val="26"/>
          <w:szCs w:val="26"/>
        </w:rPr>
        <w:t xml:space="preserve">5.1  Por qué falla el DCF histórico en semiconductores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Problema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Causa concreta</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FCF cíclico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Empresas en fase de inversión (MU: $9B CapEx anual) muestran CAGR de FCF negativa que el modelo extrapola como declive estructural.</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WACC sobreestimado</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El beta alto de semiconductores (1.5–2.0) genera WACC de 14–16%. Un denominador tan alto aplasta todos los flujos futuros.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Prima de crecimiento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El mercado descuenta IA, data center y soberanía tecnológica. Un DCF retrospectivo no captura esas expectativas.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Base FCF distorsionada</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Usar el último año como base cuando ese año fue atípico (post-adquisición, pico o valle del ciclo) produce resultados aberrantes.</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5.2  FCF Normalizado — compute_normalized_fcf()</w:t>
      </w:r>
    </w:p>
    <w:p>
      <w:pPr>
        <w:spacing w:before="80" w:after="80"/>
      </w:pPr>
      <w:r>
        <w:rPr>
          <w:rFonts w:ascii="Arial" w:cs="Arial" w:eastAsia="Arial" w:hAnsi="Arial"/>
          <w:sz w:val="21"/>
          <w:szCs w:val="21"/>
        </w:rPr>
        <w:t xml:space="preserve">En lugar del último FCF, el modelo calcula un FCF ponderado en tres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FÓRMULA DE NORMALIZACIÓN</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FCF_normalizado = 0.35 × FCF_ultimo_año</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+ 0.40 × promedio(FCF, últimos 3 años)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+ 0.25 × promedio(FCF, últimos 5 años)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Solo se usan años con FCF positivo para la base (clip(lower=0)).</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El mínimo es $50M para evitar que el modelo colapse en empresas con FCF temporalmente negativo.</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La volatilidad (vol) = std(pct_change(FCF)).clip(0.05, 0.60)</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 usa como input para la dispersión de la distribución de crecimiento en cada escenario.</w:t>
            </w:r>
          </w:p>
        </w:tc>
      </w:tr>
    </w:tbl>
    <w:p>
      <w:pPr>
        <w:spacing w:before="80" w:after="80"/>
      </w:pPr>
      <w:r>
        <w:rPr>
          <w:rFonts w:ascii="Arial" w:cs="Arial" w:eastAsia="Arial" w:hAnsi="Arial"/>
          <w:b/>
          <w:bCs/>
          <w:color w:val="0F172A"/>
          <w:sz w:val="21"/>
          <w:szCs w:val="21"/>
        </w:rPr>
        <w:t xml:space="preserve">Lógica de los pesos: </w:t>
      </w:r>
      <w:r>
        <w:rPr>
          <w:rFonts w:ascii="Arial" w:cs="Arial" w:eastAsia="Arial" w:hAnsi="Arial"/>
          <w:color w:val="0F172A"/>
          <w:sz w:val="21"/>
          <w:szCs w:val="21"/>
        </w:rPr>
        <w:t xml:space="preserve">el 40% al promedio de 3 años es el mayor peso porque suaviza el ciclo sin perder relevancia reciente. El 35% al último año garantiza que el estado actual tenga influencia. El 25% a 5 años ancla estructuralmente.</w:t>
      </w:r>
    </w:p>
    <w:p>
      <w:pPr>
        <w:spacing w:before="0" w:after="0"/>
      </w:pPr>
      <w:r>
        <w:t xml:space="preserve"/>
      </w:r>
    </w:p>
    <w:p>
      <w:pPr>
        <w:pStyle w:val="Heading2"/>
        <w:spacing w:before="240" w:after="80"/>
      </w:pPr>
      <w:r>
        <w:rPr>
          <w:rFonts w:ascii="Arial" w:cs="Arial" w:eastAsia="Arial" w:hAnsi="Arial"/>
          <w:b/>
          <w:bCs/>
          <w:color w:val="2E5FA3"/>
          <w:sz w:val="26"/>
          <w:szCs w:val="26"/>
        </w:rPr>
        <w:t xml:space="preserve">5.3  Crecimiento Base Multi-señal — compute_sector_adjusted_growth()</w:t>
      </w:r>
    </w:p>
    <w:p>
      <w:pPr>
        <w:spacing w:before="80" w:after="80"/>
      </w:pPr>
      <w:r>
        <w:rPr>
          <w:rFonts w:ascii="Arial" w:cs="Arial" w:eastAsia="Arial" w:hAnsi="Arial"/>
          <w:sz w:val="21"/>
          <w:szCs w:val="21"/>
        </w:rPr>
        <w:t xml:space="preserve">En lugar de la CAGR pura del FCF (muy volátil), combina tres señales independientes: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Señal</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Peso</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Lógica</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CAGR del Revenue (40%)</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Más estable que el FCF. No se ve afectada por el ciclo de CapEx. Usa todos los años disponibles.</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Mediana YoY del FCF (35%)</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Mediana (no media) para ser robusta a outliers. Reemplaza pct_change con NaN para cambios de signo.</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Tendencia de márgenes (25%)</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Regresión lineal sobre la serie de margen neto. Si el margen sube 1pp/año → contribuye ~+2% al crecimiento base.</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p>
        </w:tc>
      </w:tr>
    </w:tbl>
    <w:p>
      <w:pPr>
        <w:spacing w:before="80" w:after="80"/>
      </w:pPr>
      <w:r>
        <w:rPr>
          <w:rFonts w:ascii="Arial" w:cs="Arial" w:eastAsia="Arial" w:hAnsi="Arial"/>
          <w:b/>
          <w:bCs/>
          <w:color w:val="0F172A"/>
          <w:sz w:val="21"/>
          <w:szCs w:val="21"/>
        </w:rPr>
        <w:t xml:space="preserve">Floor sectorial: </w:t>
      </w:r>
      <w:r>
        <w:rPr>
          <w:rFonts w:ascii="Arial" w:cs="Arial" w:eastAsia="Arial" w:hAnsi="Arial"/>
          <w:color w:val="0F172A"/>
          <w:sz w:val="21"/>
          <w:szCs w:val="21"/>
        </w:rPr>
        <w:t xml:space="preserve">el resultado se clampea en [−5%, 60%]. El piso de −5% refleja que semiconductores tiene demanda estructural (data center, autos, defensa) y no declina indefinidamente.</w:t>
      </w:r>
    </w:p>
    <w:p>
      <w:pPr>
        <w:spacing w:before="0" w:after="0"/>
      </w:pPr>
      <w:r>
        <w:t xml:space="preserve"/>
      </w:r>
    </w:p>
    <w:p>
      <w:pPr>
        <w:pStyle w:val="Heading2"/>
        <w:spacing w:before="240" w:after="80"/>
      </w:pPr>
      <w:r>
        <w:rPr>
          <w:rFonts w:ascii="Arial" w:cs="Arial" w:eastAsia="Arial" w:hAnsi="Arial"/>
          <w:b/>
          <w:bCs/>
          <w:color w:val="2E5FA3"/>
          <w:sz w:val="26"/>
          <w:szCs w:val="26"/>
        </w:rPr>
        <w:t xml:space="preserve">5.4  WACC con Ajuste de Vasicek</w:t>
      </w:r>
    </w:p>
    <w:p>
      <w:pPr>
        <w:spacing w:before="80" w:after="80"/>
      </w:pPr>
      <w:r>
        <w:rPr>
          <w:rFonts w:ascii="Arial" w:cs="Arial" w:eastAsia="Arial" w:hAnsi="Arial"/>
          <w:sz w:val="21"/>
          <w:szCs w:val="21"/>
        </w:rPr>
        <w:t xml:space="preserve">El WACC base se estima via CAPM, pero con una corrección importante al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CAPM + AJUSTE DE VASICEK</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Beta raw desde Yahoo Finance (puede ser 1.7, 2.0, etc.)</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raw_beta = yf.Ticker(ticker).info.get('beta', 1.3)</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Ajuste de Vasicek: atrae el beta extremo hacia la media del mercado (1.0)</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Justificación: los betas extremos tienen mean reversion empírico</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beta_adj = 0.67 × raw_beta + 0.33 × 1.0</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CAPM con ERP de Damodaran (5.2% histórico US) y Rf T-10Y (4.5%)</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WACC = 0.045 + beta_adj × 0.052</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Clamp sectorial: [7%, 18%] — rango razonable para semiconductores</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WACC = clip(WACC, 0.07, 0.18)</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Ejemplo NVDA (beta raw ≈ 1.7):</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beta_adj = 0.67 × 1.7 + 0.33 × 1.0 = 1.47</w:t>
            </w:r>
          </w:p>
        </w:tc>
      </w:tr>
      <w:tr>
        <w:tc>
          <w:tcPr>
            <w:tcW w:type="dxa" w:w="9360"/>
            <w:tcBorders>
              <w:top w:val="single" w:color="15803D" w:sz="1"/>
              <w:left w:val="single" w:color="15803D" w:sz="1"/>
              <w:bottom w:val="single" w:color="15803D" w:sz="1"/>
              <w:right w:val="single" w:color="15803D" w:sz="1"/>
            </w:tcBorders>
            <w:shd w:fill="DCFCE7" w:val="clear"/>
            <w:tcMar>
              <w:top w:type="dxa" w:w="55"/>
              <w:left w:type="dxa" w:w="140"/>
              <w:bottom w:type="dxa" w:w="55"/>
              <w:right w:type="dxa" w:w="140"/>
            </w:tcMar>
          </w:tcPr>
          <w:p>
            <w:pPr>
              <w:spacing w:before="0" w:after="0"/>
            </w:pPr>
            <w:r>
              <w:rPr>
                <w:rFonts w:ascii="Arial" w:cs="Arial" w:eastAsia="Arial" w:hAnsi="Arial"/>
                <w:sz w:val="20"/>
                <w:szCs w:val="20"/>
              </w:rPr>
              <w:t xml:space="preserve">  WACC = 4.5% + 1.47 × 5.2% = 12.1%  (vs 13.9% sin Vasicek)</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5.5  Simulación por Escenarios — simulate_scenario()</w:t>
      </w:r>
    </w:p>
    <w:p>
      <w:pPr>
        <w:spacing w:before="80" w:after="80"/>
      </w:pPr>
      <w:r>
        <w:rPr>
          <w:rFonts w:ascii="Arial" w:cs="Arial" w:eastAsia="Arial" w:hAnsi="Arial"/>
          <w:sz w:val="21"/>
          <w:szCs w:val="21"/>
        </w:rPr>
        <w:t xml:space="preserve">Cada escenario modifica la distribución de crecimiento y WACC respecto al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Escenario</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Distribuciones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Bear (25%)</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Growth: base − 10pp, sd = sqrt(vol²×0.5 + 8%²). WACC: base + 1.5pp, sd = 1.5%. Representa ciclo bajista o pérdida de cuota.</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Base (50%)</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Growth: sin ajuste, sd = sqrt(vol²×0.5 + 6%²). WACC: sin ajuste, sd = 1.5%. Normalización del ciclo.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Bull (25%)</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Growth: base + 12pp, sd = sqrt(vol²×0.5 + 7%²). WACC: base − 1.0pp, sd = 1.0%. Expansión por IA/data center.</w:t>
            </w:r>
          </w:p>
        </w:tc>
      </w:tr>
    </w:tbl>
    <w:p>
      <w:pPr>
        <w:spacing w:before="80" w:after="80"/>
      </w:pPr>
      <w:r>
        <w:rPr>
          <w:rFonts w:ascii="Arial" w:cs="Arial" w:eastAsia="Arial" w:hAnsi="Arial"/>
          <w:b/>
          <w:bCs/>
          <w:color w:val="0F172A"/>
          <w:sz w:val="21"/>
          <w:szCs w:val="21"/>
        </w:rPr>
        <w:t xml:space="preserve">La std del crecimiento combina: </w:t>
      </w:r>
      <w:r>
        <w:rPr>
          <w:rFonts w:ascii="Arial" w:cs="Arial" w:eastAsia="Arial" w:hAnsi="Arial"/>
          <w:color w:val="0F172A"/>
          <w:sz w:val="21"/>
          <w:szCs w:val="21"/>
        </w:rPr>
        <w:t xml:space="preserve">la volatilidad histórica de la empresa (vol) con la incertidumbre del escenario (std fijo). Esto hace que empresas con FCF más volátil tengan distribuciones más anchas, lo que se ve visualmente en el violin plot.</w:t>
      </w:r>
    </w:p>
    <w:p>
      <w:pPr>
        <w:spacing w:before="0" w:after="0"/>
      </w:pPr>
      <w:r>
        <w:t xml:space="preserve"/>
      </w:r>
    </w:p>
    <w:p>
      <w:pPr>
        <w:pStyle w:val="Heading2"/>
        <w:spacing w:before="240" w:after="80"/>
      </w:pPr>
      <w:r>
        <w:rPr>
          <w:rFonts w:ascii="Arial" w:cs="Arial" w:eastAsia="Arial" w:hAnsi="Arial"/>
          <w:b/>
          <w:bCs/>
          <w:color w:val="2E5FA3"/>
          <w:sz w:val="26"/>
          <w:szCs w:val="26"/>
        </w:rPr>
        <w:t xml:space="preserve">5.6  Distribución Combinada — 30.000 paths</w:t>
      </w:r>
    </w:p>
    <w:p>
      <w:pPr>
        <w:spacing w:before="80" w:after="80"/>
      </w:pPr>
      <w:r>
        <w:rPr>
          <w:rFonts w:ascii="Arial" w:cs="Arial" w:eastAsia="Arial" w:hAnsi="Arial"/>
          <w:sz w:val="21"/>
          <w:szCs w:val="21"/>
        </w:rPr>
        <w:t xml:space="preserve">Después de simular los 3 escenarios, se muestrean paths proporcionalmente a los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CONSTRUCCIÓN DE LA DISTRIBUCIÓN COMBINADA</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bear_sample = random.choice(dist_bear, size=int(len(dist_bear) × 0.25))</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base_sample = random.choice(dist_base, size=int(len(dist_base) × 0.50))</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bull_sample = random.choice(dist_bull, size=int(len(dist_bull) × 0.25))</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combined = concatenate([bear_sample, base_sample, bull_sample])</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De combined se extraen los estadísticos finales: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P10 = percentile(combined, 10)   ← escenario pesimista implícito</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Mediana = percentile(combined, 50) ← estimación central</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P90 = percentile(combined, 90)   ← escenario optimista implícito</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P(IV &gt; Mkt) = mean(combined &gt; market_cap) × 100</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5.7  Métricas de output del DCF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Columna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Significado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base_fcf_bn</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FCF normalizado (ponderado 35/40/25) en miles de millones. Es el FCF base para las proyecciones.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fcf_vol</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Volatilidad histórica del FCF (std de retornos anuales). Determina qué tan ancha es la distribución de cada escenario.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base_growth_pct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Tasa de crecimiento base multi-señal (revenue CAGR + mediana FCF + tendencia márgenes). En %.</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wacc_base_pct</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WACC estimado con Vasicek. Punto central de la distribución de WACC. En %.</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bear/base/bull_median_bn</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Valor intrínseco mediano de cada familia de escenarios por separado. Permite ver la dispersión entre escenarios.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dcf_p10/median/p90_bn</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Percentiles de la distribución combinada. P10 = bear case implícito, P90 = bull case implícito.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upside_pct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(Mediana IV / Market Cap − 1) × 100. Upside o downside en la valoración base.</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prob_above_mktcap</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 de los 30.000 paths donde IV &gt; Market Cap. La métrica más directa de margin of safety cuantificado.</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6. Scorecard — Ranking de Inversión</w:t>
      </w:r>
    </w:p>
    <w:p>
      <w:pPr>
        <w:pStyle w:val="Heading2"/>
        <w:spacing w:before="240" w:after="80"/>
      </w:pPr>
      <w:r>
        <w:rPr>
          <w:rFonts w:ascii="Arial" w:cs="Arial" w:eastAsia="Arial" w:hAnsi="Arial"/>
          <w:b/>
          <w:bCs/>
          <w:color w:val="2E5FA3"/>
          <w:sz w:val="26"/>
          <w:szCs w:val="26"/>
        </w:rPr>
        <w:t xml:space="preserve">6.1  Metodología de percentile rank</w:t>
      </w:r>
    </w:p>
    <w:p>
      <w:pPr>
        <w:spacing w:before="80" w:after="80"/>
      </w:pPr>
      <w:r>
        <w:rPr>
          <w:rFonts w:ascii="Arial" w:cs="Arial" w:eastAsia="Arial" w:hAnsi="Arial"/>
          <w:color w:val="0F172A"/>
          <w:sz w:val="21"/>
          <w:szCs w:val="21"/>
        </w:rPr>
        <w:t xml:space="preserve">Cada métrica se convierte a su posición relativa dentro del sector usando </w:t>
      </w:r>
      <w:r>
        <w:rPr>
          <w:rFonts w:ascii="Courier New" w:cs="Courier New" w:eastAsia="Courier New" w:hAnsi="Courier New"/>
          <w:color w:val="0F7B6C"/>
          <w:sz w:val="19"/>
          <w:szCs w:val="19"/>
        </w:rPr>
        <w:t xml:space="preserve">series.rank(pct=True) * 100</w:t>
      </w:r>
      <w:r>
        <w:rPr>
          <w:rFonts w:ascii="Arial" w:cs="Arial" w:eastAsia="Arial" w:hAnsi="Arial"/>
          <w:color w:val="0F172A"/>
          <w:sz w:val="21"/>
          <w:szCs w:val="21"/>
        </w:rPr>
        <w:t xml:space="preserve">. Esto resuelve tres problemas: distintas escalas (ROE en % vs Current Ratio en decimales), outliers (NVIDIA con ROE de 90% no domina el score), y dirección (D/E se invierte con 100 − rank).</w:t>
      </w:r>
    </w:p>
    <w:p>
      <w:pPr>
        <w:spacing w:before="0" w:after="0"/>
      </w:pPr>
      <w:r>
        <w:t xml:space="preserve"/>
      </w:r>
    </w:p>
    <w:p>
      <w:pPr>
        <w:pStyle w:val="Heading2"/>
        <w:spacing w:before="240" w:after="80"/>
      </w:pPr>
      <w:r>
        <w:rPr>
          <w:rFonts w:ascii="Arial" w:cs="Arial" w:eastAsia="Arial" w:hAnsi="Arial"/>
          <w:b/>
          <w:bCs/>
          <w:color w:val="2E5FA3"/>
          <w:sz w:val="26"/>
          <w:szCs w:val="26"/>
        </w:rPr>
        <w:t xml:space="preserve">6.2  Estructura de ponderación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Dimensión</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Composición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Calidad Fundamental (40%)</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ROE × 40% + ROA × 30% + Margen Neto × 30%. El factor más persistente en el tiempo.</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Solvencia y Riesgo (25%)</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D/E invertido × 40% + Current Ratio × 35% + Asset Turnover × 25%. Actúa como filtro de riesgo.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Crecimiento y Valuación (35%)</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Revenue Growth × 25% + Upside DCF × 35% + P(IV&gt;Mkt) × 25% + FCF Growth × 15%.</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6.3  Novedad v4: P(IV&gt;Mkt) en el Scorecard</w:t>
      </w:r>
    </w:p>
    <w:p>
      <w:pPr>
        <w:spacing w:before="80" w:after="80"/>
      </w:pPr>
      <w:r>
        <w:rPr>
          <w:rFonts w:ascii="Arial" w:cs="Arial" w:eastAsia="Arial" w:hAnsi="Arial"/>
          <w:sz w:val="21"/>
          <w:szCs w:val="21"/>
        </w:rPr>
        <w:t xml:space="preserve">La v4 incorpora la probabilidad de que el valor intrínseco supere el Market Cap directamente en el Scorecard (peso 25% dentro de la dimensión de Crecimiento y Valuación). Esta métrica resume la distribución Monte Carlo completa en un solo número interpretable: cuántos de los 30.000 paths resultan en una empresa subvaluada.</w:t>
      </w:r>
    </w:p>
    <w:p>
      <w:pPr>
        <w:spacing w:before="0" w:after="0"/>
      </w:pPr>
      <w:r>
        <w:t xml:space="preserve"/>
      </w:r>
    </w:p>
    <w:p>
      <w:pPr>
        <w:pStyle w:val="Heading2"/>
        <w:spacing w:before="240" w:after="80"/>
      </w:pPr>
      <w:r>
        <w:rPr>
          <w:rFonts w:ascii="Arial" w:cs="Arial" w:eastAsia="Arial" w:hAnsi="Arial"/>
          <w:b/>
          <w:bCs/>
          <w:color w:val="2E5FA3"/>
          <w:sz w:val="26"/>
          <w:szCs w:val="26"/>
        </w:rPr>
        <w:t xml:space="preserve">6.4  Ratings y umbrales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Rating</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Umbral</w:t>
            </w:r>
          </w:p>
        </w:tc>
        <w:tc>
          <w:tcPr>
            <w:tcW w:type="dxa" w:w="3120"/>
            <w:tcBorders>
              <w:top w:val="single" w:color="E2E8F0" w:sz="1"/>
              <w:left w:val="single" w:color="E2E8F0" w:sz="1"/>
              <w:bottom w:val="single" w:color="E2E8F0" w:sz="1"/>
              <w:right w:val="single" w:color="E2E8F0" w:sz="1"/>
            </w:tcBorders>
            <w:shd w:fill="1B2A4A" w:val="clear"/>
            <w:tcMar>
              <w:top w:type="dxa" w:w="90"/>
              <w:left w:type="dxa" w:w="120"/>
              <w:bottom w:type="dxa" w:w="90"/>
              <w:right w:type="dxa" w:w="120"/>
            </w:tcMar>
            <w:vAlign w:val="center"/>
          </w:tcPr>
          <w:p>
            <w:pPr>
              <w:spacing w:before="0" w:after="0"/>
              <w:jc w:val="center"/>
            </w:pPr>
            <w:r>
              <w:rPr>
                <w:rFonts w:ascii="Arial" w:cs="Arial" w:eastAsia="Arial" w:hAnsi="Arial"/>
                <w:b/>
                <w:bCs/>
                <w:color w:val="FFFFFF"/>
                <w:sz w:val="19"/>
                <w:szCs w:val="19"/>
              </w:rPr>
              <w:t xml:space="preserve">Significado</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OVERWEIGHT</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Score ≥ 65</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Fundamentales superiores al sector con valuación atractiva. Candidato a sobreponderación.</w:t>
            </w:r>
          </w:p>
        </w:tc>
      </w:tr>
      <w:tr>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left"/>
            </w:pPr>
            <w:r>
              <w:rPr>
                <w:rFonts w:ascii="Arial" w:cs="Arial" w:eastAsia="Arial" w:hAnsi="Arial"/>
                <w:sz w:val="19"/>
                <w:szCs w:val="19"/>
              </w:rPr>
              <w:t xml:space="preserve">NEUTRAL</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35 ≤ Score &lt; 65</w:t>
            </w:r>
          </w:p>
        </w:tc>
        <w:tc>
          <w:tcPr>
            <w:tcW w:type="dxa" w:w="3120"/>
            <w:tcBorders>
              <w:top w:val="single" w:color="E2E8F0" w:sz="1"/>
              <w:left w:val="single" w:color="E2E8F0" w:sz="1"/>
              <w:bottom w:val="single" w:color="E2E8F0" w:sz="1"/>
              <w:right w:val="single" w:color="E2E8F0" w:sz="1"/>
            </w:tcBorders>
            <w:shd w:fill="F1F5F9"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En línea con el sector. Sin catalizador claro ni riesgo evidente.</w:t>
            </w:r>
          </w:p>
        </w:tc>
      </w:tr>
      <w:tr>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left"/>
            </w:pPr>
            <w:r>
              <w:rPr>
                <w:rFonts w:ascii="Arial" w:cs="Arial" w:eastAsia="Arial" w:hAnsi="Arial"/>
                <w:sz w:val="19"/>
                <w:szCs w:val="19"/>
              </w:rPr>
              <w:t xml:space="preserve">UNDERWEIGHT</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Score &lt; 35</w:t>
            </w:r>
          </w:p>
        </w:tc>
        <w:tc>
          <w:tcPr>
            <w:tcW w:type="dxa" w:w="3120"/>
            <w:tcBorders>
              <w:top w:val="single" w:color="E2E8F0" w:sz="1"/>
              <w:left w:val="single" w:color="E2E8F0" w:sz="1"/>
              <w:bottom w:val="single" w:color="E2E8F0" w:sz="1"/>
              <w:right w:val="single" w:color="E2E8F0" w:sz="1"/>
            </w:tcBorders>
            <w:shd w:fill="FFFFFF" w:val="clear"/>
            <w:tcMar>
              <w:top w:type="dxa" w:w="65"/>
              <w:left w:type="dxa" w:w="120"/>
              <w:bottom w:type="dxa" w:w="65"/>
              <w:right w:type="dxa" w:w="120"/>
            </w:tcMar>
          </w:tcPr>
          <w:p>
            <w:pPr>
              <w:spacing w:before="0" w:after="0"/>
              <w:jc w:val="center"/>
            </w:pPr>
            <w:r>
              <w:rPr>
                <w:rFonts w:ascii="Arial" w:cs="Arial" w:eastAsia="Arial" w:hAnsi="Arial"/>
                <w:sz w:val="19"/>
                <w:szCs w:val="19"/>
              </w:rPr>
              <w:t xml:space="preserve">Fundamentales débiles o valoración excesiva. Candidato a subponderación.</w:t>
            </w:r>
          </w:p>
        </w:tc>
      </w:tr>
    </w:tbl>
    <w:p>
      <w:pPr>
        <w:spacing w:before="80" w:after="80"/>
      </w:pPr>
      <w:r>
        <w:rPr>
          <w:rFonts w:ascii="Arial" w:cs="Arial" w:eastAsia="Arial" w:hAnsi="Arial"/>
          <w:b/>
          <w:bCs/>
          <w:color w:val="0F172A"/>
          <w:sz w:val="21"/>
          <w:szCs w:val="21"/>
        </w:rPr>
        <w:t xml:space="preserve">Importante: </w:t>
      </w:r>
      <w:r>
        <w:rPr>
          <w:rFonts w:ascii="Arial" w:cs="Arial" w:eastAsia="Arial" w:hAnsi="Arial"/>
          <w:color w:val="0F172A"/>
          <w:sz w:val="21"/>
          <w:szCs w:val="21"/>
        </w:rPr>
        <w:t xml:space="preserve">los ratings son relativos al sector analizado, no al mercado general. Un NEUTRAL en semiconductores puede ser OVERWEIGHT versus el S&amp;P 500 si el sector tiene momentum estructural.</w:t>
      </w:r>
    </w:p>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7. Visualizaciones — Cómo Leer Cada Gráfico</w:t>
      </w:r>
    </w:p>
    <w:p>
      <w:pPr>
        <w:pStyle w:val="Heading2"/>
        <w:spacing w:before="240" w:after="80"/>
      </w:pPr>
      <w:r>
        <w:rPr>
          <w:rFonts w:ascii="Arial" w:cs="Arial" w:eastAsia="Arial" w:hAnsi="Arial"/>
          <w:b/>
          <w:bCs/>
          <w:color w:val="2E5FA3"/>
          <w:sz w:val="26"/>
          <w:szCs w:val="26"/>
        </w:rPr>
        <w:t xml:space="preserve">7.1  Scatter: Margen Neto vs. Crecimiento Revenue</w:t>
      </w:r>
    </w:p>
    <w:p>
      <w:pPr>
        <w:spacing w:before="80" w:after="80"/>
      </w:pPr>
      <w:r>
        <w:rPr>
          <w:rFonts w:ascii="Arial" w:cs="Arial" w:eastAsia="Arial" w:hAnsi="Arial"/>
          <w:sz w:val="21"/>
          <w:szCs w:val="21"/>
        </w:rPr>
        <w:t xml:space="preserve">Las medianas del sector dividen el gráfico en 4 cuadrantes. El tamaño del punto es proporcional al revenue total y el color al ROE. Empresas en el cuadrante superior derecho (alto margen + alto crecimiento) son los 'Champions' del sector.</w:t>
      </w:r>
    </w:p>
    <w:p>
      <w:pPr>
        <w:spacing w:before="0" w:after="0"/>
      </w:pPr>
      <w:r>
        <w:t xml:space="preserve"/>
      </w:r>
    </w:p>
    <w:p>
      <w:pPr>
        <w:pStyle w:val="Heading2"/>
        <w:spacing w:before="240" w:after="80"/>
      </w:pPr>
      <w:r>
        <w:rPr>
          <w:rFonts w:ascii="Arial" w:cs="Arial" w:eastAsia="Arial" w:hAnsi="Arial"/>
          <w:b/>
          <w:bCs/>
          <w:color w:val="2E5FA3"/>
          <w:sz w:val="26"/>
          <w:szCs w:val="26"/>
        </w:rPr>
        <w:t xml:space="preserve">7.2  Heatmap de Correlación</w:t>
      </w:r>
    </w:p>
    <w:p>
      <w:pPr>
        <w:spacing w:before="80" w:after="80"/>
      </w:pPr>
      <w:r>
        <w:rPr>
          <w:rFonts w:ascii="Arial" w:cs="Arial" w:eastAsia="Arial" w:hAnsi="Arial"/>
          <w:sz w:val="21"/>
          <w:szCs w:val="21"/>
        </w:rPr>
        <w:t xml:space="preserve">Triángulo inferior de la matriz de correlación entre ratios. Valores cercanos a 1.0 (rojo) indican redundancia: esas métricas miden esencialmente lo mismo. Valores cercanos a −1.0 (azul) indican relación inversa. Útil para detectar doble-ponderación implícita en el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Par de ratios</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Interpretación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ROA — Margen Neto ≈ 0.90</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Correlación altísima. Incluir ambas con el mismo peso es redundante en semiconductores.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D/E — Current Ratio ≈ −0.70</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Empresas endeudadas tienen menos liquidez. Relación inversa esperada.</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ROE — D/E ≈ 0.84</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El ROE alto puede estar inflado por apalancamiento, no solo por eficiencia operativa.</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7.3  Violin Plot — Familias de Escenarios</w:t>
      </w:r>
    </w:p>
    <w:p>
      <w:pPr>
        <w:spacing w:before="80" w:after="80"/>
      </w:pPr>
      <w:r>
        <w:rPr>
          <w:rFonts w:ascii="Arial" w:cs="Arial" w:eastAsia="Arial" w:hAnsi="Arial"/>
          <w:sz w:val="21"/>
          <w:szCs w:val="21"/>
        </w:rPr>
        <w:t xml:space="preserve">Cada empresa tiene 3 violines superpuestos (Bear en rojo, Base en azul, Bull en verde). La línea dorada horizontal es el Market Cap actual. La interpretación clave:</w:t>
      </w:r>
    </w:p>
    <w:p>
      <w:pPr>
        <w:pStyle w:val="ListParagraph"/>
        <w:numPr>
          <w:ilvl w:val="0"/>
          <w:numId w:val="2"/>
        </w:numPr>
        <w:spacing w:before="40" w:after="40"/>
      </w:pPr>
      <w:r>
        <w:rPr>
          <w:rFonts w:ascii="Arial" w:cs="Arial" w:eastAsia="Arial" w:hAnsi="Arial"/>
          <w:sz w:val="21"/>
          <w:szCs w:val="21"/>
        </w:rPr>
        <w:t xml:space="preserve">Violín ancho = alta incertidumbre en esa empresa (FCF volátil históricamente).</w:t>
      </w:r>
    </w:p>
    <w:p>
      <w:pPr>
        <w:pStyle w:val="ListParagraph"/>
        <w:numPr>
          <w:ilvl w:val="0"/>
          <w:numId w:val="2"/>
        </w:numPr>
        <w:spacing w:before="40" w:after="40"/>
      </w:pPr>
      <w:r>
        <w:rPr>
          <w:rFonts w:ascii="Arial" w:cs="Arial" w:eastAsia="Arial" w:hAnsi="Arial"/>
          <w:sz w:val="21"/>
          <w:szCs w:val="21"/>
        </w:rPr>
        <w:t xml:space="preserve">Si la línea dorada está por encima de todos los violines → mercado valúa muy por encima del IV en todos los escenarios.</w:t>
      </w:r>
    </w:p>
    <w:p>
      <w:pPr>
        <w:pStyle w:val="ListParagraph"/>
        <w:numPr>
          <w:ilvl w:val="0"/>
          <w:numId w:val="2"/>
        </w:numPr>
        <w:spacing w:before="40" w:after="40"/>
      </w:pPr>
      <w:r>
        <w:rPr>
          <w:rFonts w:ascii="Arial" w:cs="Arial" w:eastAsia="Arial" w:hAnsi="Arial"/>
          <w:sz w:val="21"/>
          <w:szCs w:val="21"/>
        </w:rPr>
        <w:t xml:space="preserve">Si la línea dorada está dentro del violín base → upside en escenario base.</w:t>
      </w:r>
    </w:p>
    <w:p>
      <w:pPr>
        <w:pStyle w:val="ListParagraph"/>
        <w:numPr>
          <w:ilvl w:val="0"/>
          <w:numId w:val="2"/>
        </w:numPr>
        <w:spacing w:before="40" w:after="40"/>
      </w:pPr>
      <w:r>
        <w:rPr>
          <w:rFonts w:ascii="Arial" w:cs="Arial" w:eastAsia="Arial" w:hAnsi="Arial"/>
          <w:b/>
          <w:bCs/>
          <w:color w:val="0F172A"/>
          <w:sz w:val="21"/>
          <w:szCs w:val="21"/>
        </w:rPr>
        <w:t xml:space="preserve">P(IV&gt;Mkt) </w:t>
      </w:r>
      <w:r>
        <w:rPr>
          <w:rFonts w:ascii="Arial" w:cs="Arial" w:eastAsia="Arial" w:hAnsi="Arial"/>
          <w:color w:val="0F172A"/>
          <w:sz w:val="21"/>
          <w:szCs w:val="21"/>
        </w:rPr>
        <w:t xml:space="preserve">en el título de cada subplot = % de los 30.000 paths donde IV supera el Market Cap.</w:t>
      </w:r>
    </w:p>
    <w:p>
      <w:pPr>
        <w:spacing w:before="80" w:after="80"/>
      </w:pPr>
      <w:r>
        <w:rPr>
          <w:rFonts w:ascii="Arial" w:cs="Arial" w:eastAsia="Arial" w:hAnsi="Arial"/>
          <w:b/>
          <w:bCs/>
          <w:color w:val="0F172A"/>
          <w:sz w:val="21"/>
          <w:szCs w:val="21"/>
        </w:rPr>
        <w:t xml:space="preserve">Fix v4: </w:t>
      </w:r>
      <w:r>
        <w:rPr>
          <w:rFonts w:ascii="Arial" w:cs="Arial" w:eastAsia="Arial" w:hAnsi="Arial"/>
          <w:color w:val="0F172A"/>
          <w:sz w:val="21"/>
          <w:szCs w:val="21"/>
        </w:rPr>
        <w:t xml:space="preserve">el grid es de n_rows × 3 columnas con figsize=(14, 5×n_rows). Esto evita el canvas larguísimo que generaba el layout 1×N de la v3.</w:t>
      </w:r>
    </w:p>
    <w:p>
      <w:pPr>
        <w:spacing w:before="0" w:after="0"/>
      </w:pPr>
      <w:r>
        <w:t xml:space="preserve"/>
      </w:r>
    </w:p>
    <w:p>
      <w:pPr>
        <w:pStyle w:val="Heading2"/>
        <w:spacing w:before="240" w:after="80"/>
      </w:pPr>
      <w:r>
        <w:rPr>
          <w:rFonts w:ascii="Arial" w:cs="Arial" w:eastAsia="Arial" w:hAnsi="Arial"/>
          <w:b/>
          <w:bCs/>
          <w:color w:val="2E5FA3"/>
          <w:sz w:val="26"/>
          <w:szCs w:val="26"/>
        </w:rPr>
        <w:t xml:space="preserve">7.4  Upside por Escenario (Barras Agrupadas)</w:t>
      </w:r>
    </w:p>
    <w:p>
      <w:pPr>
        <w:spacing w:before="80" w:after="80"/>
      </w:pPr>
      <w:r>
        <w:rPr>
          <w:rFonts w:ascii="Arial" w:cs="Arial" w:eastAsia="Arial" w:hAnsi="Arial"/>
          <w:sz w:val="21"/>
          <w:szCs w:val="21"/>
        </w:rPr>
        <w:t xml:space="preserve">Tres barras por empresa: Bear (rojo), Base (azul), Bull (verde). La línea horizontal en 0 separa upside de downside. Permite ver rápidamente en qué escenario cada empresa está subvaluada y cuánto margen de seguridad tiene en el peor caso.</w:t>
      </w:r>
    </w:p>
    <w:p>
      <w:pPr>
        <w:spacing w:before="0" w:after="0"/>
      </w:pPr>
      <w:r>
        <w:t xml:space="preserve"/>
      </w:r>
    </w:p>
    <w:p>
      <w:pPr>
        <w:pStyle w:val="Heading2"/>
        <w:spacing w:before="240" w:after="80"/>
      </w:pPr>
      <w:r>
        <w:rPr>
          <w:rFonts w:ascii="Arial" w:cs="Arial" w:eastAsia="Arial" w:hAnsi="Arial"/>
          <w:b/>
          <w:bCs/>
          <w:color w:val="2E5FA3"/>
          <w:sz w:val="26"/>
          <w:szCs w:val="26"/>
        </w:rPr>
        <w:t xml:space="preserve">7.5  Matriz de Valoración Probabilística (Heatmap)</w:t>
      </w:r>
    </w:p>
    <w:p>
      <w:pPr>
        <w:spacing w:before="80" w:after="80"/>
      </w:pPr>
      <w:r>
        <w:rPr>
          <w:rFonts w:ascii="Arial" w:cs="Arial" w:eastAsia="Arial" w:hAnsi="Arial"/>
          <w:sz w:val="21"/>
          <w:szCs w:val="21"/>
        </w:rPr>
        <w:t xml:space="preserve">Heatmap con ratios IV/Market Cap centrado en 1.0. Verde = subvaluado (IV &gt; Mkt Cap), rojo = sobrevaluado. Las columnas son P10, Mediana, P90, Bear y Bull. Permite ver la asimetría de cada empresa: una empresa puede estar sobrevaluada en el P10 pero subvaluada en el Bull.</w:t>
      </w:r>
    </w:p>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8. Yahoo Finance — Uso e Impacto en el Modelo</w:t>
      </w:r>
    </w:p>
    <w:p>
      <w:pPr>
        <w:spacing w:before="80" w:after="80"/>
      </w:pPr>
      <w:r>
        <w:rPr>
          <w:rFonts w:ascii="Arial" w:cs="Arial" w:eastAsia="Arial" w:hAnsi="Arial"/>
          <w:sz w:val="21"/>
          <w:szCs w:val="21"/>
        </w:rPr>
        <w:t xml:space="preserve">yfinance es la única dependencia de datos de mercado. Se usa en dos funciones específicas dentro del Módulo 5 (DCF Probabilístico):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Función</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Dato obtenido e impacto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Obtiene el beta de mercado del ticker. Sin beta real, todo el sector usaría el mismo WACC de 10% (fallback), eliminando la diferenciación por riesgo sistémico.</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Obtiene market_cap y current_price. Sin market_cap, las columnas upside_pct, upside_bear_pct, upside_bull_pct y prob_above_mktcap quedan en None. El Scorecard pierde las señales de valuación (35% del score).</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8.1  Errores frecuentes con yfinance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Error</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Causa y solución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Timeout / ConnectionError</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Yahoo bloquea requests frecuentes. Agregar try-except con fallback (beta=1.3, market_cap=None). Ya implementado en la v4.</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beta retorna None</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Algunas empresas pequeñas no tienen beta en Yahoo. El código usa 'or 1.3' para el fallback: float(info.get('beta', 1.3) or 1.3).</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market_cap desactualizado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Yahoo puede tener un delay de 15 minutos a 1 día. Para análisis fundamental de largo plazo esto no es material.</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Rate limit de Yahoo</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No hay límite documentado, pero con 10 empresas seguidas puede fallar. El tqdm entre empresas genera suficiente delay natural.</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9. SQLite — Persistencia y Consultas</w:t>
      </w:r>
    </w:p>
    <w:p>
      <w:pPr>
        <w:spacing w:before="80" w:after="80"/>
      </w:pPr>
      <w:r>
        <w:rPr>
          <w:rFonts w:ascii="Arial" w:cs="Arial" w:eastAsia="Arial" w:hAnsi="Arial"/>
          <w:sz w:val="21"/>
          <w:szCs w:val="21"/>
        </w:rPr>
        <w:t xml:space="preserve">SQLite es un módulo estándar de Python (no requiere instalación). Persiste los 4 DataFrames procesados en un archivo .db local para análisis futuro sin re-ejecutar el pipeline.</w:t>
      </w:r>
    </w:p>
    <w:p>
      <w:pPr>
        <w:spacing w:before="0" w:after="0"/>
      </w:pPr>
      <w:r>
        <w:t xml:space="preserve"/>
      </w:r>
    </w:p>
    <w:p>
      <w:pPr>
        <w:pStyle w:val="Heading2"/>
        <w:spacing w:before="240" w:after="80"/>
      </w:pPr>
      <w:r>
        <w:rPr>
          <w:rFonts w:ascii="Arial" w:cs="Arial" w:eastAsia="Arial" w:hAnsi="Arial"/>
          <w:b/>
          <w:bCs/>
          <w:color w:val="2E5FA3"/>
          <w:sz w:val="26"/>
          <w:szCs w:val="26"/>
        </w:rPr>
        <w:t xml:space="preserve">9.1  Tablas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Tabla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Contenido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sector_ratios</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Serie histórica completa (hasta 7 años) de todos los ratios por empresa. Útil para análisis de tendencia.</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latest_year_ratios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Snapshot del año más reciente por empresa. Es el input del Scorecard.</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dcf_probabilistic</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Resultados del DCF: FCF normalizado, growth, WACC, P10/mediana/P90, upside por escenario, P(IV&gt;Mkt).</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scorecard</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Ranking final con scores por dimensión y rating. Es el output principal del pipeline.</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9.2  save_to_sqlite() — filtro de columnas</w:t>
      </w:r>
    </w:p>
    <w:p>
      <w:pPr>
        <w:spacing w:before="80" w:after="80"/>
      </w:pPr>
      <w:r>
        <w:rPr>
          <w:rFonts w:ascii="Arial" w:cs="Arial" w:eastAsia="Arial" w:hAnsi="Arial"/>
          <w:color w:val="0F172A"/>
          <w:sz w:val="21"/>
          <w:szCs w:val="21"/>
        </w:rPr>
        <w:t xml:space="preserve">Los DataFrames de dcf_results contienen columnas con arrays NumPy (</w:t>
      </w:r>
      <w:r>
        <w:rPr>
          <w:rFonts w:ascii="Courier New" w:cs="Courier New" w:eastAsia="Courier New" w:hAnsi="Courier New"/>
          <w:color w:val="0F7B6C"/>
          <w:sz w:val="19"/>
          <w:szCs w:val="19"/>
        </w:rPr>
        <w:t xml:space="preserve">dist_combined</w:t>
      </w:r>
      <w:r>
        <w:rPr>
          <w:rFonts w:ascii="Arial" w:cs="Arial" w:eastAsia="Arial" w:hAnsi="Arial"/>
          <w:color w:val="0F172A"/>
          <w:sz w:val="21"/>
          <w:szCs w:val="21"/>
        </w:rPr>
        <w:t xml:space="preserve">, </w:t>
      </w:r>
      <w:r>
        <w:rPr>
          <w:rFonts w:ascii="Courier New" w:cs="Courier New" w:eastAsia="Courier New" w:hAnsi="Courier New"/>
          <w:color w:val="0F7B6C"/>
          <w:sz w:val="19"/>
          <w:szCs w:val="19"/>
        </w:rPr>
        <w:t xml:space="preserve">dist_bear</w:t>
      </w:r>
      <w:r>
        <w:rPr>
          <w:rFonts w:ascii="Arial" w:cs="Arial" w:eastAsia="Arial" w:hAnsi="Arial"/>
          <w:color w:val="0F172A"/>
          <w:sz w:val="21"/>
          <w:szCs w:val="21"/>
        </w:rPr>
        <w:t xml:space="preserve">, etc.) que no son serializables en SQLite. La función </w:t>
      </w:r>
      <w:r>
        <w:rPr>
          <w:rFonts w:ascii="Courier New" w:cs="Courier New" w:eastAsia="Courier New" w:hAnsi="Courier New"/>
          <w:color w:val="0F7B6C"/>
          <w:sz w:val="19"/>
          <w:szCs w:val="19"/>
        </w:rPr>
        <w:t xml:space="preserve">save_to_sqlite()</w:t>
      </w:r>
      <w:r>
        <w:rPr>
          <w:rFonts w:ascii="Arial" w:cs="Arial" w:eastAsia="Arial" w:hAnsi="Arial"/>
          <w:color w:val="0F172A"/>
          <w:sz w:val="21"/>
          <w:szCs w:val="21"/>
        </w:rPr>
        <w:t xml:space="preserve"> los filtra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LÓGICA DE FILTRADO DE COLUMNAS NO SERIALIZABLES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1. Tomar solo columnas numéricas (excluye columnas con object dtype)</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df_clean = df.select_dtypes(exclude=['object'])</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2. Re-incluir columnas string (ticker, rating) que también son object dtype</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str_cols = [c for c in df.columns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if df[c].dtype == object</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and df[c].apply(lambda x: isinstance(x, str) or pd.isna(x)).all()]</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 3. Combinar: strings + numéricos, sin arrays</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df_clean = pd.concat([df[str_cols], df_clean], axis=1)</w:t>
            </w:r>
          </w:p>
        </w:tc>
      </w:tr>
      <w:tr>
        <w:tc>
          <w:tcPr>
            <w:tcW w:type="dxa" w:w="9360"/>
            <w:tcBorders>
              <w:top w:val="single" w:color="0F7B6C" w:sz="1"/>
              <w:left w:val="single" w:color="0F7B6C" w:sz="1"/>
              <w:bottom w:val="single" w:color="0F7B6C" w:sz="1"/>
              <w:right w:val="single" w:color="0F7B6C" w:sz="1"/>
            </w:tcBorders>
            <w:shd w:fill="D4EFEB" w:val="clear"/>
            <w:tcMar>
              <w:top w:type="dxa" w:w="55"/>
              <w:left w:type="dxa" w:w="140"/>
              <w:bottom w:type="dxa" w:w="55"/>
              <w:right w:type="dxa" w:w="140"/>
            </w:tcMar>
          </w:tcPr>
          <w:p>
            <w:pPr>
              <w:spacing w:before="0" w:after="0"/>
            </w:pPr>
            <w:r>
              <w:rPr>
                <w:rFonts w:ascii="Arial" w:cs="Arial" w:eastAsia="Arial" w:hAnsi="Arial"/>
                <w:sz w:val="20"/>
                <w:szCs w:val="20"/>
              </w:rPr>
              <w:t xml:space="preserve">df_clean.to_sql(table_name, conn, if_exists='replace', index=False)</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9.3  Consultas SQL de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CONSULTAS ÚTILES SOBRE LA BASE DE DATOS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Top empresas por probabilidad de estar subvaluadas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SELECT ticker, ROUND(prob_above_mktcap,1) AS prob_pct,</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ROUND(base_median_bn,0) AS iv_bn, ROUND(market_cap_bn,0) AS mkt_bn</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FROM   dcf_probabilistic</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ORDER  BY prob_above_mktcap DESC;</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Evolución de ROE en los últimos 5 años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SELECT ticker, fiscal_year, ROUND(roe_pct,1) AS roe</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FROM   sector_ratios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ORDER  BY ticker, fiscal_year;</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Empresas OVERWEIGHT con FCF &gt; $5B y D/E &lt; 1</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SELECT s.ticker, s.composite_score, s.rating,</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ROUND(l.fcf_bn,1) AS fcf_bn, ROUND(l.debt_to_equity,2) AS de</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FROM   scorecard s</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JOIN   latest_year_ratios l ON s.ticker = l.ticker</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WHERE  s.rating = 'OVERWEIGHT'</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AND  l.fcf_bn &gt; 5</w:t>
            </w:r>
          </w:p>
        </w:tc>
      </w:tr>
      <w:tr>
        <w:tc>
          <w:tcPr>
            <w:tcW w:type="dxa" w:w="9360"/>
            <w:tcBorders>
              <w:top w:val="single" w:color="1B2A4A" w:sz="1"/>
              <w:left w:val="single" w:color="1B2A4A" w:sz="1"/>
              <w:bottom w:val="single" w:color="1B2A4A" w:sz="1"/>
              <w:right w:val="single" w:color="1B2A4A" w:sz="1"/>
            </w:tcBorders>
            <w:shd w:fill="D6E4F7" w:val="clear"/>
            <w:tcMar>
              <w:top w:type="dxa" w:w="55"/>
              <w:left w:type="dxa" w:w="140"/>
              <w:bottom w:type="dxa" w:w="55"/>
              <w:right w:type="dxa" w:w="140"/>
            </w:tcMar>
          </w:tcPr>
          <w:p>
            <w:pPr>
              <w:spacing w:before="0" w:after="0"/>
            </w:pPr>
            <w:r>
              <w:rPr>
                <w:rFonts w:ascii="Arial" w:cs="Arial" w:eastAsia="Arial" w:hAnsi="Arial"/>
                <w:sz w:val="20"/>
                <w:szCs w:val="20"/>
              </w:rPr>
              <w:t xml:space="preserve">  AND  l.debt_to_equity &lt; 1;</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10. Troubleshooting — Errores Frecuentes</w:t>
      </w:r>
    </w:p>
    <w:p>
      <w:pPr>
        <w:pStyle w:val="Heading2"/>
        <w:spacing w:before="240" w:after="80"/>
      </w:pPr>
      <w:r>
        <w:rPr>
          <w:rFonts w:ascii="Arial" w:cs="Arial" w:eastAsia="Arial" w:hAnsi="Arial"/>
          <w:b/>
          <w:bCs/>
          <w:color w:val="2E5FA3"/>
          <w:sz w:val="26"/>
          <w:szCs w:val="26"/>
        </w:rPr>
        <w:t xml:space="preserve">10.1  Instalación y 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Error</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Solución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ModuleNotFoundError: ratelimit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No se usa en v4. El rate limiter es nativo con time.monotonic(). Ignorar.</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ImportError: seaborn</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pip install seaborn matplotlib</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yfinance retorna datos vacíos</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Actualizar: pip install yfinance --upgrade</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Jupyter no muestra gráficos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Agregar %matplotlib inline al inicio del notebook</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10.2  Datos de la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Error / Síntoma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Solución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HTTP 403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User-Agent faltante o mal formado. Debe ser 'Nombre email@dominio.com'</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HTTP 429</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Reducir _MAX_CALLS de 9 a 7 en el rate limiter</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Ticker no encontrado en CIK map</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La empresa puede ser OTC, extranjera o delisted. Verificar en https://efts.sec.gov/LATEST/search-index?q={ticker}</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Revenue vacío en todas las empresas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Verificar conectividad a data.sec.gov. Puede haber mantenimiento de la API.</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Serie vacía para un concepto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Agregar el nombre XBRL exacto al dict XBRL_CONCEPTS. Buscarlo en el JSON raw de /api/xbrl/companyfacts.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Valores en miles en vez de dólares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Algunas empresas reportan en miles. Verificar la magnitud del valor vs. el revenue conocido.</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10.3  DCF y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Síntoma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Causa y acción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Todos los valores son negativos</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WACC &lt; terminal_growth_rate provoca denominador negativo. El np.where() con fallback lo maneja. Si persiste, reducir TERMINAL_GROWTH_RATE a 0.02.</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prob_above_mktcap = 0 para todas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Market cap muy superior al IV en todos los escenarios. Es un resultado válido para sectores sobrevaluados, no un bug.</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dist_combined muy estrecha</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fcf_vol muy baja (empresa con FCF extremadamente estable). Normal para empresas maduras como TXN.</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Monte Carlo lento (&gt; 1 min/empresa)</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Reducir N_SIMULATIONS a 5.000 para exploración. El resultado cambia marginalmente con 10k vs 5k.</w:t>
            </w:r>
          </w:p>
        </w:tc>
      </w:tr>
    </w:tbl>
    <w:p>
      <w:pPr>
        <w:spacing w:before="0" w:after="0"/>
      </w:pPr>
      <w:r>
        <w:t xml:space="preserve"/>
      </w:r>
    </w:p>
    <w:p>
      <w:pPr>
        <w:pStyle w:val="Heading2"/>
        <w:spacing w:before="240" w:after="80"/>
      </w:pPr>
      <w:r>
        <w:rPr>
          <w:rFonts w:ascii="Arial" w:cs="Arial" w:eastAsia="Arial" w:hAnsi="Arial"/>
          <w:b/>
          <w:bCs/>
          <w:color w:val="2E5FA3"/>
          <w:sz w:val="26"/>
          <w:szCs w:val="26"/>
        </w:rPr>
        <w:t xml:space="preserve">10.4  Visualizaciones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Problema</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Solución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Violin larguísimo (bug v3)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Resuelto en v4. El grid es n_rows×3 columnas con figsize=(14, 5×n_rows).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Violin vacío para una empresa</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La empresa no tiene 'dist_bear' en dcf_results (error en el DCF). Revisar el log.</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Heatmap en blanco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Menos de 4 filas con valores completos. Reducir thresh en dropna(thresh=4).</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Scatter sin puntos</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net_margin_pct o revenue_growth_pct son todos NaN. Verificar extract_annual_series para esas empresas.</w:t>
            </w:r>
          </w:p>
        </w:tc>
      </w:tr>
    </w:tbl>
    <w:p>
      <w:r>
        <w:br w:type="page"/>
      </w:r>
    </w:p>
    <w:p>
      <w:pPr>
        <w:pStyle w:val="Heading1"/>
        <w:pBdr>
          <w:bottom w:val="single" w:color="2E5FA3" w:sz="8" w:space="6"/>
        </w:pBdr>
        <w:spacing w:before="320" w:after="100"/>
      </w:pPr>
      <w:r>
        <w:rPr>
          <w:rFonts w:ascii="Arial" w:cs="Arial" w:eastAsia="Arial" w:hAnsi="Arial"/>
          <w:b/>
          <w:bCs/>
          <w:color w:val="1B2A4A"/>
          <w:sz w:val="34"/>
          <w:szCs w:val="34"/>
        </w:rPr>
        <w:t xml:space="preserve">11. Checklist de Ejecución</w:t>
      </w:r>
    </w:p>
    <w:p>
      <w:pPr>
        <w:pStyle w:val="Heading2"/>
        <w:spacing w:before="240" w:after="80"/>
      </w:pPr>
      <w:r>
        <w:rPr>
          <w:rFonts w:ascii="Arial" w:cs="Arial" w:eastAsia="Arial" w:hAnsi="Arial"/>
          <w:b/>
          <w:bCs/>
          <w:color w:val="2E5FA3"/>
          <w:sz w:val="26"/>
          <w:szCs w:val="26"/>
        </w:rPr>
        <w:t xml:space="preserve">Pre-ejecución</w:t>
      </w:r>
    </w:p>
    <w:p>
      <w:pPr>
        <w:pStyle w:val="ListParagraph"/>
        <w:numPr>
          <w:ilvl w:val="0"/>
          <w:numId w:val="3"/>
        </w:numPr>
        <w:spacing w:before="40" w:after="40"/>
      </w:pPr>
      <w:r>
        <w:rPr>
          <w:rFonts w:ascii="Arial" w:cs="Arial" w:eastAsia="Arial" w:hAnsi="Arial"/>
          <w:sz w:val="21"/>
          <w:szCs w:val="21"/>
        </w:rPr>
        <w:t xml:space="preserve">Reemplazar SEC_USER_AGENT con datos reales: 'NombreEmpresa email@dominio.com'</w:t>
      </w:r>
    </w:p>
    <w:p>
      <w:pPr>
        <w:pStyle w:val="ListParagraph"/>
        <w:numPr>
          <w:ilvl w:val="0"/>
          <w:numId w:val="3"/>
        </w:numPr>
        <w:spacing w:before="40" w:after="40"/>
      </w:pPr>
      <w:r>
        <w:rPr>
          <w:rFonts w:ascii="Arial" w:cs="Arial" w:eastAsia="Arial" w:hAnsi="Arial"/>
          <w:sz w:val="21"/>
          <w:szCs w:val="21"/>
        </w:rPr>
        <w:t xml:space="preserve">Verificar conectividad: requests.get('https://data.sec.gov/files/company_tickers.json', headers=HEADERS).status_code == 200</w:t>
      </w:r>
    </w:p>
    <w:p>
      <w:pPr>
        <w:pStyle w:val="ListParagraph"/>
        <w:numPr>
          <w:ilvl w:val="0"/>
          <w:numId w:val="3"/>
        </w:numPr>
        <w:spacing w:before="40" w:after="40"/>
      </w:pPr>
      <w:r>
        <w:rPr>
          <w:rFonts w:ascii="Arial" w:cs="Arial" w:eastAsia="Arial" w:hAnsi="Arial"/>
          <w:sz w:val="21"/>
          <w:szCs w:val="21"/>
        </w:rPr>
        <w:t xml:space="preserve">Confirmar que los tickers están en el S&amp;P 500 o en EDGAR (empresas OTC pueden no tener CIK).</w:t>
      </w:r>
    </w:p>
    <w:p>
      <w:pPr>
        <w:pStyle w:val="ListParagraph"/>
        <w:numPr>
          <w:ilvl w:val="0"/>
          <w:numId w:val="3"/>
        </w:numPr>
        <w:spacing w:before="40" w:after="40"/>
      </w:pPr>
      <w:r>
        <w:rPr>
          <w:rFonts w:ascii="Arial" w:cs="Arial" w:eastAsia="Arial" w:hAnsi="Arial"/>
          <w:sz w:val="21"/>
          <w:szCs w:val="21"/>
        </w:rPr>
        <w:t xml:space="preserve">Ejecutar las celdas en orden estricto — las variables globales son dependencias entre módulos.</w:t>
      </w:r>
    </w:p>
    <w:p>
      <w:pPr>
        <w:spacing w:before="0" w:after="0"/>
      </w:pPr>
      <w:r>
        <w:t xml:space="preserve"/>
      </w:r>
    </w:p>
    <w:p>
      <w:pPr>
        <w:pStyle w:val="Heading2"/>
        <w:spacing w:before="240" w:after="80"/>
      </w:pPr>
      <w:r>
        <w:rPr>
          <w:rFonts w:ascii="Arial" w:cs="Arial" w:eastAsia="Arial" w:hAnsi="Arial"/>
          <w:b/>
          <w:bCs/>
          <w:color w:val="2E5FA3"/>
          <w:sz w:val="26"/>
          <w:szCs w:val="26"/>
        </w:rPr>
        <w:t xml:space="preserve">Durante la ejecución</w:t>
      </w:r>
    </w:p>
    <w:p>
      <w:pPr>
        <w:pStyle w:val="ListParagraph"/>
        <w:numPr>
          <w:ilvl w:val="0"/>
          <w:numId w:val="3"/>
        </w:numPr>
        <w:spacing w:before="40" w:after="40"/>
      </w:pPr>
      <w:r>
        <w:rPr>
          <w:rFonts w:ascii="Arial" w:cs="Arial" w:eastAsia="Arial" w:hAnsi="Arial"/>
          <w:sz w:val="21"/>
          <w:szCs w:val="21"/>
        </w:rPr>
        <w:t xml:space="preserve">Si más del 30% de empresas retornan HTTP 403 → revisar User-Agent inmediatamente.</w:t>
      </w:r>
    </w:p>
    <w:p>
      <w:pPr>
        <w:pStyle w:val="ListParagraph"/>
        <w:numPr>
          <w:ilvl w:val="0"/>
          <w:numId w:val="3"/>
        </w:numPr>
        <w:spacing w:before="40" w:after="40"/>
      </w:pPr>
      <w:r>
        <w:rPr>
          <w:rFonts w:ascii="Arial" w:cs="Arial" w:eastAsia="Arial" w:hAnsi="Arial"/>
          <w:sz w:val="21"/>
          <w:szCs w:val="21"/>
        </w:rPr>
        <w:t xml:space="preserve">El Módulo 5 (DCF) tarda 2–5 minutos por el Monte Carlo + llamadas a yfinance.</w:t>
      </w:r>
    </w:p>
    <w:p>
      <w:pPr>
        <w:pStyle w:val="ListParagraph"/>
        <w:numPr>
          <w:ilvl w:val="0"/>
          <w:numId w:val="3"/>
        </w:numPr>
        <w:spacing w:before="40" w:after="40"/>
      </w:pPr>
      <w:r>
        <w:rPr>
          <w:rFonts w:ascii="Arial" w:cs="Arial" w:eastAsia="Arial" w:hAnsi="Arial"/>
          <w:sz w:val="21"/>
          <w:szCs w:val="21"/>
        </w:rPr>
        <w:t xml:space="preserve">Si una empresa falla en el DCF, el Scorecard la incluye igual usando solo los ratios (upside y prob quedarán en NaN).</w:t>
      </w:r>
    </w:p>
    <w:p>
      <w:pPr>
        <w:spacing w:before="0" w:after="0"/>
      </w:pPr>
      <w:r>
        <w:t xml:space="preserve"/>
      </w:r>
    </w:p>
    <w:p>
      <w:pPr>
        <w:pStyle w:val="Heading2"/>
        <w:spacing w:before="240" w:after="80"/>
      </w:pPr>
      <w:r>
        <w:rPr>
          <w:rFonts w:ascii="Arial" w:cs="Arial" w:eastAsia="Arial" w:hAnsi="Arial"/>
          <w:b/>
          <w:bCs/>
          <w:color w:val="2E5FA3"/>
          <w:sz w:val="26"/>
          <w:szCs w:val="26"/>
        </w:rPr>
        <w:t xml:space="preserve">Post-ejecución</w:t>
      </w:r>
    </w:p>
    <w:p>
      <w:pPr>
        <w:pStyle w:val="ListParagraph"/>
        <w:numPr>
          <w:ilvl w:val="0"/>
          <w:numId w:val="3"/>
        </w:numPr>
        <w:spacing w:before="40" w:after="40"/>
      </w:pPr>
      <w:r>
        <w:rPr>
          <w:rFonts w:ascii="Arial" w:cs="Arial" w:eastAsia="Arial" w:hAnsi="Arial"/>
          <w:sz w:val="21"/>
          <w:szCs w:val="21"/>
        </w:rPr>
        <w:t xml:space="preserve">Verificar que dcf_df tiene filas (no estar vacío). Si está vacío, todas las empresas fallaron en el DCF.</w:t>
      </w:r>
    </w:p>
    <w:p>
      <w:pPr>
        <w:pStyle w:val="ListParagraph"/>
        <w:numPr>
          <w:ilvl w:val="0"/>
          <w:numId w:val="3"/>
        </w:numPr>
        <w:spacing w:before="40" w:after="40"/>
      </w:pPr>
      <w:r>
        <w:rPr>
          <w:rFonts w:ascii="Arial" w:cs="Arial" w:eastAsia="Arial" w:hAnsi="Arial"/>
          <w:sz w:val="21"/>
          <w:szCs w:val="21"/>
        </w:rPr>
        <w:t xml:space="preserve">Revisar empresas con prob_above_mktcap = N/A — significa que market_cap no se pudo obtener de yfinance.</w:t>
      </w:r>
    </w:p>
    <w:p>
      <w:pPr>
        <w:pStyle w:val="ListParagraph"/>
        <w:numPr>
          <w:ilvl w:val="0"/>
          <w:numId w:val="3"/>
        </w:numPr>
        <w:spacing w:before="40" w:after="40"/>
      </w:pPr>
      <w:r>
        <w:rPr>
          <w:rFonts w:ascii="Arial" w:cs="Arial" w:eastAsia="Arial" w:hAnsi="Arial"/>
          <w:sz w:val="21"/>
          <w:szCs w:val="21"/>
        </w:rPr>
        <w:t xml:space="preserve">Los ratings son relativos al sector. Contextualizar antes de concluir.</w:t>
      </w:r>
    </w:p>
    <w:p>
      <w:pPr>
        <w:spacing w:before="0" w:after="0"/>
      </w:pPr>
      <w:r>
        <w:t xml:space="preserve"/>
      </w:r>
    </w:p>
    <w:p>
      <w:pPr>
        <w:spacing w:before="0" w:after="0"/>
      </w:pPr>
      <w:r>
        <w:t xml:space="preserve"/>
      </w:r>
    </w:p>
    <w:p>
      <w:pPr>
        <w:pStyle w:val="Heading1"/>
        <w:pBdr>
          <w:bottom w:val="single" w:color="2E5FA3" w:sz="8" w:space="6"/>
        </w:pBdr>
        <w:spacing w:before="320" w:after="100"/>
      </w:pPr>
      <w:r>
        <w:rPr>
          <w:rFonts w:ascii="Arial" w:cs="Arial" w:eastAsia="Arial" w:hAnsi="Arial"/>
          <w:b/>
          <w:bCs/>
          <w:color w:val="1B2A4A"/>
          <w:sz w:val="34"/>
          <w:szCs w:val="34"/>
        </w:rPr>
        <w:t xml:space="preserve">12.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Término</w:t>
            </w:r>
          </w:p>
        </w:tc>
        <w:tc>
          <w:tcPr>
            <w:tcW w:type="dxa" w:w="416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20"/>
                <w:szCs w:val="20"/>
              </w:rPr>
              <w:t xml:space="preserve">Definición</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10-K</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Reporte anual obligatorio a la SEC. Fuente de todos los datos financieros del notebook.</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XBRL</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eXtensible Business Reporting Language. Estándar que convierte estados financieros en datos estructurados consultables.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CIK</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Central Index Key. Identificador único de 10 dígitos de la SEC para cada empresa registrada.</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US-GAAP</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Generally Accepted Accounting Principles. Estándar contable de EE.UU. Los conceptos XBRL usan este namespace.</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FCF</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Free Cash Flow = Operating Cash Flow − CapEx. El cash real generado por el negocio.</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CapEx</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Capital Expenditures. Inversiones en activos fijos. En XBRL: PaymentsToAcquirePropertyPlantAndEquipment.</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WACC</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Weighted Average Cost of Capital. Tasa de descuento del DCF. Representa el costo de oportunidad del capital.</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CAPM</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Capital Asset Pricing Model. WACC ≈ Rf + Beta × ERP. Se usa con ajuste de Vasicek en la v4.</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Beta (β)</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Volatilidad de la acción relativa al mercado. β &gt; 1 = más volátil. Input central del CAPM.</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Ajuste de Vasicek</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Corrección estadística que atrae el beta extremo hacia 1.0: beta_adj = 0.67 × beta + 0.33 × 1.0.</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ERP</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Equity Risk Premium. Prima histórica del mercado sobre la tasa libre de riesgo. Se usa 5.2% (Damodaran).</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CAGR</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Compound Annual Growth Rate. Tasa de crecimiento anual compuesta. Suaviza volatilidad año a año.</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Monte Carlo</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Técnica de simulación que reemplaza inputs únicos por distribuciones y corre N escenarios aleatorios.</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Percentile Rank</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Posición relativa dentro de un grupo expresada en 0–100. Base del sistema de scoring del Scorecard.</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P(IV &gt; Mkt)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Probabilidad de que el valor intrínseco simulado supere el Market Cap. Medida de margin of safety.</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Valor Terminal</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PV de todos los flujos más allá del horizonte explícito. Calculado con Gordon Growth Model.</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Floor sectorial</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Límite inferior de la tasa de crecimiento base (−5%). Refleja la demanda estructural del sector.</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Ventana deslizante</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Algoritmo de rate limiting que mantiene un registro de los últimos N timestamps en una ventana de T segundos.</w:t>
            </w:r>
          </w:p>
        </w:tc>
      </w:tr>
      <w:tr>
        <w:tc>
          <w:tcPr>
            <w:tcW w:type="dxa" w:w="520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b/>
                <w:bCs/>
                <w:sz w:val="20"/>
                <w:szCs w:val="20"/>
              </w:rPr>
              <w:t xml:space="preserve">Fabless</w:t>
            </w:r>
          </w:p>
        </w:tc>
        <w:tc>
          <w:tcPr>
            <w:tcW w:type="dxa" w:w="4160"/>
            <w:tcBorders>
              <w:top w:val="single" w:color="E2E8F0" w:sz="1"/>
              <w:left w:val="single" w:color="E2E8F0" w:sz="1"/>
              <w:bottom w:val="single" w:color="E2E8F0" w:sz="1"/>
              <w:right w:val="single" w:color="E2E8F0" w:sz="1"/>
            </w:tcBorders>
            <w:shd w:fill="FFFFFF" w:val="clear"/>
            <w:tcMar>
              <w:top w:type="dxa" w:w="75"/>
              <w:left w:type="dxa" w:w="130"/>
              <w:bottom w:type="dxa" w:w="75"/>
              <w:right w:type="dxa" w:w="130"/>
            </w:tcMar>
          </w:tcPr>
          <w:p>
            <w:pPr>
              <w:spacing w:before="0" w:after="0"/>
            </w:pPr>
            <w:r>
              <w:rPr>
                <w:rFonts w:ascii="Arial" w:cs="Arial" w:eastAsia="Arial" w:hAnsi="Arial"/>
                <w:sz w:val="20"/>
                <w:szCs w:val="20"/>
              </w:rPr>
              <w:t xml:space="preserve">Empresa de semiconductores que diseña chips pero no tiene fábricas propias (ej: NVDA, AMD, QCOM).</w:t>
            </w:r>
          </w:p>
        </w:tc>
      </w:tr>
      <w:tr>
        <w:tc>
          <w:tcPr>
            <w:tcW w:type="dxa" w:w="520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b/>
                <w:bCs/>
                <w:sz w:val="20"/>
                <w:szCs w:val="20"/>
              </w:rPr>
              <w:t xml:space="preserve">IDM</w:t>
            </w:r>
          </w:p>
        </w:tc>
        <w:tc>
          <w:tcPr>
            <w:tcW w:type="dxa" w:w="4160"/>
            <w:tcBorders>
              <w:top w:val="single" w:color="E2E8F0" w:sz="1"/>
              <w:left w:val="single" w:color="E2E8F0" w:sz="1"/>
              <w:bottom w:val="single" w:color="E2E8F0" w:sz="1"/>
              <w:right w:val="single" w:color="E2E8F0" w:sz="1"/>
            </w:tcBorders>
            <w:shd w:fill="F1F5F9" w:val="clear"/>
            <w:tcMar>
              <w:top w:type="dxa" w:w="75"/>
              <w:left w:type="dxa" w:w="130"/>
              <w:bottom w:type="dxa" w:w="75"/>
              <w:right w:type="dxa" w:w="130"/>
            </w:tcMar>
          </w:tcPr>
          <w:p>
            <w:pPr>
              <w:spacing w:before="0" w:after="0"/>
            </w:pPr>
            <w:r>
              <w:rPr>
                <w:rFonts w:ascii="Arial" w:cs="Arial" w:eastAsia="Arial" w:hAnsi="Arial"/>
                <w:sz w:val="20"/>
                <w:szCs w:val="20"/>
              </w:rPr>
              <w:t xml:space="preserve">Integrated Device Manufacturer. Diseña y fabrica sus propios chips (ej: INTC). Capital-intensivo, menor margen.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before="0" w:after="0"/>
            </w:pPr>
            <w:r>
              <w:rPr>
                <w:rFonts w:ascii="Arial" w:cs="Arial" w:eastAsia="Arial" w:hAnsi="Arial"/>
                <w:b/>
                <w:bCs/>
                <w:color w:val="FFFFFF"/>
                <w:sz w:val="21"/>
                <w:szCs w:val="21"/>
              </w:rPr>
              <w:t xml:space="preserve">DISCLAIMER</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Este notebook y esta guía son exclusivamente para fines educativos e investigación cuantitativa.</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Los resultados del DCF probabilístico son estimaciones basadas en datos históricos y supuestos</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estadísticos. No constituyen asesoría de inversión. Siempre complementar con análisis cualitativo</w:t>
            </w:r>
          </w:p>
        </w:tc>
      </w:tr>
      <w:tr>
        <w:tc>
          <w:tcPr>
            <w:tcW w:type="dxa" w:w="9360"/>
            <w:tcBorders>
              <w:top w:val="single" w:color="B45309" w:sz="1"/>
              <w:left w:val="single" w:color="B45309" w:sz="1"/>
              <w:bottom w:val="single" w:color="B45309" w:sz="1"/>
              <w:right w:val="single" w:color="B45309" w:sz="1"/>
            </w:tcBorders>
            <w:shd w:fill="FEF3C7" w:val="clear"/>
            <w:tcMar>
              <w:top w:type="dxa" w:w="55"/>
              <w:left w:type="dxa" w:w="140"/>
              <w:bottom w:type="dxa" w:w="55"/>
              <w:right w:type="dxa" w:w="140"/>
            </w:tcMar>
          </w:tcPr>
          <w:p>
            <w:pPr>
              <w:spacing w:before="0" w:after="0"/>
            </w:pPr>
            <w:r>
              <w:rPr>
                <w:rFonts w:ascii="Arial" w:cs="Arial" w:eastAsia="Arial" w:hAnsi="Arial"/>
                <w:sz w:val="20"/>
                <w:szCs w:val="20"/>
              </w:rPr>
              <w:t xml:space="preserve">(management, posición competitiva, guidance, contexto macroeconómico) antes de tomar decisiones.</w:t>
            </w:r>
          </w:p>
        </w:tc>
      </w:tr>
    </w:tbl>
    <w:sectPr>
      <w:footerReference w:type="default" r:id="rId6"/>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0" w:after="0"/>
    </w:pPr>
    <w:r>
      <w:rPr>
        <w:rFonts w:ascii="Arial" w:cs="Arial" w:eastAsia="Arial" w:hAnsi="Arial"/>
        <w:color w:val="94A3B8"/>
        <w:sz w:val="18"/>
        <w:szCs w:val="18"/>
      </w:rPr>
      <w:t xml:space="preserve">Guía de Fundamentos v4 — SEC EDGAR DCF Probabilístico</w:t>
    </w:r>
    <w:r>
      <w:rPr>
        <w:rFonts w:ascii="Arial" w:cs="Arial" w:eastAsia="Arial" w:hAnsi="Arial"/>
        <w:sz w:val="18"/>
        <w:szCs w:val="18"/>
      </w:rPr>
      <w:t xml:space="preserv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B2A4A"/>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60"/>
      <w:outlineLvl w:val="2"/>
    </w:pPr>
    <w:rPr>
      <w:rFonts w:ascii="Arial" w:cs="Arial" w:eastAsia="Arial" w:hAnsi="Arial"/>
      <w:b/>
      <w:bCs/>
      <w:color w:val="0F7B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2026-02-22T10:59:27.312Z</dcterms:created>
  <dcterms:modified xsi:type="dcterms:W3CDTF">2026-02-22T10:59:27.313Z</dcterms:modified>
</cp:coreProperties>
</file>

<file path=docProps/custom.xml><?xml version="1.0" encoding="utf-8"?>
<Properties xmlns="http://schemas.openxmlformats.org/officeDocument/2006/custom-properties" xmlns:vt="http://schemas.openxmlformats.org/officeDocument/2006/docPropsVTypes"/>
</file>