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Guía de Marca — Unihaus Lab</w:t>
      </w:r>
    </w:p>
    <w:p>
      <w:pPr>
        <w:jc w:val="center"/>
      </w:pPr>
      <w:r>
        <w:rPr>
          <w:i/>
          <w:color w:val="737373"/>
          <w:sz w:val="22"/>
        </w:rPr>
        <w:t>Edición ampliada — sistema visual para Instagram y redes sociales</w:t>
      </w:r>
    </w:p>
    <w:p>
      <w:pPr>
        <w:pStyle w:val="Heading1"/>
      </w:pPr>
      <w:r>
        <w:t>1. Logotipo</w:t>
      </w:r>
    </w:p>
    <w:p>
      <w:pPr>
        <w:spacing w:after="160"/>
      </w:pPr>
      <w:r>
        <w:rPr>
          <w:b w:val="0"/>
          <w:i w:val="0"/>
          <w:sz w:val="22"/>
        </w:rPr>
        <w:t>Isotipo geométrico de una casa (línea) con un círculo/ventana y un acento circular en color cálido, acompañado del wordmark “UNIHAUS” en mayúsculas con tracking amplio y el descriptor “LAB” debajo. Versión actual diseñada para fondo oscuro (blanco sobre negro/carbón). Archivo fuente: public/img/logo.png.</w:t>
      </w:r>
    </w:p>
    <w:p>
      <w:pPr>
        <w:pStyle w:val="Heading2"/>
      </w:pPr>
      <w:r>
        <w:t>Uso correcto</w:t>
      </w:r>
    </w:p>
    <w:p>
      <w:pPr>
        <w:pStyle w:val="ListBullet"/>
      </w:pPr>
      <w:r>
        <w:rPr>
          <w:sz w:val="22"/>
        </w:rPr>
        <w:t>Espacio de seguridad mínimo: dejar alrededor del logo un margen equivalente a la altura de la letra “U” del wordmark, libre de texto o elementos gráficos.</w:t>
      </w:r>
    </w:p>
    <w:p>
      <w:pPr>
        <w:pStyle w:val="ListBullet"/>
      </w:pPr>
      <w:r>
        <w:rPr>
          <w:sz w:val="22"/>
        </w:rPr>
        <w:t>Tamaño mínimo recomendado: 120 px de ancho en digital (para que el trazo del isotipo y el tracking del wordmark no pierdan legibilidad).</w:t>
      </w:r>
    </w:p>
    <w:p>
      <w:pPr>
        <w:pStyle w:val="ListBullet"/>
      </w:pPr>
      <w:r>
        <w:rPr>
          <w:sz w:val="22"/>
        </w:rPr>
        <w:t>Fondo recomendado: superficies oscuras u oscuras-medias (#171717, #212121, fotografías de tono oscuro). Es la única versión de logo disponible hoy.</w:t>
      </w:r>
    </w:p>
    <w:p>
      <w:pPr>
        <w:pStyle w:val="ListBullet"/>
      </w:pPr>
      <w:r>
        <w:rPr>
          <w:sz w:val="22"/>
        </w:rPr>
        <w:t>Pendiente / a crear: una versión del isotipo y wordmark en tinta oscura (#171717) para uso sobre fondos claros — necesaria para carruseles con fondo blanco/gris claro. Hoy no existe ese archivo; se recomienda generarlo antes de publicar sobre fondos claros.</w:t>
      </w:r>
    </w:p>
    <w:p>
      <w:pPr>
        <w:pStyle w:val="Heading2"/>
      </w:pPr>
      <w:r>
        <w:t>Qué evitar</w:t>
      </w:r>
    </w:p>
    <w:p>
      <w:pPr>
        <w:pStyle w:val="ListBullet"/>
      </w:pPr>
      <w:r>
        <w:rPr>
          <w:sz w:val="22"/>
        </w:rPr>
        <w:t>No colocar el logo blanco sobre fondos claros (pierde contraste).</w:t>
      </w:r>
    </w:p>
    <w:p>
      <w:pPr>
        <w:pStyle w:val="ListBullet"/>
      </w:pPr>
      <w:r>
        <w:rPr>
          <w:sz w:val="22"/>
        </w:rPr>
        <w:t>No recolorear el isotipo con colores fuera de la paleta definida en esta guía.</w:t>
      </w:r>
    </w:p>
    <w:p>
      <w:pPr>
        <w:pStyle w:val="ListBullet"/>
      </w:pPr>
      <w:r>
        <w:rPr>
          <w:sz w:val="22"/>
        </w:rPr>
        <w:t>No estirar ni distorsionar las proporciones del wordmark ni del isotipo.</w:t>
      </w:r>
    </w:p>
    <w:p>
      <w:pPr>
        <w:pStyle w:val="ListBullet"/>
      </w:pPr>
      <w:r>
        <w:rPr>
          <w:sz w:val="22"/>
        </w:rPr>
        <w:t>No añadir sombras, contornos o efectos 3D — el logo es intencionalmente plano y lineal.</w:t>
      </w:r>
    </w:p>
    <w:p>
      <w:r>
        <w:br w:type="page"/>
      </w:r>
    </w:p>
    <w:p>
      <w:pPr>
        <w:pStyle w:val="Heading1"/>
      </w:pPr>
      <w:r>
        <w:t>2. Paleta de colores</w:t>
      </w:r>
    </w:p>
    <w:p>
      <w:pPr>
        <w:spacing w:after="160"/>
      </w:pPr>
      <w:r>
        <w:rPr>
          <w:b w:val="0"/>
          <w:i w:val="0"/>
          <w:sz w:val="22"/>
        </w:rPr>
        <w:t>Base neutra en escala de grises con un único color de marca (acento cálido). Esta sección conserva los colores originales del sistema y añade los roles y códigos exactos necesarios para diseñar plantillas de Instagram.</w:t>
      </w:r>
    </w:p>
    <w:p>
      <w:pPr>
        <w:pStyle w:val="Heading2"/>
      </w:pPr>
      <w:r>
        <w:t>2.1 Colores base (sistema de producto)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448"/>
        <w:gridCol w:w="1152"/>
        <w:gridCol w:w="1584"/>
        <w:gridCol w:w="3456"/>
      </w:tblGrid>
      <w:tr>
        <w:tc>
          <w:tcPr>
            <w:tcW w:type="dxa" w:w="720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152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1584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HSL</w:t>
            </w:r>
          </w:p>
        </w:tc>
        <w:tc>
          <w:tcPr>
            <w:tcW w:type="dxa" w:w="3456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720"/>
            <w:shd w:val="clear" w:color="auto" w:fill="FFFFFF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Background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0% 100%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Fondo principal (UI)</w:t>
            </w:r>
          </w:p>
        </w:tc>
      </w:tr>
      <w:tr>
        <w:tc>
          <w:tcPr>
            <w:tcW w:type="dxa" w:w="720"/>
            <w:shd w:val="clear" w:color="auto" w:fill="171717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Foreground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#171717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0% 9%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Texto principal (UI)</w:t>
            </w:r>
          </w:p>
        </w:tc>
      </w:tr>
      <w:tr>
        <w:tc>
          <w:tcPr>
            <w:tcW w:type="dxa" w:w="720"/>
            <w:shd w:val="clear" w:color="auto" w:fill="212121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Primary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#212121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0% 13%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Botones y elementos primarios</w:t>
            </w:r>
          </w:p>
        </w:tc>
      </w:tr>
      <w:tr>
        <w:tc>
          <w:tcPr>
            <w:tcW w:type="dxa" w:w="720"/>
            <w:shd w:val="clear" w:color="auto" w:fill="F5F5F5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Secondary / Muted / Accent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#F5F5F5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0% 96%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Fondos secundarios, tarjetas sutiles</w:t>
            </w:r>
          </w:p>
        </w:tc>
      </w:tr>
      <w:tr>
        <w:tc>
          <w:tcPr>
            <w:tcW w:type="dxa" w:w="720"/>
            <w:shd w:val="clear" w:color="auto" w:fill="737373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Muted foreground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#737373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0% 45%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Texto secundario / placeholders</w:t>
            </w:r>
          </w:p>
        </w:tc>
      </w:tr>
      <w:tr>
        <w:tc>
          <w:tcPr>
            <w:tcW w:type="dxa" w:w="720"/>
            <w:shd w:val="clear" w:color="auto" w:fill="E6E6E6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Border / Input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#E6E6E6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0% 90%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Bordes y separadores</w:t>
            </w:r>
          </w:p>
        </w:tc>
      </w:tr>
      <w:tr>
        <w:tc>
          <w:tcPr>
            <w:tcW w:type="dxa" w:w="720"/>
            <w:shd w:val="clear" w:color="auto" w:fill="8C8C8C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Ring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#8C8C8C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0% 55%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Foco / outline</w:t>
            </w:r>
          </w:p>
        </w:tc>
      </w:tr>
      <w:tr>
        <w:tc>
          <w:tcPr>
            <w:tcW w:type="dxa" w:w="720"/>
            <w:shd w:val="clear" w:color="auto" w:fill="EF4343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Destructive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#EF4343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84% 60%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Errores, acciones destructivas (no usar como acento de marca)</w:t>
            </w:r>
          </w:p>
        </w:tc>
      </w:tr>
    </w:tbl>
    <w:p>
      <w:pPr>
        <w:pStyle w:val="Heading2"/>
      </w:pPr>
      <w:r>
        <w:t>2.2 Paleta optimizada para Instagram (nuevos roles)</w:t>
      </w:r>
    </w:p>
    <w:p>
      <w:pPr>
        <w:spacing w:after="160"/>
      </w:pPr>
      <w:r>
        <w:rPr>
          <w:b w:val="0"/>
          <w:i w:val="0"/>
          <w:sz w:val="22"/>
        </w:rPr>
        <w:t>Estos tres colores reutilizan y formalizan la paleta existente, asignándole un rol específico para plantillas de redes. El acento es nuevo: se extrajo directamente del círculo del isotipo del logo (no es un color inventado).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448"/>
        <w:gridCol w:w="1152"/>
        <w:gridCol w:w="1584"/>
        <w:gridCol w:w="3456"/>
      </w:tblGrid>
      <w:tr>
        <w:tc>
          <w:tcPr>
            <w:tcW w:type="dxa" w:w="720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152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1584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HSL</w:t>
            </w:r>
          </w:p>
        </w:tc>
        <w:tc>
          <w:tcPr>
            <w:tcW w:type="dxa" w:w="3456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720"/>
            <w:shd w:val="clear" w:color="auto" w:fill="F5F5F5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Fondo Carrusel (claro y limpio)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#F5F5F5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0% 96%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Fondo de slides con mucho texto — ya existía como “Secondary/Muted”, se le asigna este uso</w:t>
            </w:r>
          </w:p>
        </w:tc>
      </w:tr>
      <w:tr>
        <w:tc>
          <w:tcPr>
            <w:tcW w:type="dxa" w:w="720"/>
            <w:shd w:val="clear" w:color="auto" w:fill="171717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Contraste Oscuro (títulos)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#171717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0 0% 9%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Texto de titulares sobre fondo claro — ya existía como “Foreground”</w:t>
            </w:r>
          </w:p>
        </w:tc>
      </w:tr>
      <w:tr>
        <w:tc>
          <w:tcPr>
            <w:tcW w:type="dxa" w:w="720"/>
            <w:shd w:val="clear" w:color="auto" w:fill="F2B968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Acento de Marca (CTA)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#F2B968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35 84% 68%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Botones, palabras destacadas, íconos, líneas — extraído del isotipo del logo, formalizado por primera vez</w:t>
            </w:r>
          </w:p>
        </w:tc>
      </w:tr>
    </w:tbl>
    <w:p>
      <w:pPr>
        <w:spacing w:after="160"/>
      </w:pPr>
      <w:r>
        <w:rPr>
          <w:b w:val="0"/>
          <w:i/>
          <w:color w:val="737373"/>
          <w:sz w:val="20"/>
        </w:rPr>
        <w:t>Regla de oro: el acento #F2B968 se usa siempre en pequeñas dosis (texto destacado, botón, ícono, línea o punto). Nunca como color de fondo de una plantilla completa — así se mantiene la sensación minimalista y el acento conserva su fuerza visual.</w:t>
      </w:r>
    </w:p>
    <w:p>
      <w:pPr>
        <w:pStyle w:val="Heading2"/>
      </w:pPr>
      <w:r>
        <w:t>2.3 Regla 60-30-10 para el feed</w:t>
      </w:r>
    </w:p>
    <w:p>
      <w:pPr>
        <w:spacing w:after="160"/>
      </w:pPr>
      <w:r>
        <w:rPr>
          <w:b w:val="0"/>
          <w:i w:val="0"/>
          <w:sz w:val="22"/>
        </w:rPr>
        <w:t>Distribuye los tres colores por proporción visual en cada plantilla, no por número de elementos. Esto evita que el feed se vea saturado y mantiene coherencia entre posts claros y oscuros.</w:t>
      </w:r>
    </w:p>
    <w:p>
      <w:pPr>
        <w:spacing w:after="80"/>
      </w:pPr>
      <w:r>
        <w:rPr>
          <w:b/>
          <w:i w:val="0"/>
          <w:sz w:val="22"/>
        </w:rPr>
        <w:t>Plantilla clara (carrusel / texto largo):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16"/>
        <w:gridCol w:w="2808"/>
        <w:gridCol w:w="936"/>
      </w:tblGrid>
      <w:tr>
        <w:tc>
          <w:tcPr>
            <w:tcW w:type="dxa" w:w="5616"/>
            <w:shd w:val="clear" w:color="auto" w:fill="F5F5F5"/>
          </w:tcPr>
          <w:p>
            <w:pPr>
              <w:spacing w:before="0"/>
            </w:pPr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</w:tc>
        <w:tc>
          <w:tcPr>
            <w:tcW w:type="dxa" w:w="2808"/>
            <w:shd w:val="clear" w:color="auto" w:fill="171717"/>
          </w:tcPr>
          <w:p>
            <w:pPr>
              <w:spacing w:before="0"/>
            </w:pPr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</w:tc>
        <w:tc>
          <w:tcPr>
            <w:tcW w:type="dxa" w:w="936"/>
            <w:shd w:val="clear" w:color="auto" w:fill="F2B968"/>
          </w:tcPr>
          <w:p>
            <w:pPr>
              <w:spacing w:before="0"/>
            </w:pPr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</w:tc>
      </w:tr>
      <w:tr>
        <w:tc>
          <w:tcPr>
            <w:tcW w:type="dxa" w:w="5616"/>
          </w:tcPr>
          <w:p>
            <w:pPr>
              <w:jc w:val="center"/>
            </w:pPr>
            <w:r>
              <w:rPr>
                <w:b/>
                <w:sz w:val="18"/>
              </w:rPr>
              <w:t>60% — Fondo</w:t>
              <w:br/>
              <w:t>60%</w:t>
            </w:r>
          </w:p>
        </w:tc>
        <w:tc>
          <w:tcPr>
            <w:tcW w:type="dxa" w:w="2808"/>
          </w:tcPr>
          <w:p>
            <w:pPr>
              <w:jc w:val="center"/>
            </w:pPr>
            <w:r>
              <w:rPr>
                <w:b/>
                <w:sz w:val="18"/>
              </w:rPr>
              <w:t>30% — Texto/bloques</w:t>
              <w:br/>
              <w:t>30%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8"/>
              </w:rPr>
              <w:t>10% — Acento/CTA</w:t>
              <w:br/>
              <w:t>10%</w:t>
            </w:r>
          </w:p>
        </w:tc>
      </w:tr>
    </w:tbl>
    <w:p>
      <w:pPr>
        <w:spacing w:after="80"/>
      </w:pPr>
      <w:r>
        <w:rPr>
          <w:b/>
          <w:i w:val="0"/>
          <w:sz w:val="22"/>
        </w:rPr>
        <w:t>Plantilla oscura (mood / quote / producto):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16"/>
        <w:gridCol w:w="2808"/>
        <w:gridCol w:w="936"/>
      </w:tblGrid>
      <w:tr>
        <w:tc>
          <w:tcPr>
            <w:tcW w:type="dxa" w:w="5616"/>
            <w:shd w:val="clear" w:color="auto" w:fill="171717"/>
          </w:tcPr>
          <w:p>
            <w:pPr>
              <w:spacing w:before="0"/>
            </w:pPr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</w:tc>
        <w:tc>
          <w:tcPr>
            <w:tcW w:type="dxa" w:w="2808"/>
            <w:shd w:val="clear" w:color="auto" w:fill="F5F5F5"/>
          </w:tcPr>
          <w:p>
            <w:pPr>
              <w:spacing w:before="0"/>
            </w:pPr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</w:tc>
        <w:tc>
          <w:tcPr>
            <w:tcW w:type="dxa" w:w="936"/>
            <w:shd w:val="clear" w:color="auto" w:fill="F2B968"/>
          </w:tcPr>
          <w:p>
            <w:pPr>
              <w:spacing w:before="0"/>
            </w:pPr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  <w:p>
            <w:r>
              <w:rPr>
                <w:sz w:val="4"/>
              </w:rPr>
              <w:t xml:space="preserve"> </w:t>
            </w:r>
          </w:p>
        </w:tc>
      </w:tr>
      <w:tr>
        <w:tc>
          <w:tcPr>
            <w:tcW w:type="dxa" w:w="5616"/>
          </w:tcPr>
          <w:p>
            <w:pPr>
              <w:jc w:val="center"/>
            </w:pPr>
            <w:r>
              <w:rPr>
                <w:b/>
                <w:sz w:val="18"/>
              </w:rPr>
              <w:t>60% — Fondo</w:t>
              <w:br/>
              <w:t>60%</w:t>
            </w:r>
          </w:p>
        </w:tc>
        <w:tc>
          <w:tcPr>
            <w:tcW w:type="dxa" w:w="2808"/>
          </w:tcPr>
          <w:p>
            <w:pPr>
              <w:jc w:val="center"/>
            </w:pPr>
            <w:r>
              <w:rPr>
                <w:b/>
                <w:sz w:val="18"/>
              </w:rPr>
              <w:t>30% — Texto/bloques</w:t>
              <w:br/>
              <w:t>30%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8"/>
              </w:rPr>
              <w:t>10% — Acento/CTA</w:t>
              <w:br/>
              <w:t>10%</w:t>
            </w:r>
          </w:p>
        </w:tc>
      </w:tr>
    </w:tbl>
    <w:p>
      <w:pPr>
        <w:pStyle w:val="ListBullet"/>
      </w:pPr>
      <w:r>
        <w:rPr>
          <w:sz w:val="22"/>
        </w:rPr>
        <w:t>60% — Color dominante: el fondo completo de la plantilla. Define si el post es “claro” (informativo, carrusel) u “oscuro” (mood, cita, producto).</w:t>
      </w:r>
    </w:p>
    <w:p>
      <w:pPr>
        <w:pStyle w:val="ListBullet"/>
      </w:pPr>
      <w:r>
        <w:rPr>
          <w:sz w:val="22"/>
        </w:rPr>
        <w:t>30% — Color secundario: bloques de texto, formas geométricas, íconos grandes, imágenes con overlay. Da estructura y jerarquía.</w:t>
      </w:r>
    </w:p>
    <w:p>
      <w:pPr>
        <w:pStyle w:val="ListBullet"/>
      </w:pPr>
      <w:r>
        <w:rPr>
          <w:sz w:val="22"/>
        </w:rPr>
        <w:t>10% — Acento: subrayados, botones de “Swipe” o “Link en bio”, palabras clave destacadas, el punto/círculo del isotipo. Es lo último que el ojo detecta — por eso debe ser el color menos usado.</w:t>
      </w:r>
    </w:p>
    <w:p>
      <w:pPr>
        <w:pStyle w:val="ListBullet"/>
      </w:pPr>
      <w:r>
        <w:rPr>
          <w:sz w:val="22"/>
        </w:rPr>
        <w:t>Alternar entre plantilla clara y oscura post a post da variedad al feed sin romper la identidad, porque los tres colores son siempre los mismos.</w:t>
      </w:r>
    </w:p>
    <w:p>
      <w:r>
        <w:br w:type="page"/>
      </w:r>
    </w:p>
    <w:p>
      <w:pPr>
        <w:pStyle w:val="Heading2"/>
      </w:pPr>
      <w:r>
        <w:t>2.4 Colores de datos (uso interno / producto)</w:t>
      </w:r>
    </w:p>
    <w:p>
      <w:pPr>
        <w:spacing w:after="160"/>
      </w:pPr>
      <w:r>
        <w:rPr>
          <w:b w:val="0"/>
          <w:i/>
          <w:color w:val="737373"/>
          <w:sz w:val="20"/>
        </w:rPr>
        <w:t>Reservados para gráficos y dashboards del producto. No se recomiendan para piezas de Instagram — no forman parte del sistema de marca visible al público.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448"/>
        <w:gridCol w:w="1152"/>
        <w:gridCol w:w="1584"/>
        <w:gridCol w:w="3456"/>
      </w:tblGrid>
      <w:tr>
        <w:tc>
          <w:tcPr>
            <w:tcW w:type="dxa" w:w="720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152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1584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HSL</w:t>
            </w:r>
          </w:p>
        </w:tc>
        <w:tc>
          <w:tcPr>
            <w:tcW w:type="dxa" w:w="3456"/>
            <w:shd w:val="clear" w:color="auto" w:fill="212121"/>
            <w:vAlign w:val="center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720"/>
            <w:shd w:val="clear" w:color="auto" w:fill="2662D9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Chart 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#2662D9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220 70% 50%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Series de datos — azul</w:t>
            </w:r>
          </w:p>
        </w:tc>
      </w:tr>
      <w:tr>
        <w:tc>
          <w:tcPr>
            <w:tcW w:type="dxa" w:w="720"/>
            <w:shd w:val="clear" w:color="auto" w:fill="2EB88A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Chart 2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#2EB88A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160 60% 45%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Series de datos — verde</w:t>
            </w:r>
          </w:p>
        </w:tc>
      </w:tr>
      <w:tr>
        <w:tc>
          <w:tcPr>
            <w:tcW w:type="dxa" w:w="720"/>
            <w:shd w:val="clear" w:color="auto" w:fill="E88C30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Chart 3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#E88C30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30 80% 55%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Series de datos — naranja</w:t>
            </w:r>
          </w:p>
        </w:tc>
      </w:tr>
      <w:tr>
        <w:tc>
          <w:tcPr>
            <w:tcW w:type="dxa" w:w="720"/>
            <w:shd w:val="clear" w:color="auto" w:fill="AF57DB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Chart 4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#AF57DB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280 65% 60%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Series de datos — violeta</w:t>
            </w:r>
          </w:p>
        </w:tc>
      </w:tr>
      <w:tr>
        <w:tc>
          <w:tcPr>
            <w:tcW w:type="dxa" w:w="720"/>
            <w:shd w:val="clear" w:color="auto" w:fill="E23670"/>
          </w:tcPr>
          <w:p/>
        </w:tc>
        <w:tc>
          <w:tcPr>
            <w:tcW w:type="dxa" w:w="2448"/>
            <w:vAlign w:val="center"/>
          </w:tcPr>
          <w:p>
            <w:r>
              <w:rPr>
                <w:b/>
                <w:sz w:val="20"/>
              </w:rPr>
              <w:t>Chart 5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20"/>
              </w:rPr>
              <w:t>#E23670</w:t>
            </w:r>
          </w:p>
        </w:tc>
        <w:tc>
          <w:tcPr>
            <w:tcW w:type="dxa" w:w="1584"/>
            <w:vAlign w:val="center"/>
          </w:tcPr>
          <w:p>
            <w:r>
              <w:rPr>
                <w:sz w:val="20"/>
              </w:rPr>
              <w:t>340 75% 55%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20"/>
              </w:rPr>
              <w:t>Series de datos — rosa</w:t>
            </w:r>
          </w:p>
        </w:tc>
      </w:tr>
    </w:tbl>
    <w:p>
      <w:pPr>
        <w:pStyle w:val="Heading2"/>
      </w:pPr>
      <w:r>
        <w:t>2.5 Modo oscuro (producto)</w:t>
      </w:r>
    </w:p>
    <w:p>
      <w:pPr>
        <w:spacing w:after="160"/>
      </w:pPr>
      <w:r>
        <w:rPr>
          <w:b w:val="0"/>
          <w:i w:val="0"/>
          <w:sz w:val="22"/>
        </w:rPr>
        <w:t>Se invierte la relación tonal: fondo #171717, texto #FAFAFA, primary #FAFAFA sobre fondo oscuro. Definido en la clase .dark de globals.css.</w:t>
      </w:r>
    </w:p>
    <w:p>
      <w:r>
        <w:br w:type="page"/>
      </w:r>
    </w:p>
    <w:p>
      <w:pPr>
        <w:pStyle w:val="Heading1"/>
      </w:pPr>
      <w:r>
        <w:t>3. Sistema tipográfico</w:t>
      </w:r>
    </w:p>
    <w:p>
      <w:pPr>
        <w:pStyle w:val="Heading2"/>
      </w:pPr>
      <w:r>
        <w:t>3.1 Fuente actual del producto</w:t>
      </w:r>
    </w:p>
    <w:p>
      <w:pPr>
        <w:spacing w:after="160"/>
      </w:pPr>
      <w:r>
        <w:rPr>
          <w:b w:val="0"/>
          <w:i w:val="0"/>
          <w:sz w:val="22"/>
        </w:rPr>
        <w:t>Inter (sans-serif), declarada en tailwind.config.ts como fuente por defecto del sitio. Se mantiene como base y pasa a ser la fuente de texto en el sistema ampliado.</w:t>
      </w:r>
    </w:p>
    <w:p>
      <w:pPr>
        <w:pStyle w:val="Heading2"/>
      </w:pPr>
      <w:r>
        <w:t>3.2 Combinación para Instagram (Google Fonts)</w:t>
      </w:r>
    </w:p>
    <w:p>
      <w:pPr>
        <w:spacing w:after="160"/>
      </w:pPr>
      <w:r>
        <w:rPr>
          <w:b w:val="0"/>
          <w:i w:val="0"/>
          <w:sz w:val="22"/>
        </w:rPr>
        <w:t>Se propone una pareja de dos fuentes, ambas gratuitas en Google Fonts, para no romper la identidad tipográfica ya establecida y a la vez ganar más carácter en titulares.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5616"/>
      </w:tblGrid>
      <w:tr>
        <w:tc>
          <w:tcPr>
            <w:tcW w:type="dxa" w:w="1872"/>
            <w:shd w:val="clear" w:color="auto" w:fill="212121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1872"/>
            <w:shd w:val="clear" w:color="auto" w:fill="212121"/>
          </w:tcPr>
          <w:p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5616"/>
            <w:shd w:val="clear" w:color="auto" w:fill="212121"/>
          </w:tcPr>
          <w:p>
            <w:r>
              <w:rPr>
                <w:b/>
                <w:color w:val="FFFFFF"/>
                <w:sz w:val="20"/>
              </w:rPr>
              <w:t>Uso y pesos recomendados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20"/>
              </w:rPr>
              <w:t>Títulos / hooks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Space Grotesk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Geométrica, con carácter técnico-arquitectónico — coherente con el isotipo y con “Lab”. Usar Bold (700) para titulares grandes en imágenes y Medium (500) para subtítulos cortos dentro de la pieza.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sz w:val="20"/>
              </w:rPr>
              <w:t>Cuerpo / subtítulos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Inter</w:t>
            </w:r>
          </w:p>
        </w:tc>
        <w:tc>
          <w:tcPr>
            <w:tcW w:type="dxa" w:w="5616"/>
          </w:tcPr>
          <w:p>
            <w:r>
              <w:rPr>
                <w:sz w:val="20"/>
              </w:rPr>
              <w:t>Ya es la fuente del producto — máxima legibilidad en textos largos y captions dentro de imágenes. Usar Regular (400) para párrafos, Medium (500) para etiquetas y botones, SemiBold (600) para énfasis puntual.</w:t>
            </w:r>
          </w:p>
        </w:tc>
      </w:tr>
    </w:tbl>
    <w:p>
      <w:pPr>
        <w:spacing w:after="160"/>
      </w:pPr>
      <w:r>
        <w:rPr>
          <w:b w:val="0"/>
          <w:i/>
          <w:color w:val="737373"/>
          <w:sz w:val="20"/>
        </w:rPr>
        <w:t>Por qué esta pareja: Space Grotesk e Inter comparten el mismo espíritu “grotesk” geométrico, por lo que conviven sin fricción visual — Space Grotesk aporta la personalidad que falta para titulares llamativos, mientras Inter conserva la consistencia con el producto y garantiza legibilidad en textos largos.</w:t>
      </w:r>
    </w:p>
    <w:p>
      <w:pPr>
        <w:pStyle w:val="Heading2"/>
      </w:pPr>
      <w:r>
        <w:t>Tamaños sugeridos (plantilla 1080×1350 px)</w:t>
      </w:r>
    </w:p>
    <w:p>
      <w:pPr>
        <w:pStyle w:val="ListBullet"/>
      </w:pPr>
      <w:r>
        <w:rPr>
          <w:sz w:val="22"/>
        </w:rPr>
        <w:t>Titular principal (Space Grotesk Bold): 64–80 px</w:t>
      </w:r>
    </w:p>
    <w:p>
      <w:pPr>
        <w:pStyle w:val="ListBullet"/>
      </w:pPr>
      <w:r>
        <w:rPr>
          <w:sz w:val="22"/>
        </w:rPr>
        <w:t>Subtítulo / bajada (Space Grotesk Medium o Inter SemiBold): 32–40 px</w:t>
      </w:r>
    </w:p>
    <w:p>
      <w:pPr>
        <w:pStyle w:val="ListBullet"/>
      </w:pPr>
      <w:r>
        <w:rPr>
          <w:sz w:val="22"/>
        </w:rPr>
        <w:t>Cuerpo de texto / párrafos (Inter Regular): 24–28 px</w:t>
      </w:r>
    </w:p>
    <w:p>
      <w:pPr>
        <w:pStyle w:val="ListBullet"/>
      </w:pPr>
      <w:r>
        <w:rPr>
          <w:sz w:val="22"/>
        </w:rPr>
        <w:t>Etiquetas, marca de agua, @usuario (Inter Medium): 16–18 px</w:t>
      </w:r>
    </w:p>
    <w:p>
      <w:r>
        <w:br w:type="page"/>
      </w:r>
    </w:p>
    <w:p>
      <w:pPr>
        <w:pStyle w:val="Heading1"/>
      </w:pPr>
      <w:r>
        <w:t>4. Estilo, forma e iconografía</w:t>
      </w:r>
    </w:p>
    <w:p>
      <w:pPr>
        <w:spacing w:after="160"/>
      </w:pPr>
      <w:r>
        <w:rPr>
          <w:b w:val="0"/>
          <w:i w:val="0"/>
          <w:sz w:val="22"/>
        </w:rPr>
        <w:t>Radio de borde base: 0.5rem (8px), con variantes calc(radius - 2px) y calc(radius - 4px) para componentes medianos y pequeños. Estética general: minimalista, monocromática, con soporte completo de modo oscuro.</w:t>
      </w:r>
    </w:p>
    <w:p>
      <w:pPr>
        <w:pStyle w:val="Heading2"/>
      </w:pPr>
      <w:r>
        <w:t>Lenguaje gráfico (extensión del isotipo)</w:t>
      </w:r>
    </w:p>
    <w:p>
      <w:pPr>
        <w:pStyle w:val="ListBullet"/>
      </w:pPr>
      <w:r>
        <w:rPr>
          <w:sz w:val="22"/>
        </w:rPr>
        <w:t>Trazo de línea fino y uniforme (1.5–2 px a escala de post), sin rellenos sólidos salvo el acento.</w:t>
      </w:r>
    </w:p>
    <w:p>
      <w:pPr>
        <w:pStyle w:val="ListBullet"/>
      </w:pPr>
      <w:r>
        <w:rPr>
          <w:sz w:val="22"/>
        </w:rPr>
        <w:t>Formas base: el pentágono/casa, el círculo y la línea recta — reutilizar estas tres formas como elementos gráficos sueltos (divisores, marcos, viñetas) para crear familia visual sin repetir el logo completo.</w:t>
      </w:r>
    </w:p>
    <w:p>
      <w:pPr>
        <w:pStyle w:val="ListBullet"/>
      </w:pPr>
      <w:r>
        <w:rPr>
          <w:sz w:val="22"/>
        </w:rPr>
        <w:t>El círculo relleno en acento (#F2B968) puede usarse solo, a modo de “viñeta” o punto de énfasis, evocando la ventana iluminada del isotipo.</w:t>
      </w:r>
    </w:p>
    <w:p>
      <w:pPr>
        <w:pStyle w:val="ListBullet"/>
      </w:pPr>
      <w:r>
        <w:rPr>
          <w:sz w:val="22"/>
        </w:rPr>
        <w:t>Esquinas redondeadas consistentes con el radio del producto (8px) en tarjetas, botones y marcos de imagen dentro de las plantillas.</w:t>
      </w:r>
    </w:p>
    <w:p>
      <w:pPr>
        <w:pStyle w:val="Heading1"/>
      </w:pPr>
      <w:r>
        <w:t>5. Fotografía e imágenes</w:t>
      </w:r>
    </w:p>
    <w:p>
      <w:pPr>
        <w:spacing w:after="160"/>
      </w:pPr>
      <w:r>
        <w:rPr>
          <w:b w:val="0"/>
          <w:i w:val="0"/>
          <w:sz w:val="22"/>
        </w:rPr>
        <w:t>No hay imágenes de referencia todavía en el sitio (el sistema actual es gráfico/tipográfico). Se sugiere una dirección coherente con la personalidad de la marca:</w:t>
      </w:r>
    </w:p>
    <w:p>
      <w:pPr>
        <w:pStyle w:val="ListBullet"/>
      </w:pPr>
      <w:r>
        <w:rPr>
          <w:sz w:val="22"/>
        </w:rPr>
        <w:t>Tono: arquitectónico, minimalista, luz natural con sombras marcadas — evitar imágenes saturadas o de stock genérico.</w:t>
      </w:r>
    </w:p>
    <w:p>
      <w:pPr>
        <w:pStyle w:val="ListBullet"/>
      </w:pPr>
      <w:r>
        <w:rPr>
          <w:sz w:val="22"/>
        </w:rPr>
        <w:t>Tratamiento: contraste alto, desaturación leve, temperatura de color neutra a cálida (nunca azulada), consistente con el acento ámbar.</w:t>
      </w:r>
    </w:p>
    <w:p>
      <w:pPr>
        <w:pStyle w:val="ListBullet"/>
      </w:pPr>
      <w:r>
        <w:rPr>
          <w:sz w:val="22"/>
        </w:rPr>
        <w:t>Composición: líneas rectas, geometría, espacios negativos amplios — misma lógica que el isotipo.</w:t>
      </w:r>
    </w:p>
    <w:p>
      <w:pPr>
        <w:pStyle w:val="ListBullet"/>
      </w:pPr>
      <w:r>
        <w:rPr>
          <w:sz w:val="22"/>
        </w:rPr>
        <w:t>Evitar: filtros con viñeteado fuerte, imágenes muy saturadas o con múltiples colores compitiendo con el acento de marca.</w:t>
      </w:r>
    </w:p>
    <w:p>
      <w:r>
        <w:br w:type="page"/>
      </w:r>
    </w:p>
    <w:p>
      <w:pPr>
        <w:pStyle w:val="Heading1"/>
      </w:pPr>
      <w:r>
        <w:t>6. Especificaciones de formato para Instagram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2592"/>
            <w:shd w:val="clear" w:color="auto" w:fill="212121"/>
          </w:tcPr>
          <w:p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3168"/>
            <w:shd w:val="clear" w:color="auto" w:fill="212121"/>
          </w:tcPr>
          <w:p>
            <w:r>
              <w:rPr>
                <w:b/>
                <w:color w:val="FFFFFF"/>
                <w:sz w:val="20"/>
              </w:rPr>
              <w:t>Tamaño (px)</w:t>
            </w:r>
          </w:p>
        </w:tc>
        <w:tc>
          <w:tcPr>
            <w:tcW w:type="dxa" w:w="3600"/>
            <w:shd w:val="clear" w:color="auto" w:fill="212121"/>
          </w:tcPr>
          <w:p>
            <w:r>
              <w:rPr>
                <w:b/>
                <w:color w:val="FFFFFF"/>
                <w:sz w:val="20"/>
              </w:rPr>
              <w:t>Zona segura de texto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Feed / Carrusel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1080 × 1350 px (4:5)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Márgenes de 80px en todos los lados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Feed cuadrado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1080 × 1080 px (1:1)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Márgenes de 70px en todos los lados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Story / Reel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1080 × 1920 px (9:16)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Evitar 250px superiores e inferiores (UI de Instagram)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20"/>
              </w:rPr>
              <w:t>Portada de Reel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1080 × 1350 px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Texto centrado en el tercio superior</w:t>
            </w:r>
          </w:p>
        </w:tc>
      </w:tr>
    </w:tbl>
    <w:p>
      <w:pPr>
        <w:pStyle w:val="Heading1"/>
      </w:pPr>
      <w:r>
        <w:t>7. Voz y tono</w:t>
      </w:r>
    </w:p>
    <w:p>
      <w:pPr>
        <w:spacing w:after="160"/>
      </w:pPr>
      <w:r>
        <w:rPr>
          <w:b w:val="0"/>
          <w:i w:val="0"/>
          <w:sz w:val="22"/>
        </w:rPr>
        <w:t>Personalidad diagnosticada a partir del sistema visual: minimalista, técnica y arquitectónica, con un punto de calidez a través del acento. “Lab” aporta un matiz de método y experimentación.</w:t>
      </w:r>
    </w:p>
    <w:p>
      <w:pPr>
        <w:pStyle w:val="ListBullet"/>
      </w:pPr>
      <w:r>
        <w:rPr>
          <w:sz w:val="22"/>
        </w:rPr>
        <w:t>Tono: seguro, directo y preciso — frases cortas, sin relleno. Se explica con confianza, no se vende con exclamaciones.</w:t>
      </w:r>
    </w:p>
    <w:p>
      <w:pPr>
        <w:pStyle w:val="ListBullet"/>
      </w:pPr>
      <w:r>
        <w:rPr>
          <w:sz w:val="22"/>
        </w:rPr>
        <w:t>Vocabulario: términos claros y técnicos cuando aporten valor (diseño, sistema, proceso), evitando jerga vacía de marketing.</w:t>
      </w:r>
    </w:p>
    <w:p>
      <w:pPr>
        <w:pStyle w:val="ListBullet"/>
      </w:pPr>
      <w:r>
        <w:rPr>
          <w:sz w:val="22"/>
        </w:rPr>
        <w:t>Uso de emojis: mínimo o nulo — como máximo un ícono simple (○, —) que refuerce el lenguaje gráfico del isotipo, nunca emojis genéricos.</w:t>
      </w:r>
    </w:p>
    <w:p>
      <w:pPr>
        <w:pStyle w:val="ListBullet"/>
      </w:pPr>
      <w:r>
        <w:rPr>
          <w:sz w:val="22"/>
        </w:rPr>
        <w:t>Largo de copy: captions breves; si se necesita explicar algo extenso, usar el carrusel para eso en vez de un párrafo largo en la descripción.</w:t>
      </w:r>
    </w:p>
    <w:p>
      <w:pPr>
        <w:pStyle w:val="ListBullet"/>
      </w:pPr>
      <w:r>
        <w:rPr>
          <w:sz w:val="22"/>
        </w:rPr>
        <w:t>Ejemplo de tono: “Menos ruido, más estructura.” en vez de “¡Descubre nuestra increíble propuesta! 🎉”</w:t>
      </w:r>
    </w:p>
    <w:p>
      <w:pPr>
        <w:pStyle w:val="Heading1"/>
      </w:pPr>
      <w:r>
        <w:t>8. Pilares de contenido sugeridos</w:t>
      </w:r>
    </w:p>
    <w:p>
      <w:pPr>
        <w:pStyle w:val="ListBullet"/>
      </w:pPr>
      <w:r>
        <w:rPr>
          <w:sz w:val="22"/>
        </w:rPr>
        <w:t>Sistema — piezas que muestran el proceso, la lógica o el “detrás de escena” del producto/servicio.</w:t>
      </w:r>
    </w:p>
    <w:p>
      <w:pPr>
        <w:pStyle w:val="ListBullet"/>
      </w:pPr>
      <w:r>
        <w:rPr>
          <w:sz w:val="22"/>
        </w:rPr>
        <w:t>Detalle — close-ups del isotipo, materiales, tipografía o arquitectura que refuercen el mundo visual de la marca.</w:t>
      </w:r>
    </w:p>
    <w:p>
      <w:pPr>
        <w:pStyle w:val="ListBullet"/>
      </w:pPr>
      <w:r>
        <w:rPr>
          <w:sz w:val="22"/>
        </w:rPr>
        <w:t>Cita / Mood — frases cortas propias sobre método, diseño o simplicidad, en plantilla oscura con acento.</w:t>
      </w:r>
    </w:p>
    <w:p>
      <w:pPr>
        <w:pStyle w:val="ListBullet"/>
      </w:pPr>
      <w:r>
        <w:rPr>
          <w:sz w:val="22"/>
        </w:rPr>
        <w:t>Educativo — tips o explicaciones breves en formato carrusel, plantilla clara.</w:t>
      </w:r>
    </w:p>
    <w:p>
      <w:pPr>
        <w:pStyle w:val="ListBullet"/>
      </w:pPr>
      <w:r>
        <w:rPr>
          <w:sz w:val="22"/>
        </w:rPr>
        <w:t>Prueba / Producto — casos, resultados o vistazos reales al producto, siempre con el mismo tratamiento fotográfico.</w:t>
      </w:r>
    </w:p>
    <w:p/>
    <w:p>
      <w:r>
        <w:rPr>
          <w:b w:val="0"/>
          <w:i/>
          <w:color w:val="737373"/>
          <w:sz w:val="16"/>
        </w:rPr>
        <w:t>Fuente: código del proyecto (src/app/globals.css, tailwind.config.ts, public/img/logo.png) más extensiones de diseño propuestas para redes sociales (paleta de acento extraída del logo, tipografía complementaria, formatos y lineamientos de contenido).</w:t>
      </w:r>
    </w:p>
    <w:sectPr w:rsidR="00FC693F" w:rsidRPr="0006063C" w:rsidSect="0003461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