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rFonts w:eastAsia="Calibri" w:cs="Calibri"/>
          <w:b/>
          <w:bCs/>
          <w:color w:val="595959"/>
          <w:sz w:val="24"/>
          <w:szCs w:val="24"/>
        </w:rPr>
        <w:t>PROYECTO FINAL INTEGRADOR</w:t>
      </w:r>
    </w:p>
    <w:p>
      <w:pPr>
        <w:pStyle w:val="Normal"/>
        <w:spacing w:before="0" w:after="300"/>
        <w:rPr/>
      </w:pPr>
      <w:r>
        <w:rPr/>
      </w:r>
    </w:p>
    <w:p>
      <w:pPr>
        <w:pStyle w:val="Normal"/>
        <w:jc w:val="center"/>
        <w:rPr/>
      </w:pPr>
      <w:r>
        <w:rPr>
          <w:rFonts w:eastAsia="Calibri" w:cs="Calibri"/>
          <w:b/>
          <w:bCs/>
          <w:color w:val="1F3864"/>
          <w:sz w:val="56"/>
          <w:szCs w:val="56"/>
        </w:rPr>
        <w:t>Tecnologías</w:t>
      </w:r>
    </w:p>
    <w:p>
      <w:pPr>
        <w:pStyle w:val="Normal"/>
        <w:spacing w:before="120" w:after="300"/>
        <w:jc w:val="center"/>
        <w:rPr>
          <w:rFonts w:ascii="Calibri" w:hAnsi="Calibri" w:eastAsia="Calibri" w:cs="Calibri"/>
          <w:b/>
          <w:bCs/>
          <w:color w:val="1F3864"/>
          <w:sz w:val="30"/>
          <w:szCs w:val="30"/>
        </w:rPr>
      </w:pPr>
      <w:r>
        <w:rPr/>
      </w:r>
    </w:p>
    <w:p>
      <w:pPr>
        <w:pStyle w:val="Heading1"/>
        <w:pBdr>
          <w:bottom w:val="single" w:sz="8" w:space="4" w:color="2E5FA3"/>
        </w:pBdr>
        <w:spacing w:before="0" w:after="200"/>
        <w:rPr/>
      </w:pPr>
      <w:r>
        <w:rPr>
          <w:b/>
          <w:bCs/>
          <w:color w:val="1F3864"/>
          <w:sz w:val="30"/>
          <w:szCs w:val="30"/>
        </w:rPr>
        <w:t>Introducción</w:t>
      </w:r>
    </w:p>
    <w:p>
      <w:pPr>
        <w:pStyle w:val="Normal"/>
        <w:spacing w:lineRule="exact" w:line="276" w:before="0" w:after="160"/>
        <w:jc w:val="both"/>
        <w:rPr/>
      </w:pPr>
      <w:r>
        <w:rPr>
          <w:rFonts w:eastAsia="Calibri" w:cs="Calibri"/>
          <w:sz w:val="21"/>
          <w:szCs w:val="21"/>
        </w:rPr>
        <w:t>El presente documento describe y fundamenta el stack tecnológico utilizado en el Sistema UEBA Zero Trust, teniendo en cuenta los cuatro ejes establecidos por el criterio de evaluación de la cátedra: lenguajes de programación, frameworks y librerías, arquitectura de red y protocolos de comunicación. Para cada tecnología se explica no solo cuál fue utilizada, sino también el motivo de su elección frente a otras alternativas posibles, considerando las necesidades y características concretas del proyecto.</w:t>
      </w:r>
    </w:p>
    <w:p>
      <w:pPr>
        <w:pStyle w:val="Normal"/>
        <w:spacing w:lineRule="exact" w:line="276" w:before="0" w:after="160"/>
        <w:jc w:val="both"/>
        <w:rPr/>
      </w:pPr>
      <w:r>
        <w:rPr>
          <w:rFonts w:eastAsia="Calibri" w:cs="Calibri"/>
          <w:sz w:val="21"/>
          <w:szCs w:val="21"/>
        </w:rPr>
        <w:t>El sistema calcula un score de riesgo para cada usuario a partir de distintos eventos de comportamiento. Además, mantiene el estado operativo en tiempo real, guarda un historial diario de los datos procesados y permite consultar la información mediante un dashboard. Por otro lado, cuenta con un agente local encargado de aplicar las medidas de mitigación definidas por el sistema, cumpliendo el rol de Policy Enforcement Point (PEP).</w:t>
      </w:r>
    </w:p>
    <w:p>
      <w:pPr>
        <w:pStyle w:val="Normal"/>
        <w:spacing w:lineRule="exact" w:line="276" w:before="0" w:after="160"/>
        <w:jc w:val="both"/>
        <w:rPr/>
      </w:pPr>
      <w:r>
        <w:rPr>
          <w:rFonts w:eastAsia="Calibri" w:cs="Calibri"/>
          <w:sz w:val="21"/>
          <w:szCs w:val="21"/>
        </w:rPr>
        <w:t>Debido a esta distribución de responsabilidades, el proyecto no está planteado como una aplicación monolítica, sino como un sistema compuesto por varios componentes que trabajan de manera conjunta. Por este motivo, las tecnologías utilizadas en cada parte fueron seleccionadas teniendo en cuenta la función que cumple cada componente dentro de la arquitectura general.</w:t>
      </w:r>
    </w:p>
    <w:p>
      <w:pPr>
        <w:pStyle w:val="Normal"/>
        <w:spacing w:lineRule="exact" w:line="276" w:before="0" w:after="160"/>
        <w:jc w:val="both"/>
        <w:rPr/>
      </w:pPr>
      <w:r>
        <w:rPr>
          <w:rFonts w:eastAsia="Calibri" w:cs="Calibri"/>
          <w:sz w:val="21"/>
          <w:szCs w:val="21"/>
        </w:rPr>
        <w:t>El proyecto está organizado como un monorepo que contiene seis subsistemas principales: la API encargada del scoring en tiempo real (`api/`), el agente PEP local (`agent/`), el dashboard web (`frontend/`), el pipeline utilizado para el entrenamiento offline del modelo (`ml_core/`), los scripts destinados a las demostraciones, reproducción de eventos y validaciones (`scripts/`) y la documentación relacionada con la arquitectura (`docs/`).</w:t>
      </w:r>
    </w:p>
    <w:p>
      <w:pPr>
        <w:pStyle w:val="Normal"/>
        <w:spacing w:lineRule="exact" w:line="276" w:before="0" w:after="160"/>
        <w:jc w:val="both"/>
        <w:rPr/>
      </w:pPr>
      <w:r>
        <w:rPr>
          <w:rFonts w:eastAsia="Calibri" w:cs="Calibri"/>
          <w:sz w:val="21"/>
          <w:szCs w:val="21"/>
        </w:rPr>
        <w:t>En las siguientes secciones se detalla cada uno de estos componentes, explicando las tecnologías utilizadas y las razones detrás de las decisiones tomadas durante el desarrollo del sistema.</w:t>
      </w:r>
    </w:p>
    <w:p>
      <w:pPr>
        <w:pStyle w:val="Heading1"/>
        <w:pBdr>
          <w:bottom w:val="single" w:sz="8" w:space="4" w:color="2E5FA3"/>
        </w:pBdr>
        <w:spacing w:before="400" w:after="200"/>
        <w:rPr/>
      </w:pPr>
      <w:r>
        <w:rPr>
          <w:b/>
          <w:bCs/>
          <w:color w:val="1F3864"/>
          <w:sz w:val="30"/>
          <w:szCs w:val="30"/>
        </w:rPr>
        <w:t>1. Lenguajes de programación</w:t>
      </w:r>
    </w:p>
    <w:p>
      <w:pPr>
        <w:pStyle w:val="Normal"/>
        <w:spacing w:lineRule="exact" w:line="276" w:before="0" w:after="160"/>
        <w:jc w:val="both"/>
        <w:rPr/>
      </w:pPr>
      <w:r>
        <w:rPr>
          <w:rFonts w:eastAsia="Calibri" w:cs="Calibri"/>
          <w:sz w:val="21"/>
          <w:szCs w:val="21"/>
        </w:rPr>
        <w:t>La elección de lenguajes del proyecto no es uniforme: cada componente utiliza el lenguaje que mejor se ajusta a su función y a su entorno de ejecución. La tabla siguiente resume dónde se usa cada lenguaje y por qué.</w:t>
      </w:r>
    </w:p>
    <w:tbl>
      <w:tblPr>
        <w:tblW w:w="9500" w:type="dxa"/>
        <w:jc w:val="left"/>
        <w:tblInd w:w="0" w:type="dxa"/>
        <w:tblLayout w:type="fixed"/>
        <w:tblCellMar>
          <w:top w:w="100" w:type="dxa"/>
          <w:left w:w="120" w:type="dxa"/>
          <w:bottom w:w="100" w:type="dxa"/>
          <w:right w:w="120" w:type="dxa"/>
        </w:tblCellMar>
      </w:tblPr>
      <w:tblGrid>
        <w:gridCol w:w="1599"/>
        <w:gridCol w:w="2401"/>
        <w:gridCol w:w="5500"/>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Lenguaje</w:t>
            </w:r>
          </w:p>
        </w:tc>
        <w:tc>
          <w:tcPr>
            <w:tcW w:w="2401"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Dónde se usa</w:t>
            </w:r>
          </w:p>
        </w:tc>
        <w:tc>
          <w:tcPr>
            <w:tcW w:w="55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1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Python 3.11</w:t>
            </w:r>
          </w:p>
        </w:tc>
        <w:tc>
          <w:tcPr>
            <w:tcW w:w="2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API de scoring (api/), agente (agent/), pipeline offline (ml_core/, scripts/)</w:t>
            </w:r>
          </w:p>
        </w:tc>
        <w:tc>
          <w:tcPr>
            <w:tcW w:w="5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Python es el lenguaje utilizado en todo el pipeline relacionado con el procesamiento de datos y el desarrollo de los modelos de machine learning, incluyendo los notebooks de las distintas fases, `scikit-learn` y TensorFlow.</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Mantener Python tanto en el pipeline de entrenamiento como en la API de producción permite reutilizar directamente código que ya fue desarrollado y validado durante las etapas anteriores. Por ejemplo, `api/app/scoring/artifacts.py` incorpora `scripts/` al `sys.path` para poder importar directamente `_score_common.py` y `_audit_common.py`.</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Esto evita tener que volver a implementar en otro lenguaje la lógica matemática utilizada para calcular el score híbrido y reduce el riesgo de que existan diferencias entre lo que se validó durante el entrenamiento y lo que finalmente se ejecuta en producción. Por lo tanto, utilizar Python en ambos componentes responde principalmente a una decisión de coherencia y reutilización del código, más que a una simple preferencia por el lenguaje.</w:t>
            </w:r>
          </w:p>
        </w:tc>
      </w:tr>
      <w:tr>
        <w:trPr/>
        <w:tc>
          <w:tcPr>
            <w:tcW w:w="1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TypeScript</w:t>
            </w:r>
          </w:p>
        </w:tc>
        <w:tc>
          <w:tcPr>
            <w:tcW w:w="24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Dashboard (frontend/)</w:t>
            </w:r>
          </w:p>
        </w:tc>
        <w:tc>
          <w:tcPr>
            <w:tcW w:w="55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El frontend maneja estructuras de datos relativamente complejas, como `EventoScoreOut`, `UmbralesConfig`, `AccionesConfig` y `ReentrenamientoConfig`. Además, permite modificar configuraciones que afectan directamente el comportamiento del agente, como los umbrales de riesgo y la relación entre cada nivel y la acción que debe ejecutarse.</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Por este motivo, un error en la estructura de los datos podría generar problemas reales en el funcionamiento del sistema, por ejemplo, que el agente reciba un `accion_id` incorrecto. Para reducir este tipo de errores se utiliza TypeScript, que permite detectar problemas durante el desarrollo, junto con Zod para validar los datos recibidos en tiempo de ejecución mediante `schema.parse()`.</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De esta manera, se cuenta con dos niveles de control: TypeScript ayuda a prevenir errores durante la programación y Zod verifica que los datos recibidos desde la API tengan realmente la estructura esperada. Esto aporta una mayor seguridad y confiabilidad que trabajar únicamente con JavaScript.</w:t>
            </w:r>
          </w:p>
        </w:tc>
      </w:tr>
      <w:tr>
        <w:trPr/>
        <w:tc>
          <w:tcPr>
            <w:tcW w:w="15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PowerShell</w:t>
            </w:r>
          </w:p>
        </w:tc>
        <w:tc>
          <w:tcPr>
            <w:tcW w:w="2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scripts/install_agent_task.ps1 y uninstall_agent_task.ps1</w:t>
            </w:r>
          </w:p>
        </w:tc>
        <w:tc>
          <w:tcPr>
            <w:tcW w:w="55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Es el lenguaje nativo de automatización de Windows (schtasks). El agente PEP es exclusivamente Windows por diseño (necesita icacls para ACLs de carpeta y psutil / la API de Windows para terminar procesos), por lo que registrar su arranque automático mediante la herramienta nativa del propio sistema operativo es la opción consistente, en vez de introducir un tercer lenguaje de automatización genérico.</w:t>
            </w:r>
          </w:p>
        </w:tc>
      </w:tr>
    </w:tbl>
    <w:p>
      <w:pPr>
        <w:pStyle w:val="Normal"/>
        <w:spacing w:before="0" w:after="120"/>
        <w:rPr/>
      </w:pPr>
      <w:r>
        <w:rPr/>
      </w:r>
    </w:p>
    <w:p>
      <w:pPr>
        <w:pStyle w:val="Heading3"/>
        <w:spacing w:before="240" w:after="120"/>
        <w:rPr/>
      </w:pPr>
      <w:r>
        <w:rPr>
          <w:b/>
          <w:bCs/>
          <w:i/>
          <w:iCs/>
          <w:color w:val="1F3864"/>
          <w:sz w:val="22"/>
          <w:szCs w:val="22"/>
        </w:rPr>
        <w:t xml:space="preserve">Alternativas consideradas y descartadas </w:t>
      </w:r>
    </w:p>
    <w:p>
      <w:pPr>
        <w:pStyle w:val="BodyText"/>
        <w:numPr>
          <w:ilvl w:val="0"/>
          <w:numId w:val="3"/>
        </w:numPr>
        <w:spacing w:lineRule="exact" w:line="276" w:before="0" w:after="120"/>
        <w:jc w:val="both"/>
        <w:rPr/>
      </w:pPr>
      <w:r>
        <w:rPr>
          <w:rStyle w:val="Strong"/>
          <w:rFonts w:eastAsia="Calibri" w:cs="Calibri"/>
          <w:i w:val="false"/>
          <w:iCs w:val="false"/>
          <w:color w:val="000000"/>
          <w:sz w:val="21"/>
          <w:szCs w:val="21"/>
        </w:rPr>
        <w:t>Backend en Node.js/TypeScript:</w:t>
      </w:r>
      <w:r>
        <w:rPr>
          <w:rFonts w:eastAsia="Calibri" w:cs="Calibri"/>
          <w:b w:val="false"/>
          <w:bCs w:val="false"/>
          <w:i w:val="false"/>
          <w:iCs w:val="false"/>
          <w:color w:val="000000"/>
          <w:sz w:val="21"/>
          <w:szCs w:val="21"/>
        </w:rPr>
        <w:t xml:space="preserve"> se consideró la posibilidad de utilizar un único lenguaje para todo el sistema, pero finalmente se descartó. Si bien Node.js/TypeScript resulta una buena opción para el desarrollo de APIs, Python ofrece </w:t>
      </w:r>
      <w:r>
        <w:rPr>
          <w:rFonts w:eastAsia="Calibri" w:cs="Calibri"/>
          <w:b w:val="false"/>
          <w:bCs w:val="false"/>
          <w:i w:val="false"/>
          <w:iCs w:val="false"/>
          <w:color w:val="000000"/>
          <w:sz w:val="21"/>
          <w:szCs w:val="21"/>
        </w:rPr>
        <w:t>soluciones</w:t>
      </w:r>
      <w:r>
        <w:rPr>
          <w:rFonts w:eastAsia="Calibri" w:cs="Calibri"/>
          <w:b w:val="false"/>
          <w:bCs w:val="false"/>
          <w:i w:val="false"/>
          <w:iCs w:val="false"/>
          <w:color w:val="000000"/>
          <w:sz w:val="21"/>
          <w:szCs w:val="21"/>
        </w:rPr>
        <w:t xml:space="preserve"> mucho más complet</w:t>
      </w:r>
      <w:r>
        <w:rPr>
          <w:rFonts w:eastAsia="Calibri" w:cs="Calibri"/>
          <w:b w:val="false"/>
          <w:bCs w:val="false"/>
          <w:i w:val="false"/>
          <w:iCs w:val="false"/>
          <w:color w:val="000000"/>
          <w:sz w:val="21"/>
          <w:szCs w:val="21"/>
        </w:rPr>
        <w:t>as</w:t>
      </w:r>
      <w:r>
        <w:rPr>
          <w:rFonts w:eastAsia="Calibri" w:cs="Calibri"/>
          <w:b w:val="false"/>
          <w:bCs w:val="false"/>
          <w:i w:val="false"/>
          <w:iCs w:val="false"/>
          <w:color w:val="000000"/>
          <w:sz w:val="21"/>
          <w:szCs w:val="21"/>
        </w:rPr>
        <w:t xml:space="preserve">  para machine learning, especialmente para trabajar con modelos como Isolation Forest y autoencoders LSTM. Utilizar Node.js para todo el backend habría terminado requiriendo igualmente un servicio separado en Python para la parte de machine learning. </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Java / Spring Boot para la API: </w:t>
      </w:r>
      <w:r>
        <w:rPr>
          <w:rFonts w:eastAsia="Calibri" w:cs="Calibri"/>
          <w:b w:val="false"/>
          <w:bCs w:val="false"/>
          <w:i w:val="false"/>
          <w:iCs w:val="false"/>
          <w:color w:val="000000"/>
          <w:sz w:val="21"/>
          <w:szCs w:val="21"/>
        </w:rPr>
        <w:t xml:space="preserve">también se evaluó utilizar Java con Spring Boot, pero se decidió no hacerlo. Para el alcance de este proyecto, esta alternativa implicaba una mayor cantidad de configuración y código adicional. </w:t>
      </w:r>
    </w:p>
    <w:p>
      <w:pPr>
        <w:pStyle w:val="Heading1"/>
        <w:pBdr>
          <w:bottom w:val="single" w:sz="8" w:space="4" w:color="2E5FA3"/>
        </w:pBdr>
        <w:spacing w:before="400" w:after="200"/>
        <w:rPr/>
      </w:pPr>
      <w:r>
        <w:rPr>
          <w:b/>
          <w:bCs/>
          <w:color w:val="1F3864"/>
          <w:sz w:val="30"/>
          <w:szCs w:val="30"/>
        </w:rPr>
        <w:t>2. Frameworks y librerías</w:t>
      </w:r>
    </w:p>
    <w:p>
      <w:pPr>
        <w:pStyle w:val="Normal"/>
        <w:spacing w:lineRule="exact" w:line="276" w:before="0" w:after="160"/>
        <w:jc w:val="both"/>
        <w:rPr/>
      </w:pPr>
      <w:r>
        <w:rPr>
          <w:rFonts w:eastAsia="Calibri" w:cs="Calibri"/>
          <w:sz w:val="21"/>
          <w:szCs w:val="21"/>
        </w:rPr>
        <w:t>Se detallan a continuación los frameworks y librerías utilizados en cada subsistema, agrupados según su función dentro del proyecto: la API de scoring, el agente PEP, el frontend y el pipeline de entrenamiento offline.</w:t>
      </w:r>
    </w:p>
    <w:p>
      <w:pPr>
        <w:pStyle w:val="Heading2"/>
        <w:spacing w:before="320" w:after="160"/>
        <w:rPr/>
      </w:pPr>
      <w:r>
        <w:rPr>
          <w:b/>
          <w:bCs/>
          <w:color w:val="2E5FA3"/>
          <w:sz w:val="24"/>
          <w:szCs w:val="24"/>
        </w:rPr>
        <w:t>2.1 API de Scoring (api/)</w:t>
      </w:r>
    </w:p>
    <w:tbl>
      <w:tblPr>
        <w:tblW w:w="9500" w:type="dxa"/>
        <w:jc w:val="left"/>
        <w:tblInd w:w="0" w:type="dxa"/>
        <w:tblLayout w:type="fixed"/>
        <w:tblCellMar>
          <w:top w:w="100" w:type="dxa"/>
          <w:left w:w="120" w:type="dxa"/>
          <w:bottom w:w="100" w:type="dxa"/>
          <w:right w:w="12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Tecnología</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FastAPI</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Soporte async nativo, necesario porque cada evento dispara I/O hacia Redis y, al cerrar el día, hacia Postgres, sin bloquear el resto de las requests concurrentes. Ofrece además validación automática de entrada/salida vía Pydantic y generación gratuita de documentación OpenAPI, útil para una API con 11 endpoints documentados formalmente.  frente a Flask: Flask no tiene async nativo ni validación de esquemas integrada; habría que sumar extensiones para llegar al mismo punto.</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Uvicorn</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Servidor ASGI de referencia para FastAPI; requerido porque FastAPI está construido sobre Starlette/ASGI, no sobre WSGI.</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Pydantic v2</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Define los contratos de datos (EventoIn, EventoScoreOut, UmbralesConfig, AccionesConfig, ReentrenamientoConfig) que cruzan el límite entre agente, API y dashboard. Un payload mal formado se rechaza automáticamente con código 422, sin necesidad de código de validación manual.</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SQLAlchemy + psycopg2-binary</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Acceso a Postgres/Supabase para el historial de días cerrados (historial_scores). SQLAlchemy abstrae el dialecto SQL concreto, lo que permite tratar Supabase como un Postgres estándar sin código específico del proveedor. El pool de conexiones está ajustado a un volumen bajo de escrituras (pool_size=2, max_overflow=3), coherente con que la escritura solo ocurre al cerrar un día calendario, no por cada evento.</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redis-py</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Cliente de Redis para el estado en caliente por usuario. Se eligió Redis sobre “todo en Postgres” porque el hot path (una escritura de estado por cada evento recibido, potencialmente cientos por usuario y por día) es un patrón de lectura/escritura de baja latencia y alta frecuencia, distinto del historial agregado (una escritura por usuario y por día). Concentrar ambos patrones en la misma base relacional habría sobrecargado una base pensada para consultas transaccionales, no para actualizaciones de estado de alta frecuencia. Redis permite además concurrencia optimista nativa (WATCH/MULTI/EXEC), que redis_state.py utiliza para reintentar hasta 5 veces ante colisiones de escritura concurrente.</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scikit-learn (IsolationForest)</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 xml:space="preserve">Implementación madura y bien documentada de detección de anomalías no supervisada sobre el agregado diario de actividad. Se eligió sobre alternativas más recientes (autoencoders tabulares, one-class SVM) porque </w:t>
            </w:r>
            <w:r>
              <w:rPr>
                <w:rFonts w:eastAsia="Calibri" w:cs="Calibri"/>
                <w:b w:val="false"/>
                <w:bCs w:val="false"/>
                <w:i/>
                <w:iCs/>
                <w:color w:val="595959"/>
                <w:sz w:val="19"/>
                <w:szCs w:val="19"/>
              </w:rPr>
              <w:t>(justificación propuesta)</w:t>
            </w:r>
            <w:r>
              <w:rPr>
                <w:rFonts w:eastAsia="Calibri" w:cs="Calibri"/>
                <w:b w:val="false"/>
                <w:bCs w:val="false"/>
                <w:i w:val="false"/>
                <w:iCs w:val="false"/>
                <w:color w:val="000000"/>
                <w:sz w:val="19"/>
                <w:szCs w:val="19"/>
              </w:rPr>
              <w:t xml:space="preserve"> es computacionalmente liviano, no requiere ajustar una arquitectura de red neuronal para datos tabulares agregados, y da una salida interpretable (decision_function) que luego se usa para la explicabilidad del score.</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TensorFlow / Keras (LSTM Autoencoder)</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 xml:space="preserve">Necesario porque IsolationForest trabaja sobre un vector agregado diario y no captura el orden de los eventos dentro de una sesión. El LSTM Autoencoder sí modela dependencias secuenciales (ventanas de 50 eventos consecutivos), que es exactamente el tipo de anomalía que un agregado diario diluye — por ejemplo, la secuencia atípica “abrir carpeta protegida → comprimir → conectar a servicio externo” en un orden y ritmo inusual, aunque el volumen total del día no sea anómalo. </w:t>
            </w:r>
            <w:r>
              <w:rPr>
                <w:rFonts w:eastAsia="Calibri" w:cs="Calibri"/>
                <w:b w:val="false"/>
                <w:bCs w:val="false"/>
                <w:i/>
                <w:iCs/>
                <w:color w:val="595959"/>
                <w:sz w:val="19"/>
                <w:szCs w:val="19"/>
              </w:rPr>
              <w:t>(Justificación propuesta)</w:t>
            </w:r>
            <w:r>
              <w:rPr>
                <w:rFonts w:eastAsia="Calibri" w:cs="Calibri"/>
                <w:b w:val="false"/>
                <w:bCs w:val="false"/>
                <w:i w:val="false"/>
                <w:iCs w:val="false"/>
                <w:color w:val="000000"/>
                <w:sz w:val="19"/>
                <w:szCs w:val="19"/>
              </w:rPr>
              <w:t xml:space="preserve"> frente a PyTorch: Keras da una API de alto nivel suficiente para un autoencoder LSTM estándar sin necesidad de escribir el loop de entrenamiento a mano, lo cual reduce la superficie de error en un componente que ya es el más costoso de mantener del pipeline.</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pandas, numpy, scipy, joblib</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Manipulación tabular y numérica en los notebooks de las fases 1 a 6, y joblib específicamente para serializar/deserializar el IsolationForest entrenado (isolation_forest.joblib) de forma eficiente.</w:t>
            </w:r>
          </w:p>
        </w:tc>
      </w:tr>
    </w:tbl>
    <w:p>
      <w:pPr>
        <w:pStyle w:val="Normal"/>
        <w:spacing w:before="0" w:after="120"/>
        <w:rPr/>
      </w:pPr>
      <w:r>
        <w:rPr/>
      </w:r>
    </w:p>
    <w:p>
      <w:pPr>
        <w:pStyle w:val="Heading2"/>
        <w:spacing w:before="320" w:after="160"/>
        <w:rPr/>
      </w:pPr>
      <w:r>
        <w:rPr>
          <w:b/>
          <w:bCs/>
          <w:color w:val="2E5FA3"/>
          <w:sz w:val="24"/>
          <w:szCs w:val="24"/>
        </w:rPr>
        <w:t>2.2 Agente (agent/)</w:t>
      </w:r>
    </w:p>
    <w:tbl>
      <w:tblPr>
        <w:tblW w:w="9500" w:type="dxa"/>
        <w:jc w:val="left"/>
        <w:tblInd w:w="0" w:type="dxa"/>
        <w:tblLayout w:type="fixed"/>
        <w:tblCellMar>
          <w:top w:w="100" w:type="dxa"/>
          <w:left w:w="120" w:type="dxa"/>
          <w:bottom w:w="100" w:type="dxa"/>
          <w:right w:w="12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Tecnología</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requests</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Cliente HTTP mínimo para ScoringClient (POST /eventos). Se prefirió sobre httpx/aiohttp porque el agente no necesita concurrencia asíncrona real — es un loop de sondeo secuencial (while True: poll → post → sleep) — y requests es la opción más liviana y estable para ese patrón síncrono.</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psutil</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Única forma multiplataforma madura de enumerar procesos y conexiones de red desde Python sin llamar directo a la API de Windows. Es deliberadamente la única dependencia no-stdlib además de requests (agent/requirements.txt tiene solo dos líneas): el agente corre en el endpoint del usuario final, así que minimizar dependencias reduce la superficie de ataque y el footprint del proceso que se ejecuta en segundo plano todo el día.</w:t>
            </w:r>
          </w:p>
        </w:tc>
      </w:tr>
    </w:tbl>
    <w:p>
      <w:pPr>
        <w:pStyle w:val="Normal"/>
        <w:spacing w:before="0" w:after="120"/>
        <w:rPr/>
      </w:pPr>
      <w:r>
        <w:rPr/>
      </w:r>
    </w:p>
    <w:p>
      <w:pPr>
        <w:pStyle w:val="Heading2"/>
        <w:spacing w:before="320" w:after="160"/>
        <w:rPr/>
      </w:pPr>
      <w:r>
        <w:rPr>
          <w:b/>
          <w:bCs/>
          <w:color w:val="2E5FA3"/>
          <w:sz w:val="24"/>
          <w:szCs w:val="24"/>
        </w:rPr>
        <w:t>2.3 Frontend (frontend/)</w:t>
      </w:r>
    </w:p>
    <w:tbl>
      <w:tblPr>
        <w:tblW w:w="9500" w:type="dxa"/>
        <w:jc w:val="left"/>
        <w:tblInd w:w="0" w:type="dxa"/>
        <w:tblLayout w:type="fixed"/>
        <w:tblCellMar>
          <w:top w:w="100" w:type="dxa"/>
          <w:left w:w="120" w:type="dxa"/>
          <w:bottom w:w="100" w:type="dxa"/>
          <w:right w:w="12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Tecnología</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React 19</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Modelo de componentes reutilizables adecuado para un dashboard con piezas repetidas entre vistas (RiskBadge, CoverageBadge, LoadingState, ErrorState se reutilizan en las cinco páginas del sistema).</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Vite</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Tiempos de arranque y hot module reload sensiblemente más rápidos que Create React App/Webpack para un proyecto de este tamaño, algo relevante en el ciclo de desarrollo acotado de una tesis.</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TypeScript + zod</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Ver justificación detallada en la sección de lenguajes: doble validación entre compilación y runtime.</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TanStack Query v5</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Maneja cacheo, revalidación y polling (cada 7 segundos) de los datos remotos sin necesidad de escribir a mano la lógica de refetch, estado de carga y error para cada una de las 7 consultas del dashboard. Es también lo que permite el patrón useMutation con setQueryData para reflejar al instante en la interfaz un cambio de umbrales recién guardado, sin esperar al próximo ciclo de polling.</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React Router v7</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Enrutamiento estándar de SPA para las 5 vistas del dashboard: listado de usuarios, detalle de usuario, historial, umbrales y salud del sistema.</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Recharts</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Gráfico de evolución de riesgo (RiskTimeline): librería declarativa que se integra de forma natural con el modelo de componentes de React, evitando manipular un canvas o SVG a mano para un gráfico de líneas simple.</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Tailwind CSS 4</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Sistema de utilidades para implementar el tema claro/oscuro (data-theme) mediante custom properties, sin mantener hojas de estilo separadas por tema.</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Oxlint</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 xml:space="preserve">Linter escrito en Rust, sensiblemente más rápido que ESLint tradicional. </w:t>
            </w:r>
            <w:r>
              <w:rPr>
                <w:rFonts w:eastAsia="Calibri" w:cs="Calibri"/>
                <w:b w:val="false"/>
                <w:bCs w:val="false"/>
                <w:i/>
                <w:iCs/>
                <w:color w:val="595959"/>
                <w:sz w:val="19"/>
                <w:szCs w:val="19"/>
              </w:rPr>
              <w:t>(Justificación propuesta)</w:t>
            </w:r>
            <w:r>
              <w:rPr>
                <w:rFonts w:eastAsia="Calibri" w:cs="Calibri"/>
                <w:b w:val="false"/>
                <w:bCs w:val="false"/>
                <w:i w:val="false"/>
                <w:iCs w:val="false"/>
                <w:color w:val="000000"/>
                <w:sz w:val="19"/>
                <w:szCs w:val="19"/>
              </w:rPr>
              <w:t>: una elección razonable de costo/beneficio para un proyecto con tiempo de desarrollo limitado, aunque la configuración quedó en el default de la plantilla de Vite, sin personalizar reglas propias del proyecto.</w:t>
            </w:r>
          </w:p>
        </w:tc>
      </w:tr>
    </w:tbl>
    <w:p>
      <w:pPr>
        <w:pStyle w:val="Normal"/>
        <w:spacing w:before="0" w:after="120"/>
        <w:rPr/>
      </w:pPr>
      <w:r>
        <w:rPr/>
      </w:r>
    </w:p>
    <w:p>
      <w:pPr>
        <w:pStyle w:val="Heading2"/>
        <w:spacing w:before="320" w:after="160"/>
        <w:rPr/>
      </w:pPr>
      <w:r>
        <w:rPr>
          <w:b/>
          <w:bCs/>
          <w:color w:val="2E5FA3"/>
          <w:sz w:val="24"/>
          <w:szCs w:val="24"/>
        </w:rPr>
        <w:t>2.4 Pipeline offline (ml_core/, scripts/)</w:t>
      </w:r>
    </w:p>
    <w:tbl>
      <w:tblPr>
        <w:tblW w:w="9500" w:type="dxa"/>
        <w:jc w:val="left"/>
        <w:tblInd w:w="0" w:type="dxa"/>
        <w:tblLayout w:type="fixed"/>
        <w:tblCellMar>
          <w:top w:w="100" w:type="dxa"/>
          <w:left w:w="120" w:type="dxa"/>
          <w:bottom w:w="100" w:type="dxa"/>
          <w:right w:w="12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Tecnología</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DuckDB</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Motor analítico embebido que ejecuta consultas tipo SQL sobre data/clue.json (14 GB, JSON Lines) sin tener que cargarlo entero en memoria ni levantar un motor de base de datos separado solo para extraer historiales puntuales de usuario. Es la herramienta correcta para “una consulta puntual sobre un archivo grande”, frente a montar Postgres o Spark para ese mismo propósito.</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imbalanced-learn</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Declarada en ml_core/requirements.txt, es coherente con que el dataset de entrenamiento tiene una proporción de eventos anómalos extremadamente baja (253 sesiones etiquetadas sobre 7,6 millones de eventos en el dataset legado LANL), un escenario típico donde se necesitan técnicas de balanceo de clases.</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Jupyter / ipykernel</w:t>
            </w:r>
          </w:p>
        </w:tc>
        <w:tc>
          <w:tcPr>
            <w:tcW w:w="729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Los notebooks Fase 1 a Fase 6 constituyen el pipeline real de preparación de datos y entrenamiento. La elección de notebooks por sobre scripts puros para esta parte responde a que es trabajo exploratorio e iterativo: no hay ejecución headless documentada, es un flujo manual e interactivo por diseño en esta etapa del proyecto, no en producción.</w:t>
            </w:r>
          </w:p>
        </w:tc>
      </w:tr>
    </w:tbl>
    <w:p>
      <w:pPr>
        <w:pStyle w:val="Heading1"/>
        <w:pBdr>
          <w:bottom w:val="single" w:sz="8" w:space="4" w:color="2E5FA3"/>
        </w:pBdr>
        <w:spacing w:before="400" w:after="200"/>
        <w:rPr/>
      </w:pPr>
      <w:r>
        <w:rPr>
          <w:b/>
          <w:bCs/>
          <w:color w:val="1F3864"/>
          <w:sz w:val="30"/>
          <w:szCs w:val="30"/>
        </w:rPr>
        <w:t>3. Arquitectura de red</w:t>
      </w:r>
    </w:p>
    <w:p>
      <w:pPr>
        <w:pStyle w:val="Heading2"/>
        <w:spacing w:before="320" w:after="160"/>
        <w:rPr/>
      </w:pPr>
      <w:r>
        <w:rPr>
          <w:b/>
          <w:bCs/>
          <w:color w:val="2E5FA3"/>
          <w:sz w:val="24"/>
          <w:szCs w:val="24"/>
        </w:rPr>
        <w:t>3.1 Topología general</w:t>
      </w:r>
    </w:p>
    <w:p>
      <w:pPr>
        <w:pStyle w:val="Normal"/>
        <w:spacing w:lineRule="exact" w:line="276" w:before="0" w:after="160"/>
        <w:jc w:val="both"/>
        <w:rPr/>
      </w:pPr>
      <w:r>
        <w:rPr>
          <w:rFonts w:eastAsia="Calibri" w:cs="Calibri"/>
          <w:sz w:val="21"/>
          <w:szCs w:val="21"/>
        </w:rPr>
        <w:t>El sistema no está diseñado como una aplicación monolítica que se ejecuta en un único entorno. Está compuesto por varios componentes, cada uno con una función específica y con distintas necesidades de despliegue.</w:t>
        <w:br/>
        <w:br/>
        <w:t>La API, Redis, el frontend y el pipeline de entrenamiento (ml_core) se ejecutan mediante Docker Compose, lo que permite mantener estos servicios organizados dentro de una misma red virtual y facilita su puesta en funcionamiento. Por otro lado, la base de datos utilizada para almacenar el historial se encuentra fuera de esta infraestructura y se utiliza como un servicio gestionado de PostgreSQL mediante Supabase.</w:t>
        <w:br/>
        <w:br/>
        <w:t>El agente PEP (agent/) tiene un tratamiento diferente. Se ejecuta directamente en el equipo Windows del usuario final y permanece fuera de los contenedores, ya que necesita acceder a recursos del sistema operativo, como procesos y permisos sobre archivos.</w:t>
      </w:r>
    </w:p>
    <w:tbl>
      <w:tblPr>
        <w:tblW w:w="9500" w:type="dxa"/>
        <w:jc w:val="left"/>
        <w:tblInd w:w="0" w:type="dxa"/>
        <w:tblLayout w:type="fixed"/>
        <w:tblCellMar>
          <w:top w:w="200" w:type="dxa"/>
          <w:left w:w="200" w:type="dxa"/>
          <w:bottom w:w="200" w:type="dxa"/>
          <w:right w:w="20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0D1B2A" w:val="clear"/>
          </w:tcPr>
          <w:p>
            <w:pPr>
              <w:pStyle w:val="Normal"/>
              <w:spacing w:lineRule="exact" w:line="240" w:before="0" w:after="0"/>
              <w:rPr/>
            </w:pPr>
            <w:r>
              <w:rPr>
                <w:rFonts w:eastAsia="Consolas" w:cs="Consolas" w:ascii="Consolas" w:hAnsi="Consolas"/>
                <w:color w:val="A9DFBF"/>
                <w:sz w:val="15"/>
                <w:szCs w:val="15"/>
              </w:rPr>
              <w:t xml:space="preserve">┌─────────────────────────── </w:t>
            </w:r>
            <w:r>
              <w:rPr>
                <w:rFonts w:eastAsia="Consolas" w:cs="Consolas" w:ascii="Consolas" w:hAnsi="Consolas"/>
                <w:color w:val="A9DFBF"/>
                <w:sz w:val="15"/>
                <w:szCs w:val="15"/>
              </w:rPr>
              <w:t>Docker Compose ───────────────────────────┐</w:t>
            </w:r>
          </w:p>
          <w:p>
            <w:pPr>
              <w:pStyle w:val="Normal"/>
              <w:spacing w:lineRule="exact" w:line="240" w:before="0" w:after="0"/>
              <w:rPr/>
            </w:pPr>
            <w:r>
              <w:rPr>
                <w:rFonts w:eastAsia="Consolas" w:cs="Consolas" w:ascii="Consolas" w:hAnsi="Consolas"/>
                <w:color w:val="A9DFBF"/>
                <w:sz w:val="15"/>
                <w:szCs w:val="15"/>
              </w:rPr>
              <w:t>│                                                                        │</w:t>
            </w:r>
          </w:p>
          <w:p>
            <w:pPr>
              <w:pStyle w:val="Normal"/>
              <w:spacing w:lineRule="exact" w:line="240" w:before="0" w:after="0"/>
              <w:rPr/>
            </w:pPr>
            <w:r>
              <w:rPr>
                <w:rFonts w:eastAsia="Consolas" w:cs="Consolas" w:ascii="Consolas" w:hAnsi="Consolas"/>
                <w:color w:val="A9DFBF"/>
                <w:sz w:val="15"/>
                <w:szCs w:val="15"/>
              </w:rPr>
              <w:t>│   ┌──────────┐      ┌──────────────┐      ┌───────────┐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frontend │◄────►│     api      │◄────►│   redis   │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(Vite)   │ CORS │  (FastAPI)   │      │           │              │</w:t>
            </w:r>
          </w:p>
          <w:p>
            <w:pPr>
              <w:pStyle w:val="Normal"/>
              <w:spacing w:lineRule="exact" w:line="240" w:before="0" w:after="0"/>
              <w:rPr/>
            </w:pPr>
            <w:r>
              <w:rPr>
                <w:rFonts w:eastAsia="Consolas" w:cs="Consolas" w:ascii="Consolas" w:hAnsi="Consolas"/>
                <w:color w:val="A9DFBF"/>
                <w:sz w:val="15"/>
                <w:szCs w:val="15"/>
              </w:rPr>
              <w:t>│   └──────────┘      └──────┬───────┘      └───────────┘              │</w:t>
            </w:r>
          </w:p>
          <w:p>
            <w:pPr>
              <w:pStyle w:val="Normal"/>
              <w:spacing w:lineRule="exact" w:line="240" w:before="0" w:after="0"/>
              <w:rPr/>
            </w:pPr>
            <w:r>
              <w:rPr>
                <w:rFonts w:eastAsia="Consolas" w:cs="Consolas" w:ascii="Consolas" w:hAnsi="Consolas"/>
                <w:color w:val="A9DFBF"/>
                <w:sz w:val="15"/>
                <w:szCs w:val="15"/>
              </w:rPr>
              <w:t>│                             │                                        │</w:t>
            </w:r>
          </w:p>
          <w:p>
            <w:pPr>
              <w:pStyle w:val="Normal"/>
              <w:spacing w:lineRule="exact" w:line="240" w:before="0" w:after="0"/>
              <w:rPr/>
            </w:pPr>
            <w:r>
              <w:rPr>
                <w:rFonts w:eastAsia="Consolas" w:cs="Consolas" w:ascii="Consolas" w:hAnsi="Consolas"/>
                <w:color w:val="A9DFBF"/>
                <w:sz w:val="15"/>
                <w:szCs w:val="15"/>
              </w:rPr>
              <w:t>│                      ┌──────┴───────┐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ml_core    │  (entrenamiento offline)       │</w:t>
            </w:r>
          </w:p>
          <w:p>
            <w:pPr>
              <w:pStyle w:val="Normal"/>
              <w:spacing w:lineRule="exact" w:line="240" w:before="0" w:after="0"/>
              <w:rPr/>
            </w:pPr>
            <w:r>
              <w:rPr>
                <w:rFonts w:eastAsia="Consolas" w:cs="Consolas" w:ascii="Consolas" w:hAnsi="Consolas"/>
                <w:color w:val="A9DFBF"/>
                <w:sz w:val="15"/>
                <w:szCs w:val="15"/>
              </w:rPr>
              <w:t>│                      └──────────────┘                                │</w:t>
            </w:r>
          </w:p>
          <w:p>
            <w:pPr>
              <w:pStyle w:val="Normal"/>
              <w:spacing w:lineRule="exact" w:line="240" w:before="0" w:after="0"/>
              <w:rPr/>
            </w:pPr>
            <w:r>
              <w:rPr>
                <w:rFonts w:eastAsia="Consolas" w:cs="Consolas" w:ascii="Consolas" w:hAnsi="Consolas"/>
                <w:color w:val="A9DFBF"/>
                <w:sz w:val="15"/>
                <w:szCs w:val="15"/>
              </w:rPr>
              <w:t>└────────────────────────────┼──────────────────────────────────────┘</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HTTP saliente (WAN)</w:t>
            </w:r>
          </w:p>
          <w:p>
            <w:pPr>
              <w:pStyle w:val="Normal"/>
              <w:spacing w:lineRule="exact" w:line="240" w:before="0" w:after="0"/>
              <w:rPr/>
            </w:pPr>
            <w:r>
              <w:rPr>
                <w:rFonts w:eastAsia="Consolas" w:cs="Consolas" w:ascii="Consolas" w:hAnsi="Consolas"/>
                <w:color w:val="A9DFBF"/>
                <w:sz w:val="15"/>
                <w:szCs w:val="15"/>
              </w:rPr>
              <w:t xml:space="preserve">                              ▼</w:t>
            </w:r>
          </w:p>
          <w:p>
            <w:pPr>
              <w:pStyle w:val="Normal"/>
              <w:spacing w:lineRule="exact" w:line="240" w:before="0" w:after="0"/>
              <w:rPr/>
            </w:pPr>
            <w:r>
              <w:rPr>
                <w:rFonts w:eastAsia="Consolas" w:cs="Consolas" w:ascii="Consolas" w:hAnsi="Consolas"/>
                <w:color w:val="A9DFBF"/>
                <w:sz w:val="15"/>
                <w:szCs w:val="15"/>
              </w:rPr>
              <w:t xml:space="preserve">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Postgres / Supabase │  (servicio gestionado externo)</w:t>
            </w:r>
          </w:p>
          <w:p>
            <w:pPr>
              <w:pStyle w:val="Normal"/>
              <w:spacing w:lineRule="exact" w:line="240" w:before="0" w:after="0"/>
              <w:rPr/>
            </w:pPr>
            <w:r>
              <w:rPr>
                <w:rFonts w:eastAsia="Consolas" w:cs="Consolas" w:ascii="Consolas" w:hAnsi="Consolas"/>
                <w:color w:val="A9DFBF"/>
                <w:sz w:val="15"/>
                <w:szCs w:val="15"/>
              </w:rPr>
              <w:t xml:space="preserve">                   └────────────────────┘</w:t>
            </w:r>
          </w:p>
          <w:p>
            <w:pPr>
              <w:pStyle w:val="Normal"/>
              <w:spacing w:lineRule="exact" w:line="240" w:before="0" w:after="0"/>
              <w:rPr/>
            </w:pPr>
            <w:r>
              <w:rPr>
                <w:rFonts w:eastAsia="Consolas" w:cs="Consolas" w:ascii="Consolas" w:hAnsi="Consolas"/>
                <w:color w:val="A9DFBF"/>
                <w:sz w:val="15"/>
                <w:szCs w:val="15"/>
              </w:rPr>
              <w:t xml:space="preserve">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HTTP (POST /eventos)</w:t>
            </w:r>
          </w:p>
          <w:p>
            <w:pPr>
              <w:pStyle w:val="Normal"/>
              <w:spacing w:lineRule="exact" w:line="240" w:before="0" w:after="0"/>
              <w:rPr/>
            </w:pPr>
            <w:r>
              <w:rPr>
                <w:rFonts w:eastAsia="Consolas" w:cs="Consolas" w:ascii="Consolas" w:hAnsi="Consolas"/>
                <w:color w:val="A9DFBF"/>
                <w:sz w:val="15"/>
                <w:szCs w:val="15"/>
              </w:rPr>
              <w:t xml:space="preserve">                   ┌──────────┴──────────┐</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agent/ (host)      │  ← FUERA de Docker, por diseño</w:t>
            </w:r>
          </w:p>
          <w:p>
            <w:pPr>
              <w:pStyle w:val="Normal"/>
              <w:spacing w:lineRule="exact" w:line="240" w:before="0" w:after="0"/>
              <w:rPr/>
            </w:pPr>
            <w:r>
              <w:rPr>
                <w:rFonts w:eastAsia="Consolas" w:cs="Consolas" w:ascii="Consolas" w:hAnsi="Consolas"/>
                <w:color w:val="A9DFBF"/>
                <w:sz w:val="15"/>
                <w:szCs w:val="15"/>
              </w:rPr>
              <w:t xml:space="preserve">                   │   </w:t>
            </w:r>
            <w:r>
              <w:rPr>
                <w:rFonts w:eastAsia="Consolas" w:cs="Consolas" w:ascii="Consolas" w:hAnsi="Consolas"/>
                <w:color w:val="A9DFBF"/>
                <w:sz w:val="15"/>
                <w:szCs w:val="15"/>
              </w:rPr>
              <w:t>Windows endpoint   │</w:t>
            </w:r>
          </w:p>
          <w:p>
            <w:pPr>
              <w:pStyle w:val="Normal"/>
              <w:spacing w:lineRule="exact" w:line="240" w:before="0" w:after="0"/>
              <w:rPr/>
            </w:pPr>
            <w:r>
              <w:rPr>
                <w:rFonts w:eastAsia="Consolas" w:cs="Consolas" w:ascii="Consolas" w:hAnsi="Consolas"/>
                <w:color w:val="A9DFBF"/>
                <w:sz w:val="15"/>
                <w:szCs w:val="15"/>
              </w:rPr>
              <w:t xml:space="preserve">                   └──────────────────────┘</w:t>
            </w:r>
          </w:p>
        </w:tc>
      </w:tr>
    </w:tbl>
    <w:p>
      <w:pPr>
        <w:pStyle w:val="BodyText"/>
        <w:spacing w:before="100" w:after="300"/>
        <w:jc w:val="left"/>
        <w:rPr>
          <w:rFonts w:ascii="Calibri" w:hAnsi="Calibri" w:eastAsia="Calibri" w:cs="Calibri"/>
          <w:i/>
          <w:i/>
          <w:iCs/>
          <w:color w:val="595959"/>
          <w:sz w:val="18"/>
          <w:szCs w:val="18"/>
        </w:rPr>
      </w:pPr>
      <w:r>
        <w:rPr/>
      </w:r>
    </w:p>
    <w:p>
      <w:pPr>
        <w:pStyle w:val="BodyText"/>
        <w:spacing w:before="100" w:after="300"/>
        <w:jc w:val="left"/>
        <w:rPr>
          <w:rFonts w:ascii="Calibri" w:hAnsi="Calibri" w:eastAsia="Calibri" w:cs="Calibri"/>
          <w:i/>
          <w:i/>
          <w:iCs/>
          <w:color w:val="595959"/>
          <w:sz w:val="18"/>
          <w:szCs w:val="18"/>
        </w:rPr>
      </w:pPr>
      <w:r>
        <w:rPr/>
      </w:r>
    </w:p>
    <w:p>
      <w:pPr>
        <w:pStyle w:val="BodyText"/>
        <w:spacing w:before="100" w:after="300"/>
        <w:jc w:val="left"/>
        <w:rPr>
          <w:rFonts w:ascii="Calibri" w:hAnsi="Calibri" w:eastAsia="Calibri" w:cs="Calibri"/>
          <w:i/>
          <w:i/>
          <w:iCs/>
          <w:color w:val="595959"/>
          <w:sz w:val="18"/>
          <w:szCs w:val="18"/>
        </w:rPr>
      </w:pPr>
      <w:r>
        <w:rPr/>
      </w:r>
    </w:p>
    <w:p>
      <w:pPr>
        <w:pStyle w:val="BodyText"/>
        <w:rPr/>
      </w:pPr>
      <w:r>
        <w:rPr/>
        <w:t>Dentro de Docker Compose, el frontend se comunica con la API mediante HTTP, con CORS configurado para permitir las solicitudes desde el origen correspondiente. La API, a su vez, se comunica con Redis para mantener información de estado y con los componentes relacionados con el procesamiento y entrenamiento del modelo.</w:t>
      </w:r>
    </w:p>
    <w:p>
      <w:pPr>
        <w:pStyle w:val="BodyText"/>
        <w:rPr/>
      </w:pPr>
      <w:r>
        <w:rPr/>
        <w:t>La API también se comunica con PostgreSQL/Supabase, que funciona como almacenamiento persistente del historial. Esta comunicación se realiza mediante la red externa, ya que se trata de un servicio gestionado que no forma parte de la infraestructura local del proyecto.</w:t>
      </w:r>
    </w:p>
    <w:p>
      <w:pPr>
        <w:pStyle w:val="BodyText"/>
        <w:rPr/>
      </w:pPr>
      <w:r>
        <w:rPr/>
        <w:t>Por último, el agente PEP se comunica con la API mediante HTTP, enviando principalmente los eventos generados en el endpoint. Al ejecutarse directamente sobre Windows, el agente puede recibir las decisiones correspondientes y aplicar las medidas de mitigación sobre el equipo donde está instalado.</w:t>
      </w:r>
    </w:p>
    <w:p>
      <w:pPr>
        <w:pStyle w:val="Heading2"/>
        <w:spacing w:before="320" w:after="160"/>
        <w:rPr/>
      </w:pPr>
      <w:r>
        <w:rPr>
          <w:b/>
          <w:bCs/>
          <w:color w:val="2E5FA3"/>
          <w:sz w:val="24"/>
          <w:szCs w:val="24"/>
        </w:rPr>
        <w:t>3.2 Justificación de cada decisión de red</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API + Redis + Frontend + ml_core en Docker Compose, sobre un mismo host/red virtual: </w:t>
      </w:r>
      <w:r>
        <w:rPr>
          <w:rFonts w:eastAsia="Calibri" w:cs="Calibri"/>
          <w:b w:val="false"/>
          <w:bCs w:val="false"/>
          <w:i w:val="false"/>
          <w:iCs w:val="false"/>
          <w:color w:val="000000"/>
          <w:sz w:val="21"/>
          <w:szCs w:val="21"/>
        </w:rPr>
        <w:t xml:space="preserve">estos componentes no dependen directamente del sistema operativo del usuario final, por lo que se decidió ejecutarlos mediante contenedores. Esto permite mantener un entorno reproducible, con las mismas versiones de las librerías y dependencias en las distintas máquinas donde se ejecute el proyecto. Además, Docker Compose facilita el inicio coordinado de los servicios mediante un único comando. </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El agente queda deliberadamente fuera de Docker, corriendo nativo en el host Windows: </w:t>
      </w:r>
      <w:r>
        <w:rPr>
          <w:rFonts w:eastAsia="Calibri" w:cs="Calibri"/>
          <w:b w:val="false"/>
          <w:bCs w:val="false"/>
          <w:i w:val="false"/>
          <w:iCs w:val="false"/>
          <w:color w:val="000000"/>
          <w:sz w:val="21"/>
          <w:szCs w:val="21"/>
        </w:rPr>
        <w:t>a diferencia del resto de los componentes, el agente se ejecuta de forma nativa en el sistema operativo del usuario. Esta decisión es especialmente importante porque el agente cumple el rol de Policy Enforcement Point (PEP) y necesita interactuar directamente con recursos reales del endpoint. Entre otras tareas, puede finalizar procesos y modificar permisos mediante icacls. Si el agente estuviera dentro de un contenedor, quedaría aislado del sistema de archivos y de los procesos del host, lo que limitaría justamente las capacidades que necesita para funcionar como PEP. Por este motivo, mantenerlo fuera de Docker no es una omisión, sino una decisión de diseño necesaria para este componente.</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Postgres/Supabase como servicio externo gestionado, fuera del docker-compose.yml del proyecto: </w:t>
      </w:r>
      <w:r>
        <w:rPr>
          <w:rFonts w:eastAsia="Calibri" w:cs="Calibri"/>
          <w:b w:val="false"/>
          <w:bCs w:val="false"/>
          <w:i w:val="false"/>
          <w:iCs w:val="false"/>
          <w:color w:val="000000"/>
          <w:sz w:val="21"/>
          <w:szCs w:val="21"/>
        </w:rPr>
        <w:t>fuera del docker-compose.yml y se utiliza como un servicio gestionado. De esta manera, la persistencia de los datos queda separada de la infraestructura utilizada para el desarrollo y las demostraciones. Esta decisión también es coherente con el enfoque del proyecto como un sistema distribuido y permite evitar la necesidad de administrar una instancia de base de datos local durante el desarrollo. La misma lógica se aplica a Redis mediante Upstash, utilizando servicios gestionados para reducir la infraestructura que debe mantenerse manualmente.</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CORS explícito (SCORING_CORS_ORIGINS, por defecto http://localhost:5173): </w:t>
      </w:r>
      <w:r>
        <w:rPr>
          <w:rFonts w:eastAsia="Calibri" w:cs="Calibri"/>
          <w:b w:val="false"/>
          <w:bCs w:val="false"/>
          <w:i w:val="false"/>
          <w:iCs w:val="false"/>
          <w:color w:val="000000"/>
          <w:sz w:val="21"/>
          <w:szCs w:val="21"/>
        </w:rPr>
        <w:t>durante el desarrollo, el frontend se ejecuta en el puerto 5173, mientras que la API utiliza el puerto 8001. Al tratarse de dos orígenes diferentes, es necesario configurar CORS para permitir la comunicación entre ambos. Esta separación responde al funcionamiento habitual de una aplicación web donde el frontend y la API REST son servicios independientes. Además, permite que ambos componentes puedan desplegarse o modificarse de manera independiente.</w:t>
      </w:r>
    </w:p>
    <w:p>
      <w:pPr>
        <w:pStyle w:val="ListParagraph"/>
        <w:numPr>
          <w:ilvl w:val="0"/>
          <w:numId w:val="1"/>
        </w:numPr>
        <w:spacing w:lineRule="exact" w:line="276" w:before="0" w:after="120"/>
        <w:jc w:val="both"/>
        <w:rPr/>
      </w:pPr>
      <w:r>
        <w:rPr>
          <w:rFonts w:eastAsia="Calibri" w:cs="Calibri"/>
          <w:b/>
          <w:bCs/>
          <w:i w:val="false"/>
          <w:iCs w:val="false"/>
          <w:color w:val="000000"/>
          <w:sz w:val="21"/>
          <w:szCs w:val="21"/>
        </w:rPr>
        <w:t xml:space="preserve">Tres consumidores de red distintos hacia un mismo PDP central (agente, frontend, scripts), cada uno con su propio nivel de acceso: </w:t>
      </w:r>
      <w:r>
        <w:rPr>
          <w:rFonts w:eastAsia="Calibri" w:cs="Calibri"/>
          <w:b w:val="false"/>
          <w:bCs w:val="false"/>
          <w:i w:val="false"/>
          <w:iCs w:val="false"/>
          <w:color w:val="000000"/>
          <w:sz w:val="21"/>
          <w:szCs w:val="21"/>
        </w:rPr>
        <w:t>el agente, el frontend y los scripts utilizan la API como punto central para acceder a las funcionalidades del sistema, aunque cada uno tiene permisos diferentes. El agente utiliza el nivel admin para enviar eventos y realizar las operaciones que necesita para aplicar las políticas. El frontend utiliza el nivel dashboard, principalmente para consultar información y realizar algunas modificaciones de configuración específicas. Los scripts pueden utilizar distintos modos según su objetivo: por ejemplo, simulator.py realiza comunicaciones HTTP reales, mientras que run_regression_test.py y ensayo_demo_pep.py pueden utilizar importaciones directas dentro del proceso para realizar pruebas de forma más rápida, evitando el costo adicional de la comunicación por red.</w:t>
      </w:r>
    </w:p>
    <w:p>
      <w:pPr>
        <w:pStyle w:val="Heading1"/>
        <w:pBdr>
          <w:bottom w:val="single" w:sz="8" w:space="4" w:color="2E5FA3"/>
        </w:pBdr>
        <w:spacing w:before="400" w:after="200"/>
        <w:rPr/>
      </w:pPr>
      <w:r>
        <w:rPr>
          <w:b/>
          <w:bCs/>
          <w:color w:val="1F3864"/>
          <w:sz w:val="30"/>
          <w:szCs w:val="30"/>
        </w:rPr>
        <w:t>4. Protocolos de comunicación</w:t>
      </w:r>
    </w:p>
    <w:p>
      <w:pPr>
        <w:pStyle w:val="Normal"/>
        <w:spacing w:lineRule="exact" w:line="276" w:before="0" w:after="160"/>
        <w:jc w:val="both"/>
        <w:rPr/>
      </w:pPr>
      <w:r>
        <w:rPr>
          <w:rFonts w:eastAsia="Calibri" w:cs="Calibri"/>
          <w:sz w:val="21"/>
          <w:szCs w:val="21"/>
        </w:rPr>
        <w:t>Cada enlace de comunicación entre componentes utiliza el protocolo o mecanismo más adecuado a la naturaleza de ese enlace: discreto o continuo, transaccional o de alta frecuencia, interno o hacia un servicio externo.</w:t>
      </w:r>
    </w:p>
    <w:tbl>
      <w:tblPr>
        <w:tblW w:w="9300" w:type="dxa"/>
        <w:jc w:val="left"/>
        <w:tblInd w:w="0" w:type="dxa"/>
        <w:tblLayout w:type="fixed"/>
        <w:tblCellMar>
          <w:top w:w="100" w:type="dxa"/>
          <w:left w:w="120" w:type="dxa"/>
          <w:bottom w:w="100" w:type="dxa"/>
          <w:right w:w="120" w:type="dxa"/>
        </w:tblCellMar>
      </w:tblPr>
      <w:tblGrid>
        <w:gridCol w:w="2200"/>
        <w:gridCol w:w="1900"/>
        <w:gridCol w:w="52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Protocolo / mecanismo</w:t>
            </w:r>
          </w:p>
        </w:tc>
        <w:tc>
          <w:tcPr>
            <w:tcW w:w="19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Dónde se usa</w:t>
            </w:r>
          </w:p>
        </w:tc>
        <w:tc>
          <w:tcPr>
            <w:tcW w:w="5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rPr/>
            </w:pPr>
            <w:r>
              <w:rPr>
                <w:rFonts w:eastAsia="Calibri" w:cs="Calibri"/>
                <w:b/>
                <w:bCs/>
                <w:color w:val="FFFFFF"/>
                <w:sz w:val="19"/>
                <w:szCs w:val="19"/>
              </w:rPr>
              <w:t>Justificación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HTTP/REST + JSON</w:t>
            </w:r>
          </w:p>
        </w:tc>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Agente → API, Frontend → API</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Protocolo estándar, debuggable con herramientas comunes (curl, Postman), con contratos de request/response bien definidos vía Pydantic en el backend y zod en el frontend. El sistema trabaja con eventos discretos (un evento equivale a una request), no con streams continuos, por lo que REST sobre HTTP es el ajuste natural, sin necesidad de protocolos con estado persistente de conexión.</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X-API-Key en dos tiers (dashboard / admin)</w:t>
            </w:r>
          </w:p>
        </w:tc>
        <w:tc>
          <w:tcPr>
            <w:tcW w:w="19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Autenticación de todas las escrituras</w:t>
            </w:r>
          </w:p>
        </w:tc>
        <w:tc>
          <w:tcPr>
            <w:tcW w:w="5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La utilización de una API Key no fue una decisión tomada de manera arbitraria. Durante el desarrollo se evaluó una alternativa basada en autenticación mediante login y sesión/token, que implicaba incorporar un endpoint de autenticación y proteger los endpoints de configuración.</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Esta alternativa llegó a implementarse y probarse, pero posteriormente se decidió revertirla debido a l</w:t>
            </w:r>
            <w:r>
              <w:rPr>
                <w:rFonts w:eastAsia="Calibri" w:cs="Calibri"/>
                <w:b w:val="false"/>
                <w:bCs w:val="false"/>
                <w:i w:val="false"/>
                <w:iCs w:val="false"/>
                <w:color w:val="000000"/>
                <w:sz w:val="19"/>
                <w:szCs w:val="19"/>
              </w:rPr>
              <w:t>os problemas que se</w:t>
            </w:r>
            <w:r>
              <w:rPr>
                <w:rFonts w:eastAsia="Calibri" w:cs="Calibri"/>
                <w:b w:val="false"/>
                <w:bCs w:val="false"/>
                <w:i w:val="false"/>
                <w:iCs w:val="false"/>
                <w:color w:val="000000"/>
                <w:sz w:val="19"/>
                <w:szCs w:val="19"/>
              </w:rPr>
              <w:t xml:space="preserve"> que generaba en el entorno de desarrollo, sin que existieran problemas con la lógica de funcionamiento. Para el alcance actual del proyecto, orientado a una prueba de concepto, se priorizó mantener una solución más simple y práctica mediante API Key.</w:t>
            </w:r>
          </w:p>
          <w:p>
            <w:pPr>
              <w:pStyle w:val="Normal"/>
              <w:spacing w:lineRule="exact" w:line="264" w:before="0" w:after="0"/>
              <w:jc w:val="left"/>
              <w:rPr>
                <w:rFonts w:ascii="Calibri" w:hAnsi="Calibri" w:eastAsia="Calibri" w:cs="Calibri"/>
                <w:b w:val="false"/>
                <w:bCs w:val="false"/>
                <w:i w:val="false"/>
                <w:i w:val="false"/>
                <w:iCs w:val="false"/>
                <w:color w:val="000000"/>
                <w:sz w:val="19"/>
                <w:szCs w:val="19"/>
              </w:rPr>
            </w:pPr>
            <w:r>
              <w:rPr/>
            </w:r>
          </w:p>
          <w:p>
            <w:pPr>
              <w:pStyle w:val="Normal"/>
              <w:spacing w:lineRule="exact" w:line="264" w:before="0" w:after="0"/>
              <w:jc w:val="left"/>
              <w:rPr/>
            </w:pPr>
            <w:r>
              <w:rPr>
                <w:rFonts w:eastAsia="Calibri" w:cs="Calibri"/>
                <w:b w:val="false"/>
                <w:bCs w:val="false"/>
                <w:i w:val="false"/>
                <w:iCs w:val="false"/>
                <w:color w:val="000000"/>
                <w:sz w:val="19"/>
                <w:szCs w:val="19"/>
              </w:rPr>
              <w:t>De todas formas, esta decisión es revisable. Para una futura puesta en producción, sería recomendable reemplazar este mecanismo por un sistema de autenticación más robusto, especialmente porque una API Key incluida en el bundle del frontend puede quedar expuesta al usuario final. Esta mejora podría ser abordada después del hito del 50%, siempre que los tiempos y el alcance del proyecto lo permitan.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Polling HTTP periódico (7 s) vía TanStack Query</w:t>
            </w:r>
          </w:p>
        </w:tc>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Frontend → API</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 xml:space="preserve">El score se recalcula por evento entrante y no existe un caso de uso que necesite empuje instantáneo al dashboard (a diferencia, por ejemplo, de un chat). WebSockets habría agregado manejo de conexión persistente, reconexión y estado de socket sin un beneficio proporcional al alcance de un dashboard de administración que se refresca cada pocos segundos. </w:t>
            </w:r>
            <w:r>
              <w:rPr>
                <w:rFonts w:eastAsia="Calibri" w:cs="Calibri"/>
                <w:b w:val="false"/>
                <w:bCs w:val="false"/>
                <w:i w:val="false"/>
                <w:iCs w:val="false"/>
                <w:color w:val="000000"/>
                <w:sz w:val="19"/>
                <w:szCs w:val="19"/>
              </w:rPr>
              <w:t>Se eligio esto</w:t>
            </w:r>
            <w:r>
              <w:rPr>
                <w:rFonts w:eastAsia="Calibri" w:cs="Calibri"/>
                <w:b w:val="false"/>
                <w:bCs w:val="false"/>
                <w:i w:val="false"/>
                <w:iCs w:val="false"/>
                <w:color w:val="000000"/>
                <w:sz w:val="19"/>
                <w:szCs w:val="19"/>
              </w:rPr>
              <w:t xml:space="preserve"> </w:t>
            </w:r>
            <w:r>
              <w:rPr>
                <w:rFonts w:eastAsia="Calibri" w:cs="Calibri"/>
                <w:b w:val="false"/>
                <w:bCs w:val="false"/>
                <w:i w:val="false"/>
                <w:iCs w:val="false"/>
                <w:color w:val="000000"/>
                <w:sz w:val="19"/>
                <w:szCs w:val="19"/>
              </w:rPr>
              <w:t xml:space="preserve">debido a su </w:t>
            </w:r>
            <w:r>
              <w:rPr>
                <w:rFonts w:eastAsia="Calibri" w:cs="Calibri"/>
                <w:b w:val="false"/>
                <w:bCs w:val="false"/>
                <w:i w:val="false"/>
                <w:iCs w:val="false"/>
                <w:color w:val="000000"/>
                <w:sz w:val="19"/>
                <w:szCs w:val="19"/>
              </w:rPr>
              <w:t xml:space="preserve">simplicidad razonable para el alcance actual </w:t>
            </w:r>
            <w:r>
              <w:rPr>
                <w:rFonts w:eastAsia="Calibri" w:cs="Calibri"/>
                <w:b w:val="false"/>
                <w:bCs w:val="false"/>
                <w:i w:val="false"/>
                <w:iCs w:val="false"/>
                <w:color w:val="000000"/>
                <w:sz w:val="19"/>
                <w:szCs w:val="19"/>
              </w:rPr>
              <w:t>del proyecto.</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RESP (Redis Serialization Protocol) vía redis-py, con WATCH/MULTI/EXEC</w:t>
            </w:r>
          </w:p>
        </w:tc>
        <w:tc>
          <w:tcPr>
            <w:tcW w:w="19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API ↔ Redis</w:t>
            </w:r>
          </w:p>
        </w:tc>
        <w:tc>
          <w:tcPr>
            <w:tcW w:w="5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Necesario para las actualizaciones atómicas y optimistas del estado por usuario bajo escritura concurrente (update_state() reintenta hasta 5 veces ante colisión), evitando condiciones de carrera cuando llegan eventos del mismo usuario en rápida sucesión.</w:t>
            </w:r>
          </w:p>
        </w:tc>
      </w:tr>
      <w:tr>
        <w:trPr/>
        <w:tc>
          <w:tcPr>
            <w:tcW w:w="2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bCs/>
                <w:i w:val="false"/>
                <w:iCs w:val="false"/>
                <w:color w:val="000000"/>
                <w:sz w:val="19"/>
                <w:szCs w:val="19"/>
              </w:rPr>
              <w:t>Protocolo wire de PostgreSQL vía psycopg2 + SQLAlchemy</w:t>
            </w:r>
          </w:p>
        </w:tc>
        <w:tc>
          <w:tcPr>
            <w:tcW w:w="19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API → Postgres/Supabase</w:t>
            </w:r>
          </w:p>
        </w:tc>
        <w:tc>
          <w:tcPr>
            <w:tcW w:w="520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Estándar y maduro, con pool de conexiones dimensionado al patrón de escritura real (una por día cerrado, no por evento). Los parámetros connect_timeout=3 y pool_pre_ping=True evitan que una caída de Postgres bloquee indefinidamente el hot path de scoring.</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bCs/>
                <w:i w:val="false"/>
                <w:iCs w:val="false"/>
                <w:color w:val="000000"/>
                <w:sz w:val="19"/>
                <w:szCs w:val="19"/>
              </w:rPr>
              <w:t>Ausencia declarada de TLS mutuo y de firma de respuestas del PDP</w:t>
            </w:r>
          </w:p>
        </w:tc>
        <w:tc>
          <w:tcPr>
            <w:tcW w:w="19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Agente ↔ API</w:t>
            </w:r>
          </w:p>
        </w:tc>
        <w:tc>
          <w:tcPr>
            <w:tcW w:w="5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264" w:before="0" w:after="0"/>
              <w:jc w:val="left"/>
              <w:rPr/>
            </w:pPr>
            <w:r>
              <w:rPr>
                <w:rFonts w:eastAsia="Calibri" w:cs="Calibri"/>
                <w:b w:val="false"/>
                <w:bCs w:val="false"/>
                <w:i w:val="false"/>
                <w:iCs w:val="false"/>
                <w:color w:val="000000"/>
                <w:sz w:val="19"/>
                <w:szCs w:val="19"/>
              </w:rPr>
              <w:t>Actualmente, la falta de autenticación mutua entre el agente y el PDP se considera una limitación propia del alcance de esta etapa del proyecto y se encuentra documentada. Para una futura puesta en producción, sería recomendable resolver este punto mediante algún mecanismo de autenticación entre ambos componentes, de forma que puedan verificar su identidad antes de intercambiar información o recibir instrucciones.</w:t>
              <w:br/>
              <w:br/>
              <w:t>Esta mejora queda planteada para ser trabajada después del hito del 50%, siempre que los tiempos y el alcance restante del proyecto lo permitan.</w:t>
            </w:r>
          </w:p>
        </w:tc>
      </w:tr>
    </w:tbl>
    <w:p>
      <w:pPr>
        <w:pStyle w:val="Heading1"/>
        <w:pBdr>
          <w:bottom w:val="single" w:sz="8" w:space="4" w:color="2E5FA3"/>
        </w:pBdr>
        <w:spacing w:before="0" w:after="200"/>
        <w:rPr>
          <w:b/>
          <w:bCs/>
          <w:color w:val="1F3864"/>
          <w:sz w:val="30"/>
          <w:szCs w:val="3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Página </w:t>
    </w:r>
    <w:r>
      <w:rPr/>
      <w:fldChar w:fldCharType="begin"/>
    </w:r>
    <w:r>
      <w:rPr/>
      <w:instrText xml:space="preserve"> PAGE </w:instrText>
    </w:r>
    <w:r>
      <w:rPr/>
      <w:fldChar w:fldCharType="separate"/>
    </w:r>
    <w:r>
      <w:rPr/>
      <w:t>8</w:t>
    </w:r>
    <w:r>
      <w:rPr/>
      <w:fldChar w:fldCharType="end"/>
    </w:r>
    <w:r>
      <w:rPr>
        <w:rFonts w:eastAsia="Calibri" w:cs="Calibri"/>
        <w:color w:val="595959"/>
        <w:sz w:val="16"/>
        <w:szCs w:val="16"/>
      </w:rPr>
      <w:t xml:space="preserve"> de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Página </w:t>
    </w:r>
    <w:r>
      <w:rPr/>
      <w:fldChar w:fldCharType="begin"/>
    </w:r>
    <w:r>
      <w:rPr/>
      <w:instrText xml:space="preserve"> PAGE </w:instrText>
    </w:r>
    <w:r>
      <w:rPr/>
      <w:fldChar w:fldCharType="separate"/>
    </w:r>
    <w:r>
      <w:rPr/>
      <w:t>8</w:t>
    </w:r>
    <w:r>
      <w:rPr/>
      <w:fldChar w:fldCharType="end"/>
    </w:r>
    <w:r>
      <w:rPr>
        <w:rFonts w:eastAsia="Calibri" w:cs="Calibri"/>
        <w:color w:val="595959"/>
        <w:sz w:val="16"/>
        <w:szCs w:val="16"/>
      </w:rPr>
      <w:t xml:space="preserve"> de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Calibri" w:cs="Calibri"/>
        <w:i/>
        <w:iCs/>
        <w:color w:val="595959"/>
        <w:sz w:val="16"/>
        <w:szCs w:val="16"/>
      </w:rPr>
      <w:t>Sistema UEBA Zero Trust — Tecnologías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Calibri" w:cs="Calibri"/>
        <w:i/>
        <w:iCs/>
        <w:color w:val="595959"/>
        <w:sz w:val="16"/>
        <w:szCs w:val="16"/>
      </w:rPr>
      <w:t>Sistema UEBA Zero Trust — Tecnologías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s-A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s-AR" w:eastAsia="zh-CN" w:bidi="hi-IN"/>
    </w:rPr>
  </w:style>
  <w:style w:type="paragraph" w:styleId="Heading1">
    <w:name w:val="heading 1"/>
    <w:basedOn w:val="Ttulo"/>
    <w:qFormat/>
    <w:pPr/>
    <w:rPr/>
  </w:style>
  <w:style w:type="paragraph" w:styleId="Heading2">
    <w:name w:val="heading 2"/>
    <w:basedOn w:val="Ttulo"/>
    <w:qFormat/>
    <w:pPr/>
    <w:rPr/>
  </w:style>
  <w:style w:type="paragraph" w:styleId="Heading3">
    <w:name w:val="heading 3"/>
    <w:basedOn w:val="Ttulo"/>
    <w:qFormat/>
    <w:pPr/>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InternetLink">
    <w:name w:val="Internet Link"/>
    <w:uiPriority w:val="99"/>
    <w:unhideWhenUsed/>
    <w:qFormat/>
    <w:rPr>
      <w:color w:val="0563C1"/>
      <w:u w:val="single"/>
    </w:rPr>
  </w:style>
  <w:style w:type="character" w:styleId="FootnoteReference">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EndnoteReference">
    <w:name w:val="endnote reference"/>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uiPriority w:val="99"/>
    <w:semiHidden/>
    <w:unhideWhenUsed/>
    <w:qFormat/>
    <w:rPr>
      <w:sz w:val="20"/>
      <w:szCs w:val="20"/>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1"/>
      <w:szCs w:val="21"/>
      <w:lang w:val="es-A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LibreOffice/24.8.0.3$Windows_X86_64 LibreOffice_project/0bdf1299c94fe897b119f97f3c613e9dca6be583</Application>
  <AppVersion>15.0000</AppVersion>
  <Pages>8</Pages>
  <Words>3383</Words>
  <Characters>19550</Characters>
  <CharactersWithSpaces>23447</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2026-08-02T20:00:39Z</dcterms:created>
  <dc:creator>Proyecto Final Integrador</dc:creator>
  <dc:description/>
  <dc:language>es-AR</dc:language>
  <cp:lastModifiedBy/>
  <dcterms:modified xsi:type="dcterms:W3CDTF">2026-08-14T13:33:47Z</dcterms:modified>
  <cp:revision>2</cp:revision>
  <dc:subject/>
  <dc:title>Tecnologías — Stack Tecnológico del Sistema UEBA Zero Trust</dc:title>
</cp:coreProperties>
</file>