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rFonts w:ascii="Calibri" w:cs="Calibri" w:eastAsia="Calibri" w:hAnsi="Calibri"/>
          <w:b/>
          <w:bCs/>
          <w:color w:val="595959"/>
          <w:sz w:val="24"/>
          <w:szCs w:val="24"/>
        </w:rPr>
        <w:t xml:space="preserve">PROYECTO FINAL INTEGRADOR</w:t>
      </w:r>
    </w:p>
    <w:p>
      <w:pPr>
        <w:spacing w:after="300"/>
      </w:pPr>
    </w:p>
    <w:p>
      <w:pPr>
        <w:jc w:val="center"/>
      </w:pPr>
      <w:r>
        <w:rPr>
          <w:rFonts w:ascii="Calibri" w:cs="Calibri" w:eastAsia="Calibri" w:hAnsi="Calibri"/>
          <w:b/>
          <w:bCs/>
          <w:color w:val="1F3864"/>
          <w:sz w:val="56"/>
          <w:szCs w:val="56"/>
        </w:rPr>
        <w:t xml:space="preserve">Tabla Comparativa</w:t>
      </w:r>
    </w:p>
    <w:p>
      <w:pPr>
        <w:spacing w:after="300" w:before="120"/>
        <w:jc w:val="center"/>
      </w:pPr>
      <w:r>
        <w:rPr>
          <w:rFonts w:ascii="Calibri" w:cs="Calibri" w:eastAsia="Calibri" w:hAnsi="Calibri"/>
          <w:b/>
          <w:bCs/>
          <w:color w:val="2E5FA3"/>
          <w:sz w:val="32"/>
          <w:szCs w:val="32"/>
        </w:rPr>
        <w:t xml:space="preserve">Estado del Arte — Alternativas de Mercado y Académicas</w:t>
      </w:r>
    </w:p>
    <w:p>
      <w:pPr>
        <w:spacing w:after="60" w:before="100"/>
        <w:jc w:val="center"/>
      </w:pPr>
      <w:r>
        <w:rPr>
          <w:rFonts w:ascii="Calibri" w:cs="Calibri" w:eastAsia="Calibri" w:hAnsi="Calibri"/>
          <w:i/>
          <w:iCs/>
          <w:color w:val="595959"/>
          <w:sz w:val="24"/>
          <w:szCs w:val="24"/>
        </w:rPr>
        <w:t xml:space="preserve">Sistema UEBA Zero Trust — Cloud-Native UEBA Security System</w:t>
      </w:r>
    </w:p>
    <w:p>
      <w:pPr>
        <w:spacing w:before="700"/>
      </w:pP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3000"/>
        <w:gridCol w:w="12438"/>
      </w:tblGrid>
      <w:tr>
        <w:trPr>
          <w:tblHeader/>
        </w:trPr>
        <w:tc>
          <w:tcPr>
            <w:tcW w:type="dxa" w:w="30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Campo</w:t>
            </w:r>
          </w:p>
        </w:tc>
        <w:tc>
          <w:tcPr>
            <w:tcW w:type="dxa" w:w="12438"/>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Detalle</w:t>
            </w:r>
          </w:p>
        </w:tc>
      </w:tr>
      <w:tr>
        <w:tc>
          <w:tcPr>
            <w:tcW w:type="dxa" w:w="30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Documento</w:t>
            </w:r>
          </w:p>
        </w:tc>
        <w:tc>
          <w:tcPr>
            <w:tcW w:type="dxa" w:w="124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Análisis Comparativo — Alternativas de Mercado y Académicas</w:t>
            </w:r>
          </w:p>
        </w:tc>
      </w:tr>
      <w:tr>
        <w:tc>
          <w:tcPr>
            <w:tcW w:type="dxa" w:w="30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Criterio de la cátedra</w:t>
            </w:r>
          </w:p>
        </w:tc>
        <w:tc>
          <w:tcPr>
            <w:tcW w:type="dxa" w:w="124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Tabla Comparativa — Cumple vs. No Cumple</w:t>
            </w:r>
          </w:p>
        </w:tc>
      </w:tr>
      <w:tr>
        <w:tc>
          <w:tcPr>
            <w:tcW w:type="dxa" w:w="30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Alcance del criterio</w:t>
            </w:r>
          </w:p>
        </w:tc>
        <w:tc>
          <w:tcPr>
            <w:tcW w:type="dxa" w:w="124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Alternativas del proyecto planteado · Comparación de funcionalidades · Tecnologías utilizadas · Alcance y diferenciadores</w:t>
            </w:r>
          </w:p>
        </w:tc>
      </w:tr>
      <w:tr>
        <w:tc>
          <w:tcPr>
            <w:tcW w:type="dxa" w:w="30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Estado del proyecto</w:t>
            </w:r>
          </w:p>
        </w:tc>
        <w:tc>
          <w:tcPr>
            <w:tcW w:type="dxa" w:w="124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Hito 50% del Proyecto Final Integrador (PFI)</w:t>
            </w:r>
          </w:p>
        </w:tc>
      </w:tr>
      <w:tr>
        <w:tc>
          <w:tcPr>
            <w:tcW w:type="dxa" w:w="30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Fuente</w:t>
            </w:r>
          </w:p>
        </w:tc>
        <w:tc>
          <w:tcPr>
            <w:tcW w:type="dxa" w:w="124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Sección “Estado del Arte” de la Documentación PFI (soluciones comerciales §1, trabajos académicos §2, tecnologías alternativas §3, limitaciones §4, tendencias §5, conclusión §7)</w:t>
            </w:r>
          </w:p>
        </w:tc>
      </w:tr>
    </w:tbl>
    <w:p>
      <w:pPr>
        <w:spacing w:before="400"/>
      </w:pPr>
    </w:p>
    <w:tbl>
      <w:tblPr>
        <w:tblW w:type="pct" w:w="100%"/>
        <w:tblBorders>
          <w:top w:val="single" w:color="9C2A2A" w:sz="4"/>
          <w:left w:val="single" w:color="9C2A2A" w:sz="16"/>
          <w:bottom w:val="single" w:color="9C2A2A" w:sz="4"/>
          <w:right w:val="single" w:color="9C2A2A" w:sz="4"/>
          <w:insideH w:val="none" w:color="FFFFFF" w:sz="0"/>
          <w:insideV w:val="none" w:color="FFFFFF" w:sz="0"/>
        </w:tblBorders>
      </w:tblPr>
      <w:tblGrid>
        <w:gridCol w:w="100"/>
      </w:tblGrid>
      <w:tr>
        <w:tc>
          <w:tcPr>
            <w:shd w:fill="FCE4E4" w:val="clear"/>
            <w:tcMar>
              <w:top w:type="dxa" w:w="140"/>
              <w:left w:type="dxa" w:w="200"/>
              <w:bottom w:type="dxa" w:w="140"/>
              <w:right w:type="dxa" w:w="200"/>
            </w:tcMar>
          </w:tcPr>
          <w:p>
            <w:pPr>
              <w:spacing w:after="60"/>
            </w:pPr>
            <w:r>
              <w:rPr>
                <w:rFonts w:ascii="Calibri" w:cs="Calibri" w:eastAsia="Calibri" w:hAnsi="Calibri"/>
                <w:b/>
                <w:bCs/>
                <w:color w:val="9C2A2A"/>
                <w:sz w:val="18"/>
                <w:szCs w:val="18"/>
              </w:rPr>
              <w:t xml:space="preserve">NOTA DE MÉTODO</w:t>
            </w:r>
          </w:p>
          <w:p>
            <w:pPr>
              <w:spacing w:after="0" w:line="276"/>
              <w:jc w:val="both"/>
            </w:pPr>
            <w:r>
              <w:rPr>
                <w:rFonts w:ascii="Calibri" w:cs="Calibri" w:eastAsia="Calibri" w:hAnsi="Calibri"/>
                <w:i/>
                <w:iCs/>
                <w:color w:val="3A3A3A"/>
                <w:sz w:val="20"/>
                <w:szCs w:val="20"/>
              </w:rPr>
              <w:t xml:space="preserve">Todas las filas de las tres tablas de este documento están ancladas a contenido que ya figura en la sección Estado del Arte de la documentación del proyecto: no se agregó información sobre los competidores que el relevamiento original no haya reunido. Donde la fuente no se pronuncia sobre una capacidad puntual de un competidor, se marca N/D (no documentado en el relevamiento) en vez de asumir una respuesta — es más defendible que completar casilleros con información no verificada sobre productos de terceros.</w:t>
            </w:r>
          </w:p>
        </w:tc>
      </w:tr>
    </w:tbl>
    <w:p>
      <w:r>
        <w:br w:type="page"/>
      </w:r>
    </w:p>
    <w:p>
      <w:pPr>
        <w:pStyle w:val="Heading1"/>
        <w:pBdr>
          <w:bottom w:val="single" w:color="2E5FA3" w:sz="8" w:space="4"/>
        </w:pBdr>
        <w:spacing w:after="180" w:before="380"/>
      </w:pPr>
      <w:r>
        <w:rPr>
          <w:b/>
          <w:bCs/>
          <w:color w:val="1F3864"/>
          <w:sz w:val="30"/>
          <w:szCs w:val="30"/>
        </w:rPr>
        <w:t xml:space="preserve">Introducción</w:t>
      </w:r>
    </w:p>
    <w:p>
      <w:pPr>
        <w:spacing w:after="160" w:line="276"/>
        <w:jc w:val="both"/>
      </w:pPr>
      <w:r>
        <w:rPr>
          <w:rFonts w:ascii="Calibri" w:cs="Calibri" w:eastAsia="Calibri" w:hAnsi="Calibri"/>
          <w:sz w:val="21"/>
          <w:szCs w:val="21"/>
        </w:rPr>
        <w:t xml:space="preserve">Este documento desarrolla la tabla comparativa exigida por el criterio de evaluación “Tabla Comparativa” de la cátedra, con el objetivo de demostrar el valor diferencial del Sistema UEBA Zero Trust frente a las alternativas de mercado y académicas relevadas en el Estado del Arte del proyecto. Se presentan tres tablas complementarias: una comparación general de siete alternativas (cuatro soluciones comerciales, una tecnología de autenticación adaptativa, un modelo académico y el proyecto propuesto), una matriz de capacidades que verifica explícitamente qué cubre cada alternativa, y una comparación específica de los algoritmos de inteligencia artificial utilizados en cada enfoque.</w:t>
      </w:r>
    </w:p>
    <w:p>
      <w:pPr>
        <w:spacing w:after="160" w:line="276"/>
        <w:jc w:val="both"/>
      </w:pPr>
      <w:r>
        <w:rPr>
          <w:rFonts w:ascii="Calibri" w:cs="Calibri" w:eastAsia="Calibri" w:hAnsi="Calibri"/>
          <w:sz w:val="21"/>
          <w:szCs w:val="21"/>
        </w:rPr>
        <w:t xml:space="preserve">El criterio de la cátedra establece que, sin esta comparación, no es posible demostrar que el proyecto aporta valor diferencial respecto a las soluciones existentes en el mercado. Las tablas siguientes cubren los cuatro elementos exigidos: alternativas del proyecto planteado, comparación de funcionalidades, tecnologías utilizadas, y alcance y diferenciadores frente a cada una de ellas.</w:t>
      </w:r>
    </w:p>
    <w:p>
      <w:pPr>
        <w:pStyle w:val="Heading1"/>
        <w:pBdr>
          <w:bottom w:val="single" w:color="2E5FA3" w:sz="8" w:space="4"/>
        </w:pBdr>
        <w:spacing w:after="180" w:before="380"/>
      </w:pPr>
      <w:r>
        <w:rPr>
          <w:b/>
          <w:bCs/>
          <w:color w:val="1F3864"/>
          <w:sz w:val="30"/>
          <w:szCs w:val="30"/>
        </w:rPr>
        <w:t xml:space="preserve">Tabla 1 — Comparación general de alternativas</w:t>
      </w:r>
    </w:p>
    <w:p>
      <w:pPr>
        <w:spacing w:after="160" w:line="276"/>
        <w:jc w:val="both"/>
      </w:pPr>
      <w:r>
        <w:rPr>
          <w:rFonts w:ascii="Calibri" w:cs="Calibri" w:eastAsia="Calibri" w:hAnsi="Calibri"/>
          <w:sz w:val="21"/>
          <w:szCs w:val="21"/>
        </w:rPr>
        <w:t xml:space="preserve">Incluye las cuatro soluciones comerciales relevadas, la tecnología de autenticación adaptativa (Okta, tratada aparte porque no es UEBA de sesión completa sino un enfoque relacionado) y el modelo académico más cercano conceptualmente al proyecto (RADAC / ad-RACs), contra el proyecto propuesto.</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600"/>
        <w:gridCol w:w="2600"/>
        <w:gridCol w:w="2438"/>
        <w:gridCol w:w="4300"/>
      </w:tblGrid>
      <w:tr>
        <w:trPr>
          <w:tblHeader/>
        </w:trPr>
        <w:tc>
          <w:tcPr>
            <w:tcW w:type="dxa" w:w="16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7"/>
                <w:szCs w:val="17"/>
              </w:rPr>
              <w:t xml:space="preserve">Alternativa</w:t>
            </w:r>
          </w:p>
        </w:tc>
        <w:tc>
          <w:tcPr>
            <w:tcW w:type="dxa" w:w="19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7"/>
                <w:szCs w:val="17"/>
              </w:rPr>
              <w:t xml:space="preserve">Tipo</w:t>
            </w:r>
          </w:p>
        </w:tc>
        <w:tc>
          <w:tcPr>
            <w:tcW w:type="dxa" w:w="26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7"/>
                <w:szCs w:val="17"/>
              </w:rPr>
              <w:t xml:space="preserve">Funcionalidad principal</w:t>
            </w:r>
          </w:p>
        </w:tc>
        <w:tc>
          <w:tcPr>
            <w:tcW w:type="dxa" w:w="26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7"/>
                <w:szCs w:val="17"/>
              </w:rPr>
              <w:t xml:space="preserve">Tecnología / IA</w:t>
            </w:r>
          </w:p>
        </w:tc>
        <w:tc>
          <w:tcPr>
            <w:tcW w:type="dxa" w:w="2438"/>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7"/>
                <w:szCs w:val="17"/>
              </w:rPr>
              <w:t xml:space="preserve">Alcance de monitoreo</w:t>
            </w:r>
          </w:p>
        </w:tc>
        <w:tc>
          <w:tcPr>
            <w:tcW w:type="dxa" w:w="43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7"/>
                <w:szCs w:val="17"/>
              </w:rPr>
              <w:t xml:space="preserve">Diferenciador del proyecto propuesto</w:t>
            </w:r>
          </w:p>
        </w:tc>
      </w:tr>
      <w:tr>
        <w:tc>
          <w:tcPr>
            <w:tcW w:type="dxa" w:w="1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6"/>
                <w:szCs w:val="16"/>
              </w:rPr>
              <w:t xml:space="preserve">Microsoft Sentinel UEBA</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SIEM + UEBA integrado (nube, ecosistema Microsoft)</w:t>
            </w:r>
          </w:p>
        </w:tc>
        <w:tc>
          <w:tcPr>
            <w:tcW w:type="dxa" w:w="2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Perfiles de comportamiento de usuarios y entidades (servidores, dispositivos de red) a partir de historial; calcula puntajes de riesgo por desviación de línea base</w:t>
            </w:r>
          </w:p>
        </w:tc>
        <w:tc>
          <w:tcPr>
            <w:tcW w:type="dxa" w:w="2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Algoritmos propietarios no publicados; ingesta de logs de autenticación, red, dispositivos y servicios integrados</w:t>
            </w:r>
          </w:p>
        </w:tc>
        <w:tc>
          <w:tcPr>
            <w:tcW w:type="dxa" w:w="24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Amplio (no se limita a usuarios individuales) pero centralizado en la nube, sin agente propio en el endpoint</w:t>
            </w:r>
          </w:p>
        </w:tc>
        <w:tc>
          <w:tcPr>
            <w:tcW w:type="dxa" w:w="43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El proyecto ejecuta la mitigación en el propio endpoint en tiempo casi real; su lógica de scoring (IsolationForest + LSTM) es propia y auditable, no una caja negra propietaria de costo variable por volumen de datos</w:t>
            </w:r>
          </w:p>
        </w:tc>
      </w:tr>
      <w:tr>
        <w:tc>
          <w:tcPr>
            <w:tcW w:type="dxa" w:w="1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6"/>
                <w:szCs w:val="16"/>
              </w:rPr>
              <w:t xml:space="preserve">Splunk UBA</w:t>
            </w:r>
          </w:p>
        </w:tc>
        <w:tc>
          <w:tcPr>
            <w:tcW w:type="dxa" w:w="19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Plataforma UEBA especializada en insider threats y movimiento lateral</w:t>
            </w:r>
          </w:p>
        </w:tc>
        <w:tc>
          <w:tcPr>
            <w:tcW w:type="dxa" w:w="2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Perfiles de comportamiento + correlación de eventos entre sistemas y momentos distintos; prioriza alertas por riesgo</w:t>
            </w:r>
          </w:p>
        </w:tc>
        <w:tc>
          <w:tcPr>
            <w:tcW w:type="dxa" w:w="2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Motor de correlación propietario; ingesta multi-fuente (auth, red, logs de sistema, accesos a recursos)</w:t>
            </w:r>
          </w:p>
        </w:tc>
        <w:tc>
          <w:tcPr>
            <w:tcW w:type="dxa" w:w="24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Centralizado, depende de integración con fuentes externas; sin agente propio de recolección</w:t>
            </w:r>
          </w:p>
        </w:tc>
        <w:tc>
          <w:tcPr>
            <w:tcW w:type="dxa" w:w="43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Splunk UBA no incorpora de forma nativa mecanismos de respuesta adaptativa: se detiene en detectar y priorizar. El proyecto cierra el ciclo completo detección → decisión → acción sin depender de integraciones externas</w:t>
            </w:r>
          </w:p>
        </w:tc>
      </w:tr>
      <w:tr>
        <w:tc>
          <w:tcPr>
            <w:tcW w:type="dxa" w:w="1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6"/>
                <w:szCs w:val="16"/>
              </w:rPr>
              <w:t xml:space="preserve">Exabeam</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SIEM + UEBA + SOAR combinado</w:t>
            </w:r>
          </w:p>
        </w:tc>
        <w:tc>
          <w:tcPr>
            <w:tcW w:type="dxa" w:w="2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Perfiles de comportamiento, correlación multi-fuente, asignación de riesgo a usuarios/dispositivos/actividades, con automatización de respuesta</w:t>
            </w:r>
          </w:p>
        </w:tc>
        <w:tc>
          <w:tcPr>
            <w:tcW w:type="dxa" w:w="2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No transparente (funcionamiento interno de los modelos no público); depende de fuentes de datos ya existentes en la infraestructura</w:t>
            </w:r>
          </w:p>
        </w:tc>
        <w:tc>
          <w:tcPr>
            <w:tcW w:type="dxa" w:w="24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Es el más cercano en concepto (incluye SOAR), pero no incorpora un agente ligero propio para recolección directa en el endpoint</w:t>
            </w:r>
          </w:p>
        </w:tc>
        <w:tc>
          <w:tcPr>
            <w:tcW w:type="dxa" w:w="43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El proyecto no depende de orquestar herramientas externas ya integradas para actuar: el propio agente PEP ejecuta la mitigación directamente sobre el proceso/carpeta del endpoint</w:t>
            </w:r>
          </w:p>
        </w:tc>
      </w:tr>
      <w:tr>
        <w:tc>
          <w:tcPr>
            <w:tcW w:type="dxa" w:w="1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6"/>
                <w:szCs w:val="16"/>
              </w:rPr>
              <w:t xml:space="preserve">Microsoft Entra ID Protection</w:t>
            </w:r>
          </w:p>
        </w:tc>
        <w:tc>
          <w:tcPr>
            <w:tcW w:type="dxa" w:w="19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Protección de identidad (IAM)</w:t>
            </w:r>
          </w:p>
        </w:tc>
        <w:tc>
          <w:tcPr>
            <w:tcW w:type="dxa" w:w="2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Evaluación continua de señales de riesgo ligadas al usuario y al proceso de autenticación; aplica políticas de acceso condicional</w:t>
            </w:r>
          </w:p>
        </w:tc>
        <w:tc>
          <w:tcPr>
            <w:tcW w:type="dxa" w:w="2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Señales propias del ecosistema Microsoft (ubicación, dispositivo, credenciales filtradas)</w:t>
            </w:r>
          </w:p>
        </w:tc>
        <w:tc>
          <w:tcPr>
            <w:tcW w:type="dxa" w:w="24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Fuertemente atado al ecosistema Microsoft; enfocado en identidad, no en comportamiento operativo continuo durante el uso de recursos (limitación citada textualmente en la fuente)</w:t>
            </w:r>
          </w:p>
        </w:tc>
        <w:tc>
          <w:tcPr>
            <w:tcW w:type="dxa" w:w="43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El proyecto evalúa comportamiento durante toda la sesión activa, no solo señales de autenticación, y no depende de estar dentro del ecosistema de un proveedor de identidad específico</w:t>
            </w:r>
          </w:p>
        </w:tc>
      </w:tr>
      <w:tr>
        <w:tc>
          <w:tcPr>
            <w:tcW w:type="dxa" w:w="1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6"/>
                <w:szCs w:val="16"/>
              </w:rPr>
              <w:t xml:space="preserve">Okta Adaptive MFA</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Autenticación adaptativa basada en riesgo (no es UEBA de sesión completa)</w:t>
            </w:r>
          </w:p>
        </w:tc>
        <w:tc>
          <w:tcPr>
            <w:tcW w:type="dxa" w:w="2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Estima riesgo en el momento del login a partir de señales contextuales (ubicación, IP, dispositivo, red, patrones previos); aplica MFA adicional o bloqueo</w:t>
            </w:r>
          </w:p>
        </w:tc>
        <w:tc>
          <w:tcPr>
            <w:tcW w:type="dxa" w:w="2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Motor de riesgo propietario de Okta, señales en tiempo real al momento de inicio de sesión</w:t>
            </w:r>
          </w:p>
        </w:tc>
        <w:tc>
          <w:tcPr>
            <w:tcW w:type="dxa" w:w="24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La evaluación se concentra principalmente en la autenticación inicial; la re-evaluación durante la sesión, si existe, </w:t>
            </w:r>
            <w:r>
              <w:rPr>
                <w:rFonts w:ascii="Calibri" w:cs="Calibri" w:eastAsia="Calibri" w:hAnsi="Calibri"/>
                <w:b w:val="false"/>
                <w:bCs w:val="false"/>
                <w:i/>
                <w:iCs/>
                <w:color w:val="000000"/>
                <w:sz w:val="16"/>
                <w:szCs w:val="16"/>
              </w:rPr>
              <w:t xml:space="preserve">“no suele ser completamente continua ni profundiza en el comportamiento del usuario una vez que el acceso fue concedido”</w:t>
            </w:r>
            <w:r>
              <w:rPr>
                <w:rFonts w:ascii="Calibri" w:cs="Calibri" w:eastAsia="Calibri" w:hAnsi="Calibri"/>
                <w:b w:val="false"/>
                <w:bCs w:val="false"/>
                <w:i w:val="false"/>
                <w:iCs w:val="false"/>
                <w:color w:val="000000"/>
                <w:sz w:val="16"/>
                <w:szCs w:val="16"/>
              </w:rPr>
              <w:t xml:space="preserve"> (cita textual de la fuente)</w:t>
            </w:r>
          </w:p>
        </w:tc>
        <w:tc>
          <w:tcPr>
            <w:tcW w:type="dxa" w:w="43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Es exactamente el “punto ciego post-login” que el proyecto toma como justificación central — Okta Adaptive MFA no cubre lo que pasa después de que el acceso ya fue concedido</w:t>
            </w:r>
          </w:p>
        </w:tc>
      </w:tr>
      <w:tr>
        <w:tc>
          <w:tcPr>
            <w:tcW w:type="dxa" w:w="1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6"/>
                <w:szCs w:val="16"/>
              </w:rPr>
              <w:t xml:space="preserve">RADAC académico — ad-RACs (Aliyu et al., 2024)</w:t>
            </w:r>
          </w:p>
        </w:tc>
        <w:tc>
          <w:tcPr>
            <w:tcW w:type="dxa" w:w="19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Modelo académico de control de acceso adaptativo basado en riesgo</w:t>
            </w:r>
          </w:p>
        </w:tc>
        <w:tc>
          <w:tcPr>
            <w:tcW w:type="dxa" w:w="2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Autorización de acceso en tiempo real evaluando 4 factores: contexto del usuario, sensibilidad del recurso, criticidad de la acción, historial de riesgo acumulado</w:t>
            </w:r>
          </w:p>
        </w:tc>
        <w:tc>
          <w:tcPr>
            <w:tcW w:type="dxa" w:w="2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CatBoost (ML supervisado) para el score de riesgo por solicitud</w:t>
            </w:r>
          </w:p>
        </w:tc>
        <w:tc>
          <w:tcPr>
            <w:tcW w:type="dxa" w:w="24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Modelo de decisión de acceso validado con métricas fuertes (Recall 100%, F1 98%), pero sin agente de enforcement local descrito: es una política de decisión, no una implementación de PEP en el endpoint</w:t>
            </w:r>
          </w:p>
        </w:tc>
        <w:tc>
          <w:tcPr>
            <w:tcW w:type="dxa" w:w="43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El proyecto es, en la práctica, una implementación end-to-end de este mismo paradigma RADAC, pero cerrando el circuito con un PEP real en el endpoint: no se queda en el nivel de política de decisión</w:t>
            </w:r>
          </w:p>
        </w:tc>
      </w:tr>
      <w:tr>
        <w:tc>
          <w:tcPr>
            <w:tcW w:type="dxa" w:w="1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1F3864"/>
                <w:sz w:val="16"/>
                <w:szCs w:val="16"/>
              </w:rPr>
              <w:t xml:space="preserve">Proyecto propuesto</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6"/>
                <w:szCs w:val="16"/>
              </w:rPr>
              <w:t xml:space="preserve">UEBA + enforcement local, arquitectura PDP/PEP (NIST SP 800-207)</w:t>
            </w:r>
          </w:p>
        </w:tc>
        <w:tc>
          <w:tcPr>
            <w:tcW w:type="dxa" w:w="2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6"/>
                <w:szCs w:val="16"/>
              </w:rPr>
              <w:t xml:space="preserve">Score dinámico de confianza por usuario, actualizado por evento, con decaimiento temporal y continuidad entre sesiones</w:t>
            </w:r>
          </w:p>
        </w:tc>
        <w:tc>
          <w:tcPr>
            <w:tcW w:type="dxa" w:w="2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6"/>
                <w:szCs w:val="16"/>
              </w:rPr>
              <w:t xml:space="preserve">Modelo híbrido propio: IsolationForest (agregado diario) + LSTM Autoencoder (secuencias), código propio auditable</w:t>
            </w:r>
          </w:p>
        </w:tc>
        <w:tc>
          <w:tcPr>
            <w:tcW w:type="dxa" w:w="24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6"/>
                <w:szCs w:val="16"/>
              </w:rPr>
              <w:t xml:space="preserve">Agente ligero propio en el endpoint (Windows) + motor de decisión centralizado en la nube</w:t>
            </w:r>
          </w:p>
        </w:tc>
        <w:tc>
          <w:tcPr>
            <w:tcW w:type="dxa" w:w="43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iCs/>
                <w:color w:val="595959"/>
                <w:sz w:val="16"/>
                <w:szCs w:val="16"/>
              </w:rPr>
              <w:t xml:space="preserve">— (fila de referencia)</w:t>
            </w:r>
          </w:p>
        </w:tc>
      </w:tr>
    </w:tbl>
    <w:p>
      <w:pPr>
        <w:spacing w:after="200"/>
      </w:pPr>
    </w:p>
    <w:p>
      <w:r>
        <w:br w:type="page"/>
      </w:r>
    </w:p>
    <w:p>
      <w:pPr>
        <w:pStyle w:val="Heading1"/>
        <w:pBdr>
          <w:bottom w:val="single" w:color="2E5FA3" w:sz="8" w:space="4"/>
        </w:pBdr>
        <w:spacing w:after="180" w:before="380"/>
      </w:pPr>
      <w:r>
        <w:rPr>
          <w:b/>
          <w:bCs/>
          <w:color w:val="1F3864"/>
          <w:sz w:val="30"/>
          <w:szCs w:val="30"/>
        </w:rPr>
        <w:t xml:space="preserve">Tabla 2 — Matriz de capacidades</w:t>
      </w:r>
    </w:p>
    <w:p>
      <w:pPr>
        <w:spacing w:after="160" w:line="276"/>
        <w:jc w:val="both"/>
      </w:pPr>
      <w:r>
        <w:rPr>
          <w:rFonts w:ascii="Calibri" w:cs="Calibri" w:eastAsia="Calibri" w:hAnsi="Calibri"/>
          <w:sz w:val="21"/>
          <w:szCs w:val="21"/>
        </w:rPr>
        <w:t xml:space="preserve">Verificación explícita de qué cubre cada alternativa, usando solo lo que la sección de Estado del Arte documenta sobre cada una. Donde la fuente no se pronuncia sobre una capacidad puntual de un competidor, se marca N/D (no documentado en el relevamiento) en vez de asumir una respuesta — es más defendible que completar casilleros con información no verificada sobre productos de terceros.</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3238"/>
        <w:gridCol w:w="2200"/>
        <w:gridCol w:w="2200"/>
        <w:gridCol w:w="2400"/>
        <w:gridCol w:w="2900"/>
        <w:gridCol w:w="2500"/>
      </w:tblGrid>
      <w:tr>
        <w:trPr>
          <w:tblHeader/>
        </w:trPr>
        <w:tc>
          <w:tcPr>
            <w:tcW w:type="dxa" w:w="3238"/>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6"/>
                <w:szCs w:val="16"/>
              </w:rPr>
              <w:t xml:space="preserve">Solución</w:t>
            </w:r>
          </w:p>
        </w:tc>
        <w:tc>
          <w:tcPr>
            <w:tcW w:type="dxa" w:w="2200"/>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6"/>
                <w:szCs w:val="16"/>
              </w:rPr>
              <w:t xml:space="preserve">Detección de anomalías</w:t>
            </w:r>
          </w:p>
        </w:tc>
        <w:tc>
          <w:tcPr>
            <w:tcW w:type="dxa" w:w="2200"/>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6"/>
                <w:szCs w:val="16"/>
              </w:rPr>
              <w:t xml:space="preserve">Score de riesgo dinámico</w:t>
            </w:r>
          </w:p>
        </w:tc>
        <w:tc>
          <w:tcPr>
            <w:tcW w:type="dxa" w:w="2400"/>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6"/>
                <w:szCs w:val="16"/>
              </w:rPr>
              <w:t xml:space="preserve">Continuo durante toda la sesión</w:t>
            </w:r>
          </w:p>
        </w:tc>
        <w:tc>
          <w:tcPr>
            <w:tcW w:type="dxa" w:w="2900"/>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6"/>
                <w:szCs w:val="16"/>
              </w:rPr>
              <w:t xml:space="preserve">Enforcement automático en el endpoint</w:t>
            </w:r>
          </w:p>
        </w:tc>
        <w:tc>
          <w:tcPr>
            <w:tcW w:type="dxa" w:w="2500"/>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6"/>
                <w:szCs w:val="16"/>
              </w:rPr>
              <w:t xml:space="preserve">Explicabilidad (XAI)</w:t>
            </w:r>
          </w:p>
        </w:tc>
      </w:tr>
      <w:tr>
        <w:tc>
          <w:tcPr>
            <w:tcW w:type="dxa" w:w="32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Microsoft Sentinel UEBA</w:t>
            </w:r>
          </w:p>
        </w:tc>
        <w:tc>
          <w:tcPr>
            <w:tcW w:type="dxa" w:w="22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2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4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val="false"/>
                <w:bCs w:val="false"/>
                <w:i/>
                <w:iCs/>
                <w:color w:val="595959"/>
                <w:sz w:val="16"/>
                <w:szCs w:val="16"/>
              </w:rPr>
              <w:t xml:space="preserve">N/D</w:t>
            </w:r>
          </w:p>
        </w:tc>
        <w:tc>
          <w:tcPr>
            <w:tcW w:type="dxa" w:w="29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val="false"/>
                <w:bCs w:val="false"/>
                <w:i/>
                <w:iCs/>
                <w:color w:val="595959"/>
                <w:sz w:val="16"/>
                <w:szCs w:val="16"/>
              </w:rPr>
              <w:t xml:space="preserve">N/D</w:t>
            </w:r>
          </w:p>
        </w:tc>
        <w:tc>
          <w:tcPr>
            <w:tcW w:type="dxa" w:w="25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9C2A2A"/>
                <w:sz w:val="16"/>
                <w:szCs w:val="16"/>
              </w:rPr>
              <w:t xml:space="preserve">✘</w:t>
            </w:r>
          </w:p>
        </w:tc>
      </w:tr>
      <w:tr>
        <w:tc>
          <w:tcPr>
            <w:tcW w:type="dxa" w:w="32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Splunk UBA</w:t>
            </w:r>
          </w:p>
        </w:tc>
        <w:tc>
          <w:tcPr>
            <w:tcW w:type="dxa" w:w="22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2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4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val="false"/>
                <w:bCs w:val="false"/>
                <w:i/>
                <w:iCs/>
                <w:color w:val="595959"/>
                <w:sz w:val="16"/>
                <w:szCs w:val="16"/>
              </w:rPr>
              <w:t xml:space="preserve">N/D</w:t>
            </w:r>
          </w:p>
        </w:tc>
        <w:tc>
          <w:tcPr>
            <w:tcW w:type="dxa" w:w="29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9C2A2A"/>
                <w:sz w:val="16"/>
                <w:szCs w:val="16"/>
              </w:rPr>
              <w:t xml:space="preserve">✘</w:t>
            </w:r>
          </w:p>
        </w:tc>
        <w:tc>
          <w:tcPr>
            <w:tcW w:type="dxa" w:w="25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val="false"/>
                <w:bCs w:val="false"/>
                <w:i/>
                <w:iCs/>
                <w:color w:val="595959"/>
                <w:sz w:val="16"/>
                <w:szCs w:val="16"/>
              </w:rPr>
              <w:t xml:space="preserve">N/D</w:t>
            </w:r>
          </w:p>
        </w:tc>
      </w:tr>
      <w:tr>
        <w:tc>
          <w:tcPr>
            <w:tcW w:type="dxa" w:w="32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Exabeam</w:t>
            </w:r>
          </w:p>
        </w:tc>
        <w:tc>
          <w:tcPr>
            <w:tcW w:type="dxa" w:w="22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2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4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val="false"/>
                <w:bCs w:val="false"/>
                <w:i/>
                <w:iCs/>
                <w:color w:val="595959"/>
                <w:sz w:val="16"/>
                <w:szCs w:val="16"/>
              </w:rPr>
              <w:t xml:space="preserve">N/D</w:t>
            </w:r>
          </w:p>
        </w:tc>
        <w:tc>
          <w:tcPr>
            <w:tcW w:type="dxa" w:w="29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r>
              <w:rPr>
                <w:rFonts w:ascii="Calibri" w:cs="Calibri" w:eastAsia="Calibri" w:hAnsi="Calibri"/>
                <w:b w:val="false"/>
                <w:bCs w:val="false"/>
                <w:i w:val="false"/>
                <w:iCs w:val="false"/>
                <w:color w:val="595959"/>
                <w:sz w:val="16"/>
                <w:szCs w:val="16"/>
              </w:rPr>
              <w:t xml:space="preserve"> (vía SOAR)</w:t>
            </w:r>
          </w:p>
        </w:tc>
        <w:tc>
          <w:tcPr>
            <w:tcW w:type="dxa" w:w="25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9C2A2A"/>
                <w:sz w:val="16"/>
                <w:szCs w:val="16"/>
              </w:rPr>
              <w:t xml:space="preserve">✘</w:t>
            </w:r>
          </w:p>
        </w:tc>
      </w:tr>
      <w:tr>
        <w:tc>
          <w:tcPr>
            <w:tcW w:type="dxa" w:w="32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Microsoft Entra ID Protection</w:t>
            </w:r>
          </w:p>
        </w:tc>
        <w:tc>
          <w:tcPr>
            <w:tcW w:type="dxa" w:w="22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2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4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9C2A2A"/>
                <w:sz w:val="16"/>
                <w:szCs w:val="16"/>
              </w:rPr>
              <w:t xml:space="preserve">✘</w:t>
            </w:r>
          </w:p>
        </w:tc>
        <w:tc>
          <w:tcPr>
            <w:tcW w:type="dxa" w:w="29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B7791F"/>
                <w:sz w:val="16"/>
                <w:szCs w:val="16"/>
              </w:rPr>
              <w:t xml:space="preserve">⚠</w:t>
            </w:r>
            <w:r>
              <w:rPr>
                <w:rFonts w:ascii="Calibri" w:cs="Calibri" w:eastAsia="Calibri" w:hAnsi="Calibri"/>
                <w:b w:val="false"/>
                <w:bCs w:val="false"/>
                <w:i w:val="false"/>
                <w:iCs w:val="false"/>
                <w:color w:val="B7791F"/>
                <w:sz w:val="16"/>
                <w:szCs w:val="16"/>
              </w:rPr>
              <w:t xml:space="preserve"> (solo acceso condicional/MFA)</w:t>
            </w:r>
          </w:p>
        </w:tc>
        <w:tc>
          <w:tcPr>
            <w:tcW w:type="dxa" w:w="25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9C2A2A"/>
                <w:sz w:val="16"/>
                <w:szCs w:val="16"/>
              </w:rPr>
              <w:t xml:space="preserve">✘</w:t>
            </w:r>
          </w:p>
        </w:tc>
      </w:tr>
      <w:tr>
        <w:tc>
          <w:tcPr>
            <w:tcW w:type="dxa" w:w="32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Okta Adaptive MFA</w:t>
            </w:r>
          </w:p>
        </w:tc>
        <w:tc>
          <w:tcPr>
            <w:tcW w:type="dxa" w:w="22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B7791F"/>
                <w:sz w:val="16"/>
                <w:szCs w:val="16"/>
              </w:rPr>
              <w:t xml:space="preserve">⚠</w:t>
            </w:r>
            <w:r>
              <w:rPr>
                <w:rFonts w:ascii="Calibri" w:cs="Calibri" w:eastAsia="Calibri" w:hAnsi="Calibri"/>
                <w:b w:val="false"/>
                <w:bCs w:val="false"/>
                <w:i w:val="false"/>
                <w:iCs w:val="false"/>
                <w:color w:val="B7791F"/>
                <w:sz w:val="16"/>
                <w:szCs w:val="16"/>
              </w:rPr>
              <w:t xml:space="preserve"> (solo en login)</w:t>
            </w:r>
          </w:p>
        </w:tc>
        <w:tc>
          <w:tcPr>
            <w:tcW w:type="dxa" w:w="22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B7791F"/>
                <w:sz w:val="16"/>
                <w:szCs w:val="16"/>
              </w:rPr>
              <w:t xml:space="preserve">⚠</w:t>
            </w:r>
          </w:p>
        </w:tc>
        <w:tc>
          <w:tcPr>
            <w:tcW w:type="dxa" w:w="24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9C2A2A"/>
                <w:sz w:val="16"/>
                <w:szCs w:val="16"/>
              </w:rPr>
              <w:t xml:space="preserve">✘</w:t>
            </w:r>
          </w:p>
        </w:tc>
        <w:tc>
          <w:tcPr>
            <w:tcW w:type="dxa" w:w="29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B7791F"/>
                <w:sz w:val="16"/>
                <w:szCs w:val="16"/>
              </w:rPr>
              <w:t xml:space="preserve">⚠</w:t>
            </w:r>
            <w:r>
              <w:rPr>
                <w:rFonts w:ascii="Calibri" w:cs="Calibri" w:eastAsia="Calibri" w:hAnsi="Calibri"/>
                <w:b w:val="false"/>
                <w:bCs w:val="false"/>
                <w:i w:val="false"/>
                <w:iCs w:val="false"/>
                <w:color w:val="B7791F"/>
                <w:sz w:val="16"/>
                <w:szCs w:val="16"/>
              </w:rPr>
              <w:t xml:space="preserve"> (solo MFA/bloqueo en login)</w:t>
            </w:r>
          </w:p>
        </w:tc>
        <w:tc>
          <w:tcPr>
            <w:tcW w:type="dxa" w:w="25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val="false"/>
                <w:bCs w:val="false"/>
                <w:i/>
                <w:iCs/>
                <w:color w:val="595959"/>
                <w:sz w:val="16"/>
                <w:szCs w:val="16"/>
              </w:rPr>
              <w:t xml:space="preserve">N/D</w:t>
            </w:r>
          </w:p>
        </w:tc>
      </w:tr>
      <w:tr>
        <w:tc>
          <w:tcPr>
            <w:tcW w:type="dxa" w:w="32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6"/>
                <w:szCs w:val="16"/>
              </w:rPr>
              <w:t xml:space="preserve">RADAC académico (ad-RACs)</w:t>
            </w:r>
          </w:p>
        </w:tc>
        <w:tc>
          <w:tcPr>
            <w:tcW w:type="dxa" w:w="22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2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4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r>
              <w:rPr>
                <w:rFonts w:ascii="Calibri" w:cs="Calibri" w:eastAsia="Calibri" w:hAnsi="Calibri"/>
                <w:b w:val="false"/>
                <w:bCs w:val="false"/>
                <w:i w:val="false"/>
                <w:iCs w:val="false"/>
                <w:color w:val="595959"/>
                <w:sz w:val="16"/>
                <w:szCs w:val="16"/>
              </w:rPr>
              <w:t xml:space="preserve"> (por solicitud)</w:t>
            </w:r>
          </w:p>
        </w:tc>
        <w:tc>
          <w:tcPr>
            <w:tcW w:type="dxa" w:w="29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B7791F"/>
                <w:sz w:val="16"/>
                <w:szCs w:val="16"/>
              </w:rPr>
              <w:t xml:space="preserve">⚠</w:t>
            </w:r>
            <w:r>
              <w:rPr>
                <w:rFonts w:ascii="Calibri" w:cs="Calibri" w:eastAsia="Calibri" w:hAnsi="Calibri"/>
                <w:b w:val="false"/>
                <w:bCs w:val="false"/>
                <w:i w:val="false"/>
                <w:iCs w:val="false"/>
                <w:color w:val="B7791F"/>
                <w:sz w:val="16"/>
                <w:szCs w:val="16"/>
              </w:rPr>
              <w:t xml:space="preserve"> (política de acceso, sin PEP físico descrito)</w:t>
            </w:r>
          </w:p>
        </w:tc>
        <w:tc>
          <w:tcPr>
            <w:tcW w:type="dxa" w:w="2500"/>
            <w:shd w:fill="F2F2F2" w:val="clear"/>
            <w:tcMar>
              <w:top w:type="dxa" w:w="90"/>
              <w:left w:type="dxa" w:w="100"/>
              <w:bottom w:type="dxa" w:w="90"/>
              <w:right w:type="dxa" w:w="100"/>
            </w:tcMar>
            <w:vAlign w:val="center"/>
          </w:tcPr>
          <w:p>
            <w:pPr>
              <w:spacing w:after="0" w:line="250"/>
              <w:jc w:val="center"/>
            </w:pPr>
            <w:r>
              <w:rPr>
                <w:rFonts w:ascii="Calibri" w:cs="Calibri" w:eastAsia="Calibri" w:hAnsi="Calibri"/>
                <w:b w:val="false"/>
                <w:bCs w:val="false"/>
                <w:i/>
                <w:iCs/>
                <w:color w:val="595959"/>
                <w:sz w:val="16"/>
                <w:szCs w:val="16"/>
              </w:rPr>
              <w:t xml:space="preserve">N/D</w:t>
            </w:r>
          </w:p>
        </w:tc>
      </w:tr>
      <w:tr>
        <w:tc>
          <w:tcPr>
            <w:tcW w:type="dxa" w:w="32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1F3864"/>
                <w:sz w:val="16"/>
                <w:szCs w:val="16"/>
              </w:rPr>
              <w:t xml:space="preserve">Proyecto propuesto</w:t>
            </w:r>
          </w:p>
        </w:tc>
        <w:tc>
          <w:tcPr>
            <w:tcW w:type="dxa" w:w="22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2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4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p>
        </w:tc>
        <w:tc>
          <w:tcPr>
            <w:tcW w:type="dxa" w:w="29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1E7145"/>
                <w:sz w:val="16"/>
                <w:szCs w:val="16"/>
              </w:rPr>
              <w:t xml:space="preserve">✔</w:t>
            </w:r>
            <w:r>
              <w:rPr>
                <w:rFonts w:ascii="Calibri" w:cs="Calibri" w:eastAsia="Calibri" w:hAnsi="Calibri"/>
                <w:b w:val="false"/>
                <w:bCs w:val="false"/>
                <w:i w:val="false"/>
                <w:iCs w:val="false"/>
                <w:color w:val="1F3864"/>
                <w:sz w:val="16"/>
                <w:szCs w:val="16"/>
              </w:rPr>
              <w:t xml:space="preserve"> (terminar procesos / denegar carpeta)</w:t>
            </w:r>
          </w:p>
        </w:tc>
        <w:tc>
          <w:tcPr>
            <w:tcW w:type="dxa" w:w="2500"/>
            <w:shd w:fill="FFFFFF" w:val="clear"/>
            <w:tcMar>
              <w:top w:type="dxa" w:w="90"/>
              <w:left w:type="dxa" w:w="100"/>
              <w:bottom w:type="dxa" w:w="90"/>
              <w:right w:type="dxa" w:w="100"/>
            </w:tcMar>
            <w:vAlign w:val="center"/>
          </w:tcPr>
          <w:p>
            <w:pPr>
              <w:spacing w:after="0" w:line="250"/>
              <w:jc w:val="center"/>
            </w:pPr>
            <w:r>
              <w:rPr>
                <w:rFonts w:ascii="Calibri" w:cs="Calibri" w:eastAsia="Calibri" w:hAnsi="Calibri"/>
                <w:b/>
                <w:bCs/>
                <w:i w:val="false"/>
                <w:iCs w:val="false"/>
                <w:color w:val="B7791F"/>
                <w:sz w:val="16"/>
                <w:szCs w:val="16"/>
              </w:rPr>
              <w:t xml:space="preserve">⚠</w:t>
            </w:r>
            <w:r>
              <w:rPr>
                <w:rFonts w:ascii="Calibri" w:cs="Calibri" w:eastAsia="Calibri" w:hAnsi="Calibri"/>
                <w:b w:val="false"/>
                <w:bCs w:val="false"/>
                <w:i w:val="false"/>
                <w:iCs w:val="false"/>
                <w:color w:val="1F3864"/>
                <w:sz w:val="16"/>
                <w:szCs w:val="16"/>
              </w:rPr>
              <w:t xml:space="preserve"> (solo IsolationForest, top-3 features por z-score; LSTM sin XAI propio)</w:t>
            </w:r>
          </w:p>
        </w:tc>
      </w:tr>
    </w:tbl>
    <w:p>
      <w:pPr>
        <w:spacing w:after="160"/>
      </w:pPr>
    </w:p>
    <w:tbl>
      <w:tblPr>
        <w:tblW w:type="pct" w:w="100%"/>
        <w:tblBorders>
          <w:top w:val="single" w:color="2E5FA3" w:sz="4"/>
          <w:left w:val="single" w:color="2E5FA3" w:sz="16"/>
          <w:bottom w:val="single" w:color="2E5FA3" w:sz="4"/>
          <w:right w:val="single" w:color="2E5FA3" w:sz="4"/>
          <w:insideH w:val="none" w:color="FFFFFF" w:sz="0"/>
          <w:insideV w:val="none" w:color="FFFFFF" w:sz="0"/>
        </w:tblBorders>
      </w:tblPr>
      <w:tblGrid>
        <w:gridCol w:w="100"/>
      </w:tblGrid>
      <w:tr>
        <w:tc>
          <w:tcPr>
            <w:shd w:fill="DCE6F1" w:val="clear"/>
            <w:tcMar>
              <w:top w:type="dxa" w:w="140"/>
              <w:left w:type="dxa" w:w="200"/>
              <w:bottom w:type="dxa" w:w="140"/>
              <w:right w:type="dxa" w:w="200"/>
            </w:tcMar>
          </w:tcPr>
          <w:p>
            <w:pPr>
              <w:spacing w:after="60"/>
            </w:pPr>
            <w:r>
              <w:rPr>
                <w:rFonts w:ascii="Calibri" w:cs="Calibri" w:eastAsia="Calibri" w:hAnsi="Calibri"/>
                <w:b/>
                <w:bCs/>
                <w:color w:val="2E5FA3"/>
                <w:sz w:val="18"/>
                <w:szCs w:val="18"/>
              </w:rPr>
              <w:t xml:space="preserve">LECTURA DE LA MATRIZ</w:t>
            </w:r>
          </w:p>
          <w:p>
            <w:pPr>
              <w:spacing w:after="0" w:line="276"/>
              <w:jc w:val="both"/>
            </w:pPr>
            <w:r>
              <w:rPr>
                <w:rFonts w:ascii="Calibri" w:cs="Calibri" w:eastAsia="Calibri" w:hAnsi="Calibri"/>
                <w:i/>
                <w:iCs/>
                <w:color w:val="3A3A3A"/>
                <w:sz w:val="20"/>
                <w:szCs w:val="20"/>
              </w:rPr>
              <w:t xml:space="preserve">Ninguna de las cuatro soluciones comerciales relevadas tiene, según lo que el propio Estado del Arte documenta, la combinación de continuidad durante toda la sesión, enforcement automático en el endpoint y algún grado de explicabilidad al mismo tiempo. Esa combinación es, con la evidencia ya reunida, el espacio que el proyecto ocupa y que ningún competidor relevado cubre por completo — con la salvedad de que, en el proyecto propuesto, la explicabilidad hoy es parcial: cubre las features de IsolationForest (top-3 por z-score, calculadas en cada evento) pero no tiene un mecanismo propio para el componente LSTM del score híbrido.</w:t>
            </w:r>
          </w:p>
        </w:tc>
      </w:tr>
    </w:tbl>
    <w:p>
      <w:r>
        <w:br w:type="page"/>
      </w:r>
    </w:p>
    <w:p>
      <w:pPr>
        <w:pStyle w:val="Heading1"/>
        <w:pBdr>
          <w:bottom w:val="single" w:color="2E5FA3" w:sz="8" w:space="4"/>
        </w:pBdr>
        <w:spacing w:after="180" w:before="380"/>
      </w:pPr>
      <w:r>
        <w:rPr>
          <w:b/>
          <w:bCs/>
          <w:color w:val="1F3864"/>
          <w:sz w:val="30"/>
          <w:szCs w:val="30"/>
        </w:rPr>
        <w:t xml:space="preserve">Tabla 3 — Comparación de algoritmos de IA</w:t>
      </w:r>
    </w:p>
    <w:p>
      <w:pPr>
        <w:spacing w:after="160" w:line="276"/>
        <w:jc w:val="both"/>
      </w:pPr>
      <w:r>
        <w:rPr>
          <w:rFonts w:ascii="Calibri" w:cs="Calibri" w:eastAsia="Calibri" w:hAnsi="Calibri"/>
          <w:sz w:val="21"/>
          <w:szCs w:val="21"/>
        </w:rPr>
        <w:t xml:space="preserve">Profundiza la columna “Tecnología” de la Tabla 1 específicamente para el lado de IA/modelos, y muestra que la elección de IsolationForest + LSTM no es arbitraria: responde directamente a limitaciones que la propia literatura relevada reporta sobre cada técnica por separado.</w:t>
      </w:r>
    </w:p>
    <w:tbl>
      <w:tblPr>
        <w:tblW w:type="dxa" w:w="15437"/>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400"/>
        <w:gridCol w:w="1900"/>
        <w:gridCol w:w="3138"/>
        <w:gridCol w:w="3999"/>
      </w:tblGrid>
      <w:tr>
        <w:trPr>
          <w:tblHeader/>
        </w:trPr>
        <w:tc>
          <w:tcPr>
            <w:tcW w:type="dxa" w:w="21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6"/>
                <w:szCs w:val="16"/>
              </w:rPr>
              <w:t xml:space="preserve">Algoritmo / enfoque</w:t>
            </w:r>
          </w:p>
        </w:tc>
        <w:tc>
          <w:tcPr>
            <w:tcW w:type="dxa" w:w="19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6"/>
                <w:szCs w:val="16"/>
              </w:rPr>
              <w:t xml:space="preserve">Fuente académica</w:t>
            </w:r>
          </w:p>
        </w:tc>
        <w:tc>
          <w:tcPr>
            <w:tcW w:type="dxa" w:w="24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6"/>
                <w:szCs w:val="16"/>
              </w:rPr>
              <w:t xml:space="preserve">Dataset / validación</w:t>
            </w:r>
          </w:p>
        </w:tc>
        <w:tc>
          <w:tcPr>
            <w:tcW w:type="dxa" w:w="19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6"/>
                <w:szCs w:val="16"/>
              </w:rPr>
              <w:t xml:space="preserve">Métrica reportada</w:t>
            </w:r>
          </w:p>
        </w:tc>
        <w:tc>
          <w:tcPr>
            <w:tcW w:type="dxa" w:w="3138"/>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6"/>
                <w:szCs w:val="16"/>
              </w:rPr>
              <w:t xml:space="preserve">Limitación reportada</w:t>
            </w:r>
          </w:p>
        </w:tc>
        <w:tc>
          <w:tcPr>
            <w:tcW w:type="dxa" w:w="3999"/>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6"/>
                <w:szCs w:val="16"/>
              </w:rPr>
              <w:t xml:space="preserve">Relación con el diseño del proyecto</w:t>
            </w:r>
          </w:p>
        </w:tc>
      </w:tr>
      <w:tr>
        <w:tc>
          <w:tcPr>
            <w:tcW w:type="dxa" w:w="21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5"/>
                <w:szCs w:val="15"/>
              </w:rPr>
              <w:t xml:space="preserve">CatBoost (score de riesgo por solicitud)</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Aliyu et al. (2024) — ad-RACs</w:t>
            </w:r>
          </w:p>
        </w:tc>
        <w:tc>
          <w:tcPr>
            <w:tcW w:type="dxa" w:w="24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Comparación vs. reglas estáticas/ACL</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Recall 100%, Precisión 95%, F1 98%</w:t>
            </w:r>
          </w:p>
        </w:tc>
        <w:tc>
          <w:tcPr>
            <w:tcW w:type="dxa" w:w="31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No se reporta limitación explícita en el resumen relevado</w:t>
            </w:r>
          </w:p>
        </w:tc>
        <w:tc>
          <w:tcPr>
            <w:tcW w:type="dxa" w:w="3999"/>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El proyecto comparte el paradigma de score dinámico por evento, con un modelo distinto (no supervisado) porque no dispone de etiquetas de “acceso autorizado/denegado” como sí tenía este trabajo</w:t>
            </w:r>
          </w:p>
        </w:tc>
      </w:tr>
      <w:tr>
        <w:tc>
          <w:tcPr>
            <w:tcW w:type="dxa" w:w="21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5"/>
                <w:szCs w:val="15"/>
              </w:rPr>
              <w:t xml:space="preserve">LSTM secuencial</w:t>
            </w:r>
          </w:p>
        </w:tc>
        <w:tc>
          <w:tcPr>
            <w:tcW w:type="dxa" w:w="19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Villarreal-Vásquez et al. (2023)</w:t>
            </w:r>
          </w:p>
        </w:tc>
        <w:tc>
          <w:tcPr>
            <w:tcW w:type="dxa" w:w="24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CMU-CERT r4.2</w:t>
            </w:r>
          </w:p>
        </w:tc>
        <w:tc>
          <w:tcPr>
            <w:tcW w:type="dxa" w:w="19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Detección 93%, falsos positivos 4.1%</w:t>
            </w:r>
          </w:p>
        </w:tc>
        <w:tc>
          <w:tcPr>
            <w:tcW w:type="dxa" w:w="31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Cold-start: depende de historial suficiente por usuario, baja el rendimiento en usuarios nuevos</w:t>
            </w:r>
          </w:p>
        </w:tc>
        <w:tc>
          <w:tcPr>
            <w:tcW w:type="dxa" w:w="3999"/>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El proyecto usa LSTM Autoencoder con el mismo problema de cold-start, y lo declara explícitamente vía el estado de cobertura “parcial”/“sin score” en vez de ocultarlo</w:t>
            </w:r>
          </w:p>
        </w:tc>
      </w:tr>
      <w:tr>
        <w:tc>
          <w:tcPr>
            <w:tcW w:type="dxa" w:w="21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5"/>
                <w:szCs w:val="15"/>
              </w:rPr>
              <w:t xml:space="preserve">Graph Neural Networks (GNN)</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Xiao et al. (2023)</w:t>
            </w:r>
          </w:p>
        </w:tc>
        <w:tc>
          <w:tcPr>
            <w:tcW w:type="dxa" w:w="24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CERT r6.2</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F1 +8.3% vs. modelos secuenciales</w:t>
            </w:r>
          </w:p>
        </w:tc>
        <w:tc>
          <w:tcPr>
            <w:tcW w:type="dxa" w:w="31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Alta complejidad de infraestructura para grafos a gran escala</w:t>
            </w:r>
          </w:p>
        </w:tc>
        <w:tc>
          <w:tcPr>
            <w:tcW w:type="dxa" w:w="3999"/>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El proyecto evaluó ese costo de infraestructura como desproporcionado para el alcance de un PFI y priorizó IsolationForest + LSTM por menor costo computacional y viabilidad de ejecución sin infraestructura de grafos dedicada</w:t>
            </w:r>
          </w:p>
        </w:tc>
      </w:tr>
      <w:tr>
        <w:tc>
          <w:tcPr>
            <w:tcW w:type="dxa" w:w="21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5"/>
                <w:szCs w:val="15"/>
              </w:rPr>
              <w:t xml:space="preserve">Clustering no supervisado (K-Means, DBSCAN, OPTICS, GMM)</w:t>
            </w:r>
          </w:p>
        </w:tc>
        <w:tc>
          <w:tcPr>
            <w:tcW w:type="dxa" w:w="19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Artioli et al. (2024)</w:t>
            </w:r>
          </w:p>
        </w:tc>
        <w:tc>
          <w:tcPr>
            <w:tcW w:type="dxa" w:w="24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Datasets reales de actividad de red</w:t>
            </w:r>
          </w:p>
        </w:tc>
        <w:tc>
          <w:tcPr>
            <w:tcW w:type="dxa" w:w="19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Sin un único algoritmo ganador en todos los escenarios</w:t>
            </w:r>
          </w:p>
        </w:tc>
        <w:tc>
          <w:tcPr>
            <w:tcW w:type="dxa" w:w="31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Mayor consumo de recursos en enfoques de densidad; alta diversidad entre perfiles de usuario dificulta líneas base estables</w:t>
            </w:r>
          </w:p>
        </w:tc>
        <w:tc>
          <w:tcPr>
            <w:tcW w:type="dxa" w:w="3999"/>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El proyecto sigue exactamente la conclusión de este trabajo: combina dos técnicas (IsolationForest + LSTM) en vez de apostar a un único algoritmo</w:t>
            </w:r>
          </w:p>
        </w:tc>
      </w:tr>
      <w:tr>
        <w:tc>
          <w:tcPr>
            <w:tcW w:type="dxa" w:w="21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5"/>
                <w:szCs w:val="15"/>
              </w:rPr>
              <w:t xml:space="preserve">Isolation Forest</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Benova &amp; Hudec (2024); Chua et al. (2024)</w:t>
            </w:r>
          </w:p>
        </w:tc>
        <w:tc>
          <w:tcPr>
            <w:tcW w:type="dxa" w:w="24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Logs NGINX / tráfico e-commerce</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Precisión 87% / Accuracy 93%, F1 92%</w:t>
            </w:r>
          </w:p>
        </w:tc>
        <w:tc>
          <w:tcPr>
            <w:tcW w:type="dxa" w:w="31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Falsas alertas ante usuarios con comportamiento legítimo muy variable</w:t>
            </w:r>
          </w:p>
        </w:tc>
        <w:tc>
          <w:tcPr>
            <w:tcW w:type="dxa" w:w="3999"/>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El proyecto mitiga esta limitación reportada combinando IsolationForest (agregado diario) con LSTM (secuencia) + regla de piso + decaimiento temporal, en vez de depender de IsolationForest solo</w:t>
            </w:r>
          </w:p>
        </w:tc>
      </w:tr>
      <w:tr>
        <w:tc>
          <w:tcPr>
            <w:tcW w:type="dxa" w:w="21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5"/>
                <w:szCs w:val="15"/>
              </w:rPr>
              <w:t xml:space="preserve">Revisión sistemática</w:t>
            </w:r>
          </w:p>
        </w:tc>
        <w:tc>
          <w:tcPr>
            <w:tcW w:type="dxa" w:w="19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Landauer et al. (2023)</w:t>
            </w:r>
          </w:p>
        </w:tc>
        <w:tc>
          <w:tcPr>
            <w:tcW w:type="dxa" w:w="24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Múltiples datasets de logs</w:t>
            </w:r>
          </w:p>
        </w:tc>
        <w:tc>
          <w:tcPr>
            <w:tcW w:type="dxa" w:w="19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Concluye que LSTM/Autoencoders dominan para anomalías secuenciales; IsolationForest sigue siendo eficiente en baja latencia</w:t>
            </w:r>
          </w:p>
        </w:tc>
        <w:tc>
          <w:tcPr>
            <w:tcW w:type="dxa" w:w="31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Pocos trabajos enfocados específicamente en comportamiento de usuario (vs. logs de sistema en general)</w:t>
            </w:r>
          </w:p>
        </w:tc>
        <w:tc>
          <w:tcPr>
            <w:tcW w:type="dxa" w:w="3999"/>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5"/>
                <w:szCs w:val="15"/>
              </w:rPr>
              <w:t xml:space="preserve">El proyecto adopta literalmente la combinación que esta revisión identifica como dominante: no es una elección arbitraria de tecnología</w:t>
            </w:r>
          </w:p>
        </w:tc>
      </w:tr>
      <w:tr>
        <w:tc>
          <w:tcPr>
            <w:tcW w:type="dxa" w:w="21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1F3864"/>
                <w:sz w:val="15"/>
                <w:szCs w:val="15"/>
              </w:rPr>
              <w:t xml:space="preserve">IsolationForest + LSTM Autoencoder (híbrido)</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1F3864"/>
                <w:sz w:val="15"/>
                <w:szCs w:val="15"/>
              </w:rPr>
              <w:t xml:space="preserve">Proyecto propuesto</w:t>
            </w:r>
          </w:p>
        </w:tc>
        <w:tc>
          <w:tcPr>
            <w:tcW w:type="dxa" w:w="24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5"/>
                <w:szCs w:val="15"/>
              </w:rPr>
              <w:t xml:space="preserve">CLUE-LDS: ~50M eventos reales anonimizados, 5.000+ usuarios, 5+ años de actividad de producción (Huemer Group)</w:t>
            </w:r>
          </w:p>
        </w:tc>
        <w:tc>
          <w:tcPr>
            <w:tcW w:type="dxa" w:w="19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5"/>
                <w:szCs w:val="15"/>
              </w:rPr>
              <w:t xml:space="preserve">Ver run_regression_test.py — validado contra scores offline documentados</w:t>
            </w:r>
          </w:p>
        </w:tc>
        <w:tc>
          <w:tcPr>
            <w:tcW w:type="dxa" w:w="31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5"/>
                <w:szCs w:val="15"/>
              </w:rPr>
              <w:t xml:space="preserve">Cold-start compartido con el resto de la literatura (declarado, no oculto)</w:t>
            </w:r>
          </w:p>
        </w:tc>
        <w:tc>
          <w:tcPr>
            <w:tcW w:type="dxa" w:w="3999"/>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000000"/>
                <w:sz w:val="15"/>
                <w:szCs w:val="15"/>
              </w:rPr>
              <w:t xml:space="preserve">Síntesis directa de las recomendaciones de Artioli et al. y Landauer et al.: enfoque híbrido, sobre un dataset de producción real en vez de sintético/simulado como buena parte de los trabajos citados</w:t>
            </w:r>
          </w:p>
        </w:tc>
      </w:tr>
    </w:tbl>
    <w:p>
      <w:r>
        <w:br w:type="page"/>
      </w:r>
    </w:p>
    <w:p>
      <w:pPr>
        <w:pStyle w:val="Heading1"/>
        <w:pBdr>
          <w:bottom w:val="single" w:color="2E5FA3" w:sz="8" w:space="4"/>
        </w:pBdr>
        <w:spacing w:after="180" w:before="380"/>
      </w:pPr>
      <w:r>
        <w:rPr>
          <w:b/>
          <w:bCs/>
          <w:color w:val="1F3864"/>
          <w:sz w:val="30"/>
          <w:szCs w:val="30"/>
        </w:rPr>
        <w:t xml:space="preserve">Síntesis de diferenciadores</w:t>
      </w:r>
    </w:p>
    <w:p>
      <w:pPr>
        <w:spacing w:after="160" w:line="276"/>
        <w:jc w:val="both"/>
      </w:pPr>
      <w:r>
        <w:rPr>
          <w:rFonts w:ascii="Calibri" w:cs="Calibri" w:eastAsia="Calibri" w:hAnsi="Calibri"/>
          <w:sz w:val="21"/>
          <w:szCs w:val="21"/>
        </w:rPr>
        <w:t xml:space="preserve">A partir de la propia Conclusión del Estado del Arte de la documentación del proyecto (§7), el argumento central que sostiene esta tabla comparativa es el siguiente:</w:t>
      </w:r>
    </w:p>
    <w:p>
      <w:pPr>
        <w:pStyle w:val="ListParagraph"/>
        <w:numPr>
          <w:ilvl w:val="0"/>
          <w:numId w:val="2"/>
        </w:numPr>
        <w:spacing w:after="130" w:line="276"/>
        <w:jc w:val="both"/>
      </w:pPr>
      <w:r>
        <w:rPr>
          <w:rFonts w:ascii="Calibri" w:cs="Calibri" w:eastAsia="Calibri" w:hAnsi="Calibri"/>
          <w:b/>
          <w:bCs/>
          <w:i w:val="false"/>
          <w:iCs w:val="false"/>
          <w:color w:val="000000"/>
          <w:sz w:val="21"/>
          <w:szCs w:val="21"/>
        </w:rPr>
        <w:t xml:space="preserve">Las herramientas comerciales relevadas operan bajo un enfoque pasivo o reactivo. </w:t>
      </w:r>
      <w:r>
        <w:rPr>
          <w:rFonts w:ascii="Calibri" w:cs="Calibri" w:eastAsia="Calibri" w:hAnsi="Calibri"/>
          <w:b w:val="false"/>
          <w:bCs w:val="false"/>
          <w:i w:val="false"/>
          <w:iCs w:val="false"/>
          <w:color w:val="000000"/>
          <w:sz w:val="21"/>
          <w:szCs w:val="21"/>
        </w:rPr>
        <w:t xml:space="preserve">La telemetría se centraliza en la nube, se procesa, y ante una anomalía la respuesta se delega a una plataforma externa (SOAR) o requiere intervención manual de un administrador. Eso genera una ventana de exposición temporal explotable por un atacante para moverse lateralmente.</w:t>
      </w:r>
    </w:p>
    <w:p>
      <w:pPr>
        <w:pStyle w:val="ListParagraph"/>
        <w:numPr>
          <w:ilvl w:val="0"/>
          <w:numId w:val="2"/>
        </w:numPr>
        <w:spacing w:after="130" w:line="276"/>
        <w:jc w:val="both"/>
      </w:pPr>
      <w:r>
        <w:rPr>
          <w:rFonts w:ascii="Calibri" w:cs="Calibri" w:eastAsia="Calibri" w:hAnsi="Calibri"/>
          <w:b/>
          <w:bCs/>
          <w:i w:val="false"/>
          <w:iCs w:val="false"/>
          <w:color w:val="000000"/>
          <w:sz w:val="21"/>
          <w:szCs w:val="21"/>
        </w:rPr>
        <w:t xml:space="preserve">El proyecto cierra ese ciclo de forma autónoma, </w:t>
      </w:r>
      <w:r>
        <w:rPr>
          <w:rFonts w:ascii="Calibri" w:cs="Calibri" w:eastAsia="Calibri" w:hAnsi="Calibri"/>
          <w:b w:val="false"/>
          <w:bCs w:val="false"/>
          <w:i w:val="false"/>
          <w:iCs w:val="false"/>
          <w:color w:val="000000"/>
          <w:sz w:val="21"/>
          <w:szCs w:val="21"/>
        </w:rPr>
        <w:t xml:space="preserve">desplegando un agente local en el endpoint que actúa como Policy Enforcement Point (PEP), mientras la lógica de decisión se mantiene en la nube como Policy Decision Point (PDP), siguiendo NIST SP 800-207.</w:t>
      </w:r>
    </w:p>
    <w:p>
      <w:pPr>
        <w:pStyle w:val="ListParagraph"/>
        <w:numPr>
          <w:ilvl w:val="0"/>
          <w:numId w:val="2"/>
        </w:numPr>
        <w:spacing w:after="130" w:line="276"/>
        <w:jc w:val="both"/>
      </w:pPr>
      <w:r>
        <w:rPr>
          <w:rFonts w:ascii="Calibri" w:cs="Calibri" w:eastAsia="Calibri" w:hAnsi="Calibri"/>
          <w:b/>
          <w:bCs/>
          <w:i w:val="false"/>
          <w:iCs w:val="false"/>
          <w:color w:val="000000"/>
          <w:sz w:val="21"/>
          <w:szCs w:val="21"/>
        </w:rPr>
        <w:t xml:space="preserve">El agente mantiene conexión con el motor de IA e intercepta la respuesta casi en tiempo real. </w:t>
      </w:r>
      <w:r>
        <w:rPr>
          <w:rFonts w:ascii="Calibri" w:cs="Calibri" w:eastAsia="Calibri" w:hAnsi="Calibri"/>
          <w:b w:val="false"/>
          <w:bCs w:val="false"/>
          <w:i w:val="false"/>
          <w:iCs w:val="false"/>
          <w:color w:val="000000"/>
          <w:sz w:val="21"/>
          <w:szCs w:val="21"/>
        </w:rPr>
        <w:t xml:space="preserve">Ante una desviación conductual inusual durante la sesión activa, el sistema pasa de “monitoreo y alerta” a “respuesta adaptativa”, ejecutando restricciones de permisos o aislamiento del proceso directamente en la máquina del usuario, sin intermediarios y sin depender de un re-login.</w:t>
      </w:r>
    </w:p>
    <w:p>
      <w:pPr>
        <w:pStyle w:val="ListParagraph"/>
        <w:numPr>
          <w:ilvl w:val="0"/>
          <w:numId w:val="2"/>
        </w:numPr>
        <w:spacing w:after="130" w:line="276"/>
        <w:jc w:val="both"/>
      </w:pPr>
      <w:r>
        <w:rPr>
          <w:rFonts w:ascii="Calibri" w:cs="Calibri" w:eastAsia="Calibri" w:hAnsi="Calibri"/>
          <w:b/>
          <w:bCs/>
          <w:i w:val="false"/>
          <w:iCs w:val="false"/>
          <w:color w:val="000000"/>
          <w:sz w:val="21"/>
          <w:szCs w:val="21"/>
        </w:rPr>
        <w:t xml:space="preserve">Ninguna de las cuatro soluciones comerciales relevadas hace esto: </w:t>
      </w:r>
      <w:r>
        <w:rPr>
          <w:rFonts w:ascii="Calibri" w:cs="Calibri" w:eastAsia="Calibri" w:hAnsi="Calibri"/>
          <w:b w:val="false"/>
          <w:bCs w:val="false"/>
          <w:i w:val="false"/>
          <w:iCs w:val="false"/>
          <w:color w:val="000000"/>
          <w:sz w:val="21"/>
          <w:szCs w:val="21"/>
        </w:rPr>
        <w:t xml:space="preserve">Sentinel y Splunk UBA se detienen en detección/priorización; Exabeam automatiza respuesta pero vía orquestación externa, no vía agente propio; Entra ID Protection actúa solo en el momento de autenticación, no durante el uso continuo de recursos.</w:t>
      </w:r>
    </w:p>
    <w:p>
      <w:pPr>
        <w:spacing w:after="200"/>
      </w:pPr>
    </w:p>
    <w:p>
      <w:pPr>
        <w:pStyle w:val="Heading1"/>
        <w:pBdr>
          <w:bottom w:val="single" w:color="2E5FA3" w:sz="8" w:space="4"/>
        </w:pBdr>
        <w:spacing w:after="180" w:before="380"/>
      </w:pPr>
      <w:r>
        <w:rPr>
          <w:b/>
          <w:bCs/>
          <w:color w:val="1F3864"/>
          <w:sz w:val="30"/>
          <w:szCs w:val="30"/>
        </w:rPr>
        <w:t xml:space="preserve">Checklist de cumplimiento contra la rúbrica</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6500"/>
        <w:gridCol w:w="1600"/>
        <w:gridCol w:w="7338"/>
      </w:tblGrid>
      <w:tr>
        <w:trPr>
          <w:tblHeader/>
        </w:trPr>
        <w:tc>
          <w:tcPr>
            <w:tcW w:type="dxa" w:w="65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8"/>
                <w:szCs w:val="18"/>
              </w:rPr>
              <w:t xml:space="preserve">Ítem exigido</w:t>
            </w:r>
          </w:p>
        </w:tc>
        <w:tc>
          <w:tcPr>
            <w:tcW w:type="dxa" w:w="1600"/>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8"/>
                <w:szCs w:val="18"/>
              </w:rPr>
              <w:t xml:space="preserve">¿Cubierto?</w:t>
            </w:r>
          </w:p>
        </w:tc>
        <w:tc>
          <w:tcPr>
            <w:tcW w:type="dxa" w:w="7338"/>
            <w:shd w:fill="1F3864" w:val="clear"/>
            <w:tcMar>
              <w:top w:type="dxa" w:w="90"/>
              <w:left w:type="dxa" w:w="100"/>
              <w:bottom w:type="dxa" w:w="90"/>
              <w:right w:type="dxa" w:w="100"/>
            </w:tcMar>
            <w:vAlign w:val="center"/>
          </w:tcPr>
          <w:p>
            <w:pPr>
              <w:jc w:val="left"/>
            </w:pPr>
            <w:r>
              <w:rPr>
                <w:rFonts w:ascii="Calibri" w:cs="Calibri" w:eastAsia="Calibri" w:hAnsi="Calibri"/>
                <w:b/>
                <w:bCs/>
                <w:color w:val="FFFFFF"/>
                <w:sz w:val="18"/>
                <w:szCs w:val="18"/>
              </w:rPr>
              <w:t xml:space="preserve">Dónde</w:t>
            </w:r>
          </w:p>
        </w:tc>
      </w:tr>
      <w:tr>
        <w:tc>
          <w:tcPr>
            <w:tcW w:type="dxa" w:w="65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7"/>
                <w:szCs w:val="17"/>
              </w:rPr>
              <w:t xml:space="preserve">Alternativas del proyecto planteado</w:t>
            </w:r>
          </w:p>
        </w:tc>
        <w:tc>
          <w:tcPr>
            <w:tcW w:type="dxa" w:w="1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1E7145"/>
                <w:sz w:val="17"/>
                <w:szCs w:val="17"/>
              </w:rPr>
              <w:t xml:space="preserve">✔</w:t>
            </w:r>
          </w:p>
        </w:tc>
        <w:tc>
          <w:tcPr>
            <w:tcW w:type="dxa" w:w="73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7"/>
                <w:szCs w:val="17"/>
              </w:rPr>
              <w:t xml:space="preserve">Tabla 1 (7 alternativas: 4 comerciales, 1 de autenticación adaptativa, 1 académica, el proyecto)</w:t>
            </w:r>
          </w:p>
        </w:tc>
      </w:tr>
      <w:tr>
        <w:tc>
          <w:tcPr>
            <w:tcW w:type="dxa" w:w="65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7"/>
                <w:szCs w:val="17"/>
              </w:rPr>
              <w:t xml:space="preserve">Comparación de funcionalidades</w:t>
            </w:r>
          </w:p>
        </w:tc>
        <w:tc>
          <w:tcPr>
            <w:tcW w:type="dxa" w:w="1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1E7145"/>
                <w:sz w:val="17"/>
                <w:szCs w:val="17"/>
              </w:rPr>
              <w:t xml:space="preserve">✔</w:t>
            </w:r>
          </w:p>
        </w:tc>
        <w:tc>
          <w:tcPr>
            <w:tcW w:type="dxa" w:w="73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7"/>
                <w:szCs w:val="17"/>
              </w:rPr>
              <w:t xml:space="preserve">Tabla 1 (columna “Funcionalidad principal”) + Tabla 2 (matriz de capacidades)</w:t>
            </w:r>
          </w:p>
        </w:tc>
      </w:tr>
      <w:tr>
        <w:tc>
          <w:tcPr>
            <w:tcW w:type="dxa" w:w="65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7"/>
                <w:szCs w:val="17"/>
              </w:rPr>
              <w:t xml:space="preserve">Tecnologías utilizadas</w:t>
            </w:r>
          </w:p>
        </w:tc>
        <w:tc>
          <w:tcPr>
            <w:tcW w:type="dxa" w:w="1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1E7145"/>
                <w:sz w:val="17"/>
                <w:szCs w:val="17"/>
              </w:rPr>
              <w:t xml:space="preserve">✔</w:t>
            </w:r>
          </w:p>
        </w:tc>
        <w:tc>
          <w:tcPr>
            <w:tcW w:type="dxa" w:w="73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7"/>
                <w:szCs w:val="17"/>
              </w:rPr>
              <w:t xml:space="preserve">Tabla 1 (columna “Tecnología/IA”) + Tabla 3 (comparación específica de algoritmos con métricas)</w:t>
            </w:r>
          </w:p>
        </w:tc>
      </w:tr>
      <w:tr>
        <w:tc>
          <w:tcPr>
            <w:tcW w:type="dxa" w:w="65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7"/>
                <w:szCs w:val="17"/>
              </w:rPr>
              <w:t xml:space="preserve">Alcance y diferenciadores</w:t>
            </w:r>
          </w:p>
        </w:tc>
        <w:tc>
          <w:tcPr>
            <w:tcW w:type="dxa" w:w="1600"/>
            <w:shd w:fill="F2F2F2"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1E7145"/>
                <w:sz w:val="17"/>
                <w:szCs w:val="17"/>
              </w:rPr>
              <w:t xml:space="preserve">✔</w:t>
            </w:r>
          </w:p>
        </w:tc>
        <w:tc>
          <w:tcPr>
            <w:tcW w:type="dxa" w:w="7338"/>
            <w:shd w:fill="F2F2F2"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7"/>
                <w:szCs w:val="17"/>
              </w:rPr>
              <w:t xml:space="preserve">Tabla 1 (columnas “Alcance de monitoreo” y “Diferenciador”) + Síntesis de diferenciadores</w:t>
            </w:r>
          </w:p>
        </w:tc>
      </w:tr>
      <w:tr>
        <w:tc>
          <w:tcPr>
            <w:tcW w:type="dxa" w:w="65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7"/>
                <w:szCs w:val="17"/>
              </w:rPr>
              <w:t xml:space="preserve">Demuestra valor diferencial respecto a soluciones existentes</w:t>
            </w:r>
          </w:p>
        </w:tc>
        <w:tc>
          <w:tcPr>
            <w:tcW w:type="dxa" w:w="1600"/>
            <w:shd w:fill="FFFFFF" w:val="clear"/>
            <w:tcMar>
              <w:top w:type="dxa" w:w="90"/>
              <w:left w:type="dxa" w:w="100"/>
              <w:bottom w:type="dxa" w:w="90"/>
              <w:right w:type="dxa" w:w="100"/>
            </w:tcMar>
            <w:vAlign w:val="center"/>
          </w:tcPr>
          <w:p>
            <w:pPr>
              <w:spacing w:after="0" w:line="250"/>
              <w:jc w:val="left"/>
            </w:pPr>
            <w:r>
              <w:rPr>
                <w:rFonts w:ascii="Calibri" w:cs="Calibri" w:eastAsia="Calibri" w:hAnsi="Calibri"/>
                <w:b/>
                <w:bCs/>
                <w:i w:val="false"/>
                <w:iCs w:val="false"/>
                <w:color w:val="1E7145"/>
                <w:sz w:val="17"/>
                <w:szCs w:val="17"/>
              </w:rPr>
              <w:t xml:space="preserve">✔</w:t>
            </w:r>
          </w:p>
        </w:tc>
        <w:tc>
          <w:tcPr>
            <w:tcW w:type="dxa" w:w="7338"/>
            <w:shd w:fill="FFFFFF" w:val="clear"/>
            <w:tcMar>
              <w:top w:type="dxa" w:w="90"/>
              <w:left w:type="dxa" w:w="100"/>
              <w:bottom w:type="dxa" w:w="90"/>
              <w:right w:type="dxa" w:w="100"/>
            </w:tcMar>
            <w:vAlign w:val="center"/>
          </w:tcPr>
          <w:p>
            <w:pPr>
              <w:spacing w:after="0" w:line="250"/>
              <w:jc w:val="left"/>
            </w:pPr>
            <w:r>
              <w:rPr>
                <w:rFonts w:ascii="Calibri" w:cs="Calibri" w:eastAsia="Calibri" w:hAnsi="Calibri"/>
                <w:b w:val="false"/>
                <w:bCs w:val="false"/>
                <w:i w:val="false"/>
                <w:iCs w:val="false"/>
                <w:color w:val="000000"/>
                <w:sz w:val="17"/>
                <w:szCs w:val="17"/>
              </w:rPr>
              <w:t xml:space="preserve">Tabla 2 muestra que ninguna alternativa comercial relevada cubre continuidad + enforcement + explicabilidad a la vez</w:t>
            </w:r>
          </w:p>
        </w:tc>
      </w:tr>
    </w:tbl>
    <w:p>
      <w:pPr>
        <w:spacing w:after="200"/>
      </w:pPr>
    </w:p>
    <w:tbl>
      <w:tblPr>
        <w:tblW w:type="pct" w:w="100%"/>
        <w:tblBorders>
          <w:top w:val="single" w:color="9C2A2A" w:sz="4"/>
          <w:left w:val="single" w:color="9C2A2A" w:sz="16"/>
          <w:bottom w:val="single" w:color="9C2A2A" w:sz="4"/>
          <w:right w:val="single" w:color="9C2A2A" w:sz="4"/>
          <w:insideH w:val="none" w:color="FFFFFF" w:sz="0"/>
          <w:insideV w:val="none" w:color="FFFFFF" w:sz="0"/>
        </w:tblBorders>
      </w:tblPr>
      <w:tblGrid>
        <w:gridCol w:w="100"/>
      </w:tblGrid>
      <w:tr>
        <w:tc>
          <w:tcPr>
            <w:shd w:fill="FCE4E4" w:val="clear"/>
            <w:tcMar>
              <w:top w:type="dxa" w:w="140"/>
              <w:left w:type="dxa" w:w="200"/>
              <w:bottom w:type="dxa" w:w="140"/>
              <w:right w:type="dxa" w:w="200"/>
            </w:tcMar>
          </w:tcPr>
          <w:p>
            <w:pPr>
              <w:spacing w:after="60"/>
            </w:pPr>
            <w:r>
              <w:rPr>
                <w:rFonts w:ascii="Calibri" w:cs="Calibri" w:eastAsia="Calibri" w:hAnsi="Calibri"/>
                <w:b/>
                <w:bCs/>
                <w:color w:val="9C2A2A"/>
                <w:sz w:val="18"/>
                <w:szCs w:val="18"/>
              </w:rPr>
              <w:t xml:space="preserve">NOTA</w:t>
            </w:r>
          </w:p>
          <w:p>
            <w:pPr>
              <w:spacing w:after="0" w:line="276"/>
              <w:jc w:val="both"/>
            </w:pPr>
            <w:r>
              <w:rPr>
                <w:rFonts w:ascii="Calibri" w:cs="Calibri" w:eastAsia="Calibri" w:hAnsi="Calibri"/>
                <w:i/>
                <w:iCs/>
                <w:color w:val="3A3A3A"/>
                <w:sz w:val="20"/>
                <w:szCs w:val="20"/>
              </w:rPr>
              <w:t xml:space="preserve">Todas las filas de las tres tablas están ancladas a contenido que ya está en el propio documento de Estado del Arte del proyecto: no se agregó información sobre los competidores que el relevamiento no haya reunido. Si en algún momento se consigue más detalle sobre alguno de los productos comerciales (por ejemplo, si Sentinel automatiza respuesta vía Logic Apps/SOAR), se puede completar la celda correspondiente, pero se prefirió dejarla en N/D antes que asumir algo que la investigación propia no respalda todavía.</w:t>
            </w:r>
          </w:p>
        </w:tc>
      </w:tr>
    </w:tbl>
    <w:sectPr>
      <w:headerReference w:type="default" r:id="rId7"/>
      <w:footerReference w:type="default" r:id="rId8"/>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Sistema UEBA Zero Trust — Tabla Comparativa · Estado del Arte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style>
  <w:style w:type="paragraph" w:styleId="Heading2">
    <w:name w:val="Heading 2"/>
    <w:basedOn w:val="Normal"/>
    <w:next w:val="Normal"/>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 Comparativa — Estado del Arte del Sistema UEBA Zero Trust</dc:title>
  <dc:creator>Proyecto Final Integrador</dc:creator>
  <cp:lastModifiedBy>Un-named</cp:lastModifiedBy>
  <cp:revision>1</cp:revision>
  <dcterms:created xsi:type="dcterms:W3CDTF">2026-08-02T20:04:38.576Z</dcterms:created>
  <dcterms:modified xsi:type="dcterms:W3CDTF">2026-08-02T20:04:38.576Z</dcterms:modified>
</cp:coreProperties>
</file>

<file path=docProps/custom.xml><?xml version="1.0" encoding="utf-8"?>
<Properties xmlns="http://schemas.openxmlformats.org/officeDocument/2006/custom-properties" xmlns:vt="http://schemas.openxmlformats.org/officeDocument/2006/docPropsVTypes"/>
</file>