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595959"/>
          <w:sz w:val="24"/>
          <w:szCs w:val="24"/>
        </w:rPr>
        <w:t xml:space="preserve">PROYECTO FINAL INTEGRADOR</w:t>
      </w:r>
    </w:p>
    <w:p>
      <w:pPr>
        <w:spacing w:after="300"/>
      </w:pPr>
    </w:p>
    <w:p>
      <w:pPr>
        <w:jc w:val="center"/>
      </w:pPr>
      <w:r>
        <w:rPr>
          <w:rFonts w:ascii="Calibri" w:cs="Calibri" w:eastAsia="Calibri" w:hAnsi="Calibri"/>
          <w:b/>
          <w:bCs/>
          <w:color w:val="1F3864"/>
          <w:sz w:val="56"/>
          <w:szCs w:val="56"/>
        </w:rPr>
        <w:t xml:space="preserve">Tecnologías</w:t>
      </w:r>
    </w:p>
    <w:p>
      <w:pPr>
        <w:spacing w:after="300" w:before="120"/>
        <w:jc w:val="center"/>
      </w:pPr>
      <w:r>
        <w:rPr>
          <w:rFonts w:ascii="Calibri" w:cs="Calibri" w:eastAsia="Calibri" w:hAnsi="Calibri"/>
          <w:b/>
          <w:bCs/>
          <w:color w:val="2E5FA3"/>
          <w:sz w:val="32"/>
          <w:szCs w:val="32"/>
        </w:rPr>
        <w:t xml:space="preserve">Stack Tecnológico — Sistema UEBA Zero Trust</w:t>
      </w:r>
    </w:p>
    <w:p>
      <w:pPr>
        <w:spacing w:after="60" w:before="100"/>
        <w:jc w:val="center"/>
      </w:pPr>
      <w:r>
        <w:rPr>
          <w:rFonts w:ascii="Calibri" w:cs="Calibri" w:eastAsia="Calibri" w:hAnsi="Calibri"/>
          <w:i/>
          <w:iCs/>
          <w:color w:val="595959"/>
          <w:sz w:val="24"/>
          <w:szCs w:val="24"/>
        </w:rPr>
        <w:t xml:space="preserve">Cloud-Native UEBA Security System</w:t>
      </w:r>
    </w:p>
    <w:p>
      <w:pPr>
        <w:spacing w:before="8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Campo</w:t>
            </w:r>
          </w:p>
        </w:tc>
        <w:tc>
          <w:tcPr>
            <w:tcW w:type="dxa" w:w="65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Detalle</w:t>
            </w:r>
          </w:p>
        </w:tc>
      </w:tr>
      <w:tr>
        <w:tc>
          <w:tcPr>
            <w:tcW w:type="dxa" w:w="30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Documento</w:t>
            </w:r>
          </w:p>
        </w:tc>
        <w:tc>
          <w:tcPr>
            <w:tcW w:type="dxa" w:w="65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Análisis Técnico — Justificación del Stack Tecnológico</w:t>
            </w:r>
          </w:p>
        </w:tc>
      </w:tr>
      <w:tr>
        <w:tc>
          <w:tcPr>
            <w:tcW w:type="dxa" w:w="30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Criterio de la cátedra</w:t>
            </w:r>
          </w:p>
        </w:tc>
        <w:tc>
          <w:tcPr>
            <w:tcW w:type="dxa" w:w="65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Tecnologías — Cumple vs. No Cumple</w:t>
            </w:r>
          </w:p>
        </w:tc>
      </w:tr>
      <w:tr>
        <w:tc>
          <w:tcPr>
            <w:tcW w:type="dxa" w:w="30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Alcance del criterio</w:t>
            </w:r>
          </w:p>
        </w:tc>
        <w:tc>
          <w:tcPr>
            <w:tcW w:type="dxa" w:w="65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Lenguajes de programación · Frameworks y librerías · Arquitectura de red · Protocolos de comunicación</w:t>
            </w:r>
          </w:p>
        </w:tc>
      </w:tr>
      <w:tr>
        <w:tc>
          <w:tcPr>
            <w:tcW w:type="dxa" w:w="30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Estado del proyecto</w:t>
            </w:r>
          </w:p>
        </w:tc>
        <w:tc>
          <w:tcPr>
            <w:tcW w:type="dxa" w:w="65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Hito 50% del Proyecto Final Integrador (PFI)</w:t>
            </w:r>
          </w:p>
        </w:tc>
      </w:tr>
      <w:tr>
        <w:tc>
          <w:tcPr>
            <w:tcW w:type="dxa" w:w="30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Fuentes documentales</w:t>
            </w:r>
          </w:p>
        </w:tc>
        <w:tc>
          <w:tcPr>
            <w:tcW w:type="dxa" w:w="65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README.md (raíz del repositorio), docs/README.md (índice de documentación) y los seis documentos de arquitectura del proyecto</w:t>
            </w:r>
          </w:p>
        </w:tc>
      </w:tr>
    </w:tbl>
    <w:p>
      <w:pPr>
        <w:spacing w:before="500"/>
      </w:pPr>
    </w:p>
    <w:tbl>
      <w:tblPr>
        <w:tblW w:type="pct" w:w="100%"/>
        <w:tblBorders>
          <w:top w:val="single" w:color="9C2A2A" w:sz="4"/>
          <w:left w:val="single" w:color="9C2A2A" w:sz="16"/>
          <w:bottom w:val="single" w:color="9C2A2A" w:sz="4"/>
          <w:right w:val="single" w:color="9C2A2A" w:sz="4"/>
          <w:insideH w:val="none" w:color="FFFFFF" w:sz="0"/>
          <w:insideV w:val="none" w:color="FFFFFF" w:sz="0"/>
        </w:tblBorders>
      </w:tblPr>
      <w:tblGrid>
        <w:gridCol w:w="100"/>
      </w:tblGrid>
      <w:tr>
        <w:tc>
          <w:tcPr>
            <w:shd w:fill="FCE4E4" w:val="clear"/>
            <w:tcMar>
              <w:top w:type="dxa" w:w="140"/>
              <w:left w:type="dxa" w:w="200"/>
              <w:bottom w:type="dxa" w:w="140"/>
              <w:right w:type="dxa" w:w="200"/>
            </w:tcMar>
          </w:tcPr>
          <w:p>
            <w:pPr>
              <w:spacing w:after="60"/>
            </w:pPr>
            <w:r>
              <w:rPr>
                <w:rFonts w:ascii="Calibri" w:cs="Calibri" w:eastAsia="Calibri" w:hAnsi="Calibri"/>
                <w:b/>
                <w:bCs/>
                <w:color w:val="9C2A2A"/>
                <w:sz w:val="18"/>
                <w:szCs w:val="18"/>
              </w:rPr>
              <w:t xml:space="preserve">NOTA DE MÉTODO</w:t>
            </w:r>
          </w:p>
          <w:p>
            <w:pPr>
              <w:spacing w:after="0" w:line="276"/>
              <w:jc w:val="both"/>
            </w:pPr>
            <w:r>
              <w:rPr>
                <w:rFonts w:ascii="Calibri" w:cs="Calibri" w:eastAsia="Calibri" w:hAnsi="Calibri"/>
                <w:i/>
                <w:iCs/>
                <w:color w:val="3A3A3A"/>
                <w:sz w:val="20"/>
                <w:szCs w:val="20"/>
              </w:rPr>
              <w:t xml:space="preserve">Convención utilizada en este documento: donde existe evidencia directa en el código o en la documentación del proyecto (una variable de entorno, una decisión ya documentada, un archivo concreto), la justificación se apoya en esa evidencia. Donde la justificación es un razonamiento técnico construido a partir de lo que la tecnología hace y de lo que el sistema necesita — porque no existe una nota explícita del autor explicando el porqué — el texto queda marcado como “(justificación propuesta)”. Estos casos deben revisarse y adaptarse antes de la defensa oral, de modo que puedan sostenerse con criterio propio ante una repregunta del tribunal.</w:t>
            </w:r>
          </w:p>
        </w:tc>
      </w:tr>
    </w:tbl>
    <w:p>
      <w:r>
        <w:br w:type="page"/>
      </w:r>
    </w:p>
    <w:p>
      <w:pPr>
        <w:pStyle w:val="Heading1"/>
        <w:pBdr>
          <w:bottom w:val="single" w:color="2E5FA3" w:sz="8" w:space="4"/>
        </w:pBdr>
        <w:spacing w:after="200" w:before="400"/>
      </w:pPr>
      <w:r>
        <w:rPr>
          <w:b/>
          <w:bCs/>
          <w:color w:val="1F3864"/>
          <w:sz w:val="30"/>
          <w:szCs w:val="30"/>
        </w:rPr>
        <w:t xml:space="preserve">Introducción</w:t>
      </w:r>
    </w:p>
    <w:p>
      <w:pPr>
        <w:spacing w:after="160" w:line="276"/>
        <w:jc w:val="both"/>
      </w:pPr>
      <w:r>
        <w:rPr>
          <w:rFonts w:ascii="Calibri" w:cs="Calibri" w:eastAsia="Calibri" w:hAnsi="Calibri"/>
          <w:sz w:val="21"/>
          <w:szCs w:val="21"/>
        </w:rPr>
        <w:t xml:space="preserve">El presente documento desarrolla y fundamenta el stack tecnológico completo del Sistema UEBA Zero Trust (“Cloud-Native UEBA Security System”), cubriendo los cuatro ejes exigidos por el criterio de evaluación de la cátedra: lenguajes de programación, frameworks y librerías, arquitectura de red y protocolos de comunicación. En cada caso se explicita no solo qué tecnología se utilizó, sino por qué se eligió esa tecnología por sobre alternativas razonables, en función de las necesidades reales del proyecto.</w:t>
      </w:r>
    </w:p>
    <w:p>
      <w:pPr>
        <w:spacing w:after="160" w:line="276"/>
        <w:jc w:val="both"/>
      </w:pPr>
      <w:r>
        <w:rPr>
          <w:rFonts w:ascii="Calibri" w:cs="Calibri" w:eastAsia="Calibri" w:hAnsi="Calibri"/>
          <w:sz w:val="21"/>
          <w:szCs w:val="21"/>
        </w:rPr>
        <w:t xml:space="preserve">El sistema calcula un score híbrido de riesgo por usuario a partir de eventos de comportamiento, mantiene estado operacional en tiempo real, persiste historial diario agregado y expone tanto un dashboard de observación como un agente de aplicación local de mitigaciones (Policy Enforcement Point). Se trata, por lo tanto, de un sistema heterogéneo y distribuido — no de una aplicación monolítica — y las decisiones tecnológicas de cada componente responden a la función específica que ese componente cumple dentro de la arquitectura general del sistema.</w:t>
      </w:r>
    </w:p>
    <w:p>
      <w:pPr>
        <w:spacing w:after="160" w:line="276"/>
        <w:jc w:val="both"/>
      </w:pPr>
      <w:r>
        <w:rPr>
          <w:rFonts w:ascii="Calibri" w:cs="Calibri" w:eastAsia="Calibri" w:hAnsi="Calibri"/>
          <w:sz w:val="21"/>
          <w:szCs w:val="21"/>
        </w:rPr>
        <w:t xml:space="preserve">El proyecto está organizado como un monorepo con seis subsistemas activos: la API de scoring en tiempo real (api/), el agente PEP local (agent/), el dashboard web (frontend/), el pipeline de entrenamiento offline (ml_core/), un conjunto de scripts de demo, replay y validación (scripts/) y la documentación de arquitectura (docs/). Cada uno de estos subsistemas se analiza en las secciones siguientes.</w:t>
      </w:r>
    </w:p>
    <w:p>
      <w:pPr>
        <w:spacing w:after="160" w:line="276"/>
        <w:jc w:val="both"/>
      </w:pPr>
      <w:r>
        <w:rPr>
          <w:rFonts w:ascii="Calibri" w:cs="Calibri" w:eastAsia="Calibri" w:hAnsi="Calibri"/>
          <w:i/>
          <w:iCs/>
          <w:color w:val="9C2A2A"/>
          <w:sz w:val="19"/>
          <w:szCs w:val="19"/>
        </w:rPr>
        <w:t xml:space="preserve">Actualización (relevamiento 12/08/2026): un relevamiento posterior, solo lectura, encontró dos precisiones que se documentan aquí sin alterar las justificaciones ya expuestas: (1) el entorno de desarrollo local (.venv/pyvenv.cfg, .venv-api/pyvenv.cfg) reporta Python 3.12.3, mientras que el runtime declarado y dockerizado (Dockerfile.api, Dockerfile.ml_core) sigue siendo 3.11 — sin sintaxis 3.12-específica detectada que rompa algo, pero es una inconsistencia entre entorno de desarrollo y despliegue que conviene reconocer; (2) TensorFlow está pineado a 2.16.1 en scripts/requirements.txt pero sin versión fijada en api/requirements.txt, donde la API que sirve el modelo en producción/demo corre sin pin — riesgo de drift entre el TensorFlow usado para entrenar/validar y el usado para inferir. Ver Apéndice al final del documento para el detalle completo de versiones relevadas.</w:t>
      </w:r>
    </w:p>
    <w:p>
      <w:pPr>
        <w:pStyle w:val="Heading1"/>
        <w:pBdr>
          <w:bottom w:val="single" w:color="2E5FA3" w:sz="8" w:space="4"/>
        </w:pBdr>
        <w:spacing w:after="200" w:before="400"/>
      </w:pPr>
      <w:r>
        <w:rPr>
          <w:b/>
          <w:bCs/>
          <w:color w:val="1F3864"/>
          <w:sz w:val="30"/>
          <w:szCs w:val="30"/>
        </w:rPr>
        <w:t xml:space="preserve">1. Lenguajes de programación</w:t>
      </w:r>
    </w:p>
    <w:p>
      <w:pPr>
        <w:spacing w:after="160" w:line="276"/>
        <w:jc w:val="both"/>
      </w:pPr>
      <w:r>
        <w:rPr>
          <w:rFonts w:ascii="Calibri" w:cs="Calibri" w:eastAsia="Calibri" w:hAnsi="Calibri"/>
          <w:sz w:val="21"/>
          <w:szCs w:val="21"/>
        </w:rPr>
        <w:t xml:space="preserve">La elección de lenguajes del proyecto no es uniforme: cada componente utiliza el lenguaje que mejor se ajusta a su función y a su entorno de ejecución. La tabla siguiente resume dónde se usa cada lenguaje y por qué.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500"/>
      </w:tblGrid>
      <w:tr>
        <w:trPr>
          <w:tblHeader/>
        </w:trPr>
        <w:tc>
          <w:tcPr>
            <w:tcW w:type="dxa" w:w="16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Lenguaje</w:t>
            </w:r>
          </w:p>
        </w:tc>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Dónde se usa</w:t>
            </w:r>
          </w:p>
        </w:tc>
        <w:tc>
          <w:tcPr>
            <w:tcW w:type="dxa" w:w="55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Justificación</w:t>
            </w:r>
          </w:p>
        </w:tc>
      </w:tr>
      <w:tr>
        <w:tc>
          <w:tcPr>
            <w:tcW w:type="dxa" w:w="16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Python 3.11</w:t>
            </w:r>
          </w:p>
        </w:tc>
        <w:tc>
          <w:tcPr>
            <w:tcW w:type="dxa" w:w="24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API de scoring (api/), agente (agent/), pipeline offline (ml_core/, scripts/)</w:t>
            </w:r>
          </w:p>
        </w:tc>
        <w:tc>
          <w:tcPr>
            <w:tcW w:type="dxa" w:w="55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Es el lenguaje que sostiene todo el pipeline de datos y modelado (notebooks Fase 1 a Fase 6, scikit-learn, TensorFlow). Usar el mismo lenguaje en el pipeline offline y en la API de producción no es una preferencia estética: </w:t>
            </w:r>
            <w:r>
              <w:rPr>
                <w:rFonts w:ascii="Calibri" w:cs="Calibri" w:eastAsia="Calibri" w:hAnsi="Calibri"/>
                <w:b/>
                <w:bCs/>
                <w:i w:val="false"/>
                <w:iCs w:val="false"/>
                <w:color w:val="000000"/>
                <w:sz w:val="19"/>
                <w:szCs w:val="19"/>
              </w:rPr>
              <w:t xml:space="preserve">es lo que permite reusar código real sin duplicar fórmulas</w:t>
            </w:r>
            <w:r>
              <w:rPr>
                <w:rFonts w:ascii="Calibri" w:cs="Calibri" w:eastAsia="Calibri" w:hAnsi="Calibri"/>
                <w:b w:val="false"/>
                <w:bCs w:val="false"/>
                <w:i w:val="false"/>
                <w:iCs w:val="false"/>
                <w:color w:val="000000"/>
                <w:sz w:val="19"/>
                <w:szCs w:val="19"/>
              </w:rPr>
              <w:t xml:space="preserve"> — api/app/scoring/artifacts.py inserta scripts/ en el sys.path para importar directamente _score_common.py y _audit_common.py, evitando reimplementar en otro lenguaje la matemática del score híbrido ya validada en los notebooks. Esa dependencia cruzada solo es viable si ambos lados hablan el mismo lenguaje.</w:t>
            </w:r>
          </w:p>
        </w:tc>
      </w:tr>
      <w:tr>
        <w:tc>
          <w:tcPr>
            <w:tcW w:type="dxa" w:w="16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TypeScript</w:t>
            </w:r>
          </w:p>
        </w:tc>
        <w:tc>
          <w:tcPr>
            <w:tcW w:type="dxa" w:w="24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Dashboard (frontend/)</w:t>
            </w:r>
          </w:p>
        </w:tc>
        <w:tc>
          <w:tcPr>
            <w:tcW w:type="dxa" w:w="55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El frontend consume contratos de datos con forma no trivial (EventoScoreOut, UmbralesConfig, AccionesConfig, ReentrenamientoConfig) y escribe configuración que gobierna en vivo el enforcement del agente (umbrales, mapeo nivel → acción). Un error de forma en ese flujo no es cosmético: puede terminar en que el agente reciba un accion_id mal formado. TypeScript combinado con validación en runtime mediante zod (schema.parse() en cada respuesta HTTP) da una doble red de seguridad — tipado en compilación y validación en ejecución — que JavaScript puro no ofrece.</w:t>
            </w:r>
          </w:p>
        </w:tc>
      </w:tr>
      <w:tr>
        <w:tc>
          <w:tcPr>
            <w:tcW w:type="dxa" w:w="16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PowerShell</w:t>
            </w:r>
          </w:p>
        </w:tc>
        <w:tc>
          <w:tcPr>
            <w:tcW w:type="dxa" w:w="24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scripts/install_agent_task.ps1 y uninstall_agent_task.ps1</w:t>
            </w:r>
          </w:p>
        </w:tc>
        <w:tc>
          <w:tcPr>
            <w:tcW w:type="dxa" w:w="55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Es el lenguaje nativo de automatización de Windows (schtasks). El agente PEP es exclusivamente Windows por diseño (necesita icacls para ACLs de carpeta y psutil / la API de Windows para terminar procesos), por lo que registrar su arranque automático mediante la herramienta nativa del propio sistema operativo es la opción consistente, en vez de introducir un tercer lenguaje de automatización genérico.</w:t>
            </w:r>
          </w:p>
        </w:tc>
      </w:tr>
    </w:tbl>
    <w:p>
      <w:pPr>
        <w:spacing w:after="120"/>
      </w:pPr>
    </w:p>
    <w:p>
      <w:pPr>
        <w:pStyle w:val="Heading3"/>
        <w:spacing w:after="120" w:before="240"/>
      </w:pPr>
      <w:r>
        <w:rPr>
          <w:b/>
          <w:bCs/>
          <w:i/>
          <w:iCs/>
          <w:color w:val="1F3864"/>
          <w:sz w:val="22"/>
          <w:szCs w:val="22"/>
        </w:rPr>
        <w:t xml:space="preserve">Alternativas consideradas y descartadas (justificación propuesta)</w:t>
      </w:r>
    </w:p>
    <w:p>
      <w:pPr>
        <w:pStyle w:val="ListParagraph"/>
        <w:numPr>
          <w:ilvl w:val="0"/>
          <w:numId w:val="2"/>
        </w:numPr>
        <w:spacing w:after="120" w:line="276"/>
        <w:jc w:val="both"/>
      </w:pPr>
      <w:r>
        <w:rPr>
          <w:rFonts w:ascii="Calibri" w:cs="Calibri" w:eastAsia="Calibri" w:hAnsi="Calibri"/>
          <w:b/>
          <w:bCs/>
          <w:i w:val="false"/>
          <w:iCs w:val="false"/>
          <w:color w:val="000000"/>
          <w:sz w:val="21"/>
          <w:szCs w:val="21"/>
        </w:rPr>
        <w:t xml:space="preserve">Backend 100% en Node.js/TypeScript </w:t>
      </w:r>
      <w:r>
        <w:rPr>
          <w:rFonts w:ascii="Calibri" w:cs="Calibri" w:eastAsia="Calibri" w:hAnsi="Calibri"/>
          <w:b w:val="false"/>
          <w:bCs w:val="false"/>
          <w:i w:val="false"/>
          <w:iCs w:val="false"/>
          <w:color w:val="000000"/>
          <w:sz w:val="21"/>
          <w:szCs w:val="21"/>
        </w:rPr>
        <w:t xml:space="preserve">(unificar todo el stack en un solo lenguaje): se descartó porque el ecosistema de machine learning en JavaScript es sustancialmente más débil que en Python para IsolationForest y autoencoders LSTM. Igual habría hecho falta un servicio Python aparte para el scoring, lo que hubiera sumado la complejidad de dos lenguajes más la de comunicar dos servicios adicionales, sin ganar nada a cambio.</w:t>
      </w:r>
    </w:p>
    <w:p>
      <w:pPr>
        <w:pStyle w:val="ListParagraph"/>
        <w:numPr>
          <w:ilvl w:val="0"/>
          <w:numId w:val="2"/>
        </w:numPr>
        <w:spacing w:after="120" w:line="276"/>
        <w:jc w:val="both"/>
      </w:pPr>
      <w:r>
        <w:rPr>
          <w:rFonts w:ascii="Calibri" w:cs="Calibri" w:eastAsia="Calibri" w:hAnsi="Calibri"/>
          <w:b/>
          <w:bCs/>
          <w:i w:val="false"/>
          <w:iCs w:val="false"/>
          <w:color w:val="000000"/>
          <w:sz w:val="21"/>
          <w:szCs w:val="21"/>
        </w:rPr>
        <w:t xml:space="preserve">Java / Spring Boot para la API: </w:t>
      </w:r>
      <w:r>
        <w:rPr>
          <w:rFonts w:ascii="Calibri" w:cs="Calibri" w:eastAsia="Calibri" w:hAnsi="Calibri"/>
          <w:b w:val="false"/>
          <w:bCs w:val="false"/>
          <w:i w:val="false"/>
          <w:iCs w:val="false"/>
          <w:color w:val="000000"/>
          <w:sz w:val="21"/>
          <w:szCs w:val="21"/>
        </w:rPr>
        <w:t xml:space="preserve">descartado por el mayor costo de desarrollo (boilerplate, tiempos de compilación, curva de configuración) frente al tiempo acotado de un PFI, sin que el volumen de tráfico del proyecto justifique las ventajas de rendimiento de la JVM en este caso.</w:t>
      </w:r>
    </w:p>
    <w:p>
      <w:pPr>
        <w:pStyle w:val="Heading1"/>
        <w:pBdr>
          <w:bottom w:val="single" w:color="2E5FA3" w:sz="8" w:space="4"/>
        </w:pBdr>
        <w:spacing w:after="200" w:before="400"/>
      </w:pPr>
      <w:r>
        <w:rPr>
          <w:b/>
          <w:bCs/>
          <w:color w:val="1F3864"/>
          <w:sz w:val="30"/>
          <w:szCs w:val="30"/>
        </w:rPr>
        <w:t xml:space="preserve">2. Frameworks y librerías</w:t>
      </w:r>
    </w:p>
    <w:p>
      <w:pPr>
        <w:spacing w:after="160" w:line="276"/>
        <w:jc w:val="both"/>
      </w:pPr>
      <w:r>
        <w:rPr>
          <w:rFonts w:ascii="Calibri" w:cs="Calibri" w:eastAsia="Calibri" w:hAnsi="Calibri"/>
          <w:sz w:val="21"/>
          <w:szCs w:val="21"/>
        </w:rPr>
        <w:t xml:space="preserve">Se detallan a continuación los frameworks y librerías utilizados en cada subsistema, agrupados según su función dentro del proyecto: la API de scoring, el agente PEP, el frontend y el pipeline de entrenamiento offline.</w:t>
      </w:r>
    </w:p>
    <w:p>
      <w:pPr>
        <w:pStyle w:val="Heading2"/>
        <w:spacing w:after="160" w:before="320"/>
      </w:pPr>
      <w:r>
        <w:rPr>
          <w:b/>
          <w:bCs/>
          <w:color w:val="2E5FA3"/>
          <w:sz w:val="24"/>
          <w:szCs w:val="24"/>
        </w:rPr>
        <w:t xml:space="preserve">2.1 API de Scoring (api/)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Tecnología</w:t>
            </w:r>
          </w:p>
        </w:tc>
        <w:tc>
          <w:tcPr>
            <w:tcW w:type="dxa" w:w="73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Justificación</w:t>
            </w:r>
          </w:p>
        </w:tc>
      </w:tr>
      <w:tr>
        <w:tc>
          <w:tcPr>
            <w:tcW w:type="dxa" w:w="2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FastAPI</w:t>
            </w:r>
          </w:p>
        </w:tc>
        <w:tc>
          <w:tcPr>
            <w:tcW w:type="dxa" w:w="73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Soporte async nativo, necesario porque cada evento dispara I/O hacia Redis y, al cerrar el día, hacia Postgres, sin bloquear el resto de las requests concurrentes. Ofrece además validación automática de entrada/salida vía Pydantic y generación gratuita de documentación OpenAPI, útil para una API con 11 endpoints documentados formalmente. </w:t>
            </w:r>
            <w:r>
              <w:rPr>
                <w:rFonts w:ascii="Calibri" w:cs="Calibri" w:eastAsia="Calibri" w:hAnsi="Calibri"/>
                <w:b w:val="false"/>
                <w:bCs w:val="false"/>
                <w:i/>
                <w:iCs/>
                <w:color w:val="595959"/>
                <w:sz w:val="19"/>
                <w:szCs w:val="19"/>
              </w:rPr>
              <w:t xml:space="preserve">(Justificación propuesta)</w:t>
            </w:r>
            <w:r>
              <w:rPr>
                <w:rFonts w:ascii="Calibri" w:cs="Calibri" w:eastAsia="Calibri" w:hAnsi="Calibri"/>
                <w:b w:val="false"/>
                <w:bCs w:val="false"/>
                <w:i w:val="false"/>
                <w:iCs w:val="false"/>
                <w:color w:val="000000"/>
                <w:sz w:val="19"/>
                <w:szCs w:val="19"/>
              </w:rPr>
              <w:t xml:space="preserve"> frente a Flask: Flask no tiene async nativo ni validación de esquemas integrada; habría que sumar extensiones para llegar al mismo punto.</w:t>
            </w:r>
          </w:p>
        </w:tc>
      </w:tr>
      <w:tr>
        <w:tc>
          <w:tcPr>
            <w:tcW w:type="dxa" w:w="2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Uvicorn</w:t>
            </w:r>
          </w:p>
        </w:tc>
        <w:tc>
          <w:tcPr>
            <w:tcW w:type="dxa" w:w="73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Servidor ASGI de referencia para FastAPI; requerido porque FastAPI está construido sobre Starlette/ASGI, no sobre WSGI.</w:t>
            </w:r>
          </w:p>
        </w:tc>
      </w:tr>
      <w:tr>
        <w:tc>
          <w:tcPr>
            <w:tcW w:type="dxa" w:w="2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Pydantic v2</w:t>
            </w:r>
          </w:p>
        </w:tc>
        <w:tc>
          <w:tcPr>
            <w:tcW w:type="dxa" w:w="73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Define los contratos de datos (EventoIn, EventoScoreOut, UmbralesConfig, AccionesConfig, ReentrenamientoConfig) que cruzan el límite entre agente, API y dashboard. Un payload mal formado se rechaza automáticamente con código 422, sin necesidad de código de validación manual.</w:t>
            </w:r>
          </w:p>
        </w:tc>
      </w:tr>
      <w:tr>
        <w:tc>
          <w:tcPr>
            <w:tcW w:type="dxa" w:w="2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SQLAlchemy + psycopg2-binary</w:t>
            </w:r>
          </w:p>
        </w:tc>
        <w:tc>
          <w:tcPr>
            <w:tcW w:type="dxa" w:w="73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Acceso a Postgres/Supabase para el historial de días cerrados (historial_scores). SQLAlchemy abstrae el dialecto SQL concreto, lo que permite tratar Supabase como un Postgres estándar sin código específico del proveedor. El pool de conexiones está ajustado a un volumen bajo de escrituras (pool_size=2, max_overflow=3), coherente con que la escritura solo ocurre al cerrar un día calendario, no por cada evento.</w:t>
            </w:r>
          </w:p>
        </w:tc>
      </w:tr>
      <w:tr>
        <w:tc>
          <w:tcPr>
            <w:tcW w:type="dxa" w:w="2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redis-py</w:t>
            </w:r>
          </w:p>
        </w:tc>
        <w:tc>
          <w:tcPr>
            <w:tcW w:type="dxa" w:w="73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Cliente de Redis para el estado en caliente por usuario. Se eligió Redis sobre “todo en Postgres” porque el hot path (una escritura de estado por cada evento recibido, potencialmente cientos por usuario y por día) es un patrón de lectura/escritura de baja latencia y alta frecuencia, distinto del historial agregado (una escritura por usuario y por día). Concentrar ambos patrones en la misma base relacional habría sobrecargado una base pensada para consultas transaccionales, no para actualizaciones de estado de alta frecuencia. Redis permite además concurrencia optimista nativa (WATCH/MULTI/EXEC), que redis_state.py utiliza para reintentar hasta 5 veces ante colisiones de escritura concurrente.</w:t>
            </w:r>
          </w:p>
        </w:tc>
      </w:tr>
      <w:tr>
        <w:tc>
          <w:tcPr>
            <w:tcW w:type="dxa" w:w="2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scikit-learn (IsolationForest)</w:t>
            </w:r>
          </w:p>
        </w:tc>
        <w:tc>
          <w:tcPr>
            <w:tcW w:type="dxa" w:w="73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Implementación madura y bien documentada de detección de anomalías no supervisada sobre el agregado diario de actividad. Se eligió sobre alternativas más recientes (autoencoders tabulares, one-class SVM) porque </w:t>
            </w:r>
            <w:r>
              <w:rPr>
                <w:rFonts w:ascii="Calibri" w:cs="Calibri" w:eastAsia="Calibri" w:hAnsi="Calibri"/>
                <w:b w:val="false"/>
                <w:bCs w:val="false"/>
                <w:i/>
                <w:iCs/>
                <w:color w:val="595959"/>
                <w:sz w:val="19"/>
                <w:szCs w:val="19"/>
              </w:rPr>
              <w:t xml:space="preserve">(justificación propuesta)</w:t>
            </w:r>
            <w:r>
              <w:rPr>
                <w:rFonts w:ascii="Calibri" w:cs="Calibri" w:eastAsia="Calibri" w:hAnsi="Calibri"/>
                <w:b w:val="false"/>
                <w:bCs w:val="false"/>
                <w:i w:val="false"/>
                <w:iCs w:val="false"/>
                <w:color w:val="000000"/>
                <w:sz w:val="19"/>
                <w:szCs w:val="19"/>
              </w:rPr>
              <w:t xml:space="preserve"> es computacionalmente liviano, no requiere ajustar una arquitectura de red neuronal para datos tabulares agregados, y da una salida interpretable (decision_function) que luego se usa para la explicabilidad del score.</w:t>
            </w:r>
          </w:p>
        </w:tc>
      </w:tr>
      <w:tr>
        <w:tc>
          <w:tcPr>
            <w:tcW w:type="dxa" w:w="2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TensorFlow / Keras (LSTM Autoencoder)</w:t>
            </w:r>
          </w:p>
        </w:tc>
        <w:tc>
          <w:tcPr>
            <w:tcW w:type="dxa" w:w="73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Necesario porque IsolationForest trabaja sobre un vector agregado diario y no captura el orden de los eventos dentro de una sesión. El LSTM Autoencoder sí modela dependencias secuenciales (ventanas de 50 eventos consecutivos), que es exactamente el tipo de anomalía que un agregado diario diluye — por ejemplo, la secuencia atípica “abrir carpeta protegida → comprimir → conectar a servicio externo” en un orden y ritmo inusual, aunque el volumen total del día no sea anómalo. </w:t>
            </w:r>
            <w:r>
              <w:rPr>
                <w:rFonts w:ascii="Calibri" w:cs="Calibri" w:eastAsia="Calibri" w:hAnsi="Calibri"/>
                <w:b w:val="false"/>
                <w:bCs w:val="false"/>
                <w:i/>
                <w:iCs/>
                <w:color w:val="595959"/>
                <w:sz w:val="19"/>
                <w:szCs w:val="19"/>
              </w:rPr>
              <w:t xml:space="preserve">(Justificación propuesta)</w:t>
            </w:r>
            <w:r>
              <w:rPr>
                <w:rFonts w:ascii="Calibri" w:cs="Calibri" w:eastAsia="Calibri" w:hAnsi="Calibri"/>
                <w:b w:val="false"/>
                <w:bCs w:val="false"/>
                <w:i w:val="false"/>
                <w:iCs w:val="false"/>
                <w:color w:val="000000"/>
                <w:sz w:val="19"/>
                <w:szCs w:val="19"/>
              </w:rPr>
              <w:t xml:space="preserve"> frente a PyTorch: Keras da una API de alto nivel suficiente para un autoencoder LSTM estándar sin necesidad de escribir el loop de entrenamiento a mano, lo cual reduce la superficie de error en un componente que ya es el más costoso de mantener del pipeline.</w:t>
            </w:r>
          </w:p>
        </w:tc>
      </w:tr>
      <w:tr>
        <w:tc>
          <w:tcPr>
            <w:tcW w:type="dxa" w:w="2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pandas, numpy, scipy, joblib</w:t>
            </w:r>
          </w:p>
        </w:tc>
        <w:tc>
          <w:tcPr>
            <w:tcW w:type="dxa" w:w="73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Manipulación tabular y numérica en los notebooks de las fases 1 a 6, y joblib específicamente para serializar/deserializar el IsolationForest entrenado (isolation_forest.joblib) de forma eficiente.</w:t>
            </w:r>
          </w:p>
        </w:tc>
      </w:tr>
    </w:tbl>
    <w:p>
      <w:pPr>
        <w:spacing w:after="120"/>
      </w:pPr>
    </w:p>
    <w:p>
      <w:pPr>
        <w:pStyle w:val="Heading2"/>
        <w:spacing w:after="160" w:before="320"/>
      </w:pPr>
      <w:r>
        <w:rPr>
          <w:b/>
          <w:bCs/>
          <w:color w:val="2E5FA3"/>
          <w:sz w:val="24"/>
          <w:szCs w:val="24"/>
        </w:rPr>
        <w:t xml:space="preserve">2.2 Agente (agent/)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Tecnología</w:t>
            </w:r>
          </w:p>
        </w:tc>
        <w:tc>
          <w:tcPr>
            <w:tcW w:type="dxa" w:w="73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Justificación</w:t>
            </w:r>
          </w:p>
        </w:tc>
      </w:tr>
      <w:tr>
        <w:tc>
          <w:tcPr>
            <w:tcW w:type="dxa" w:w="2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requests</w:t>
            </w:r>
          </w:p>
        </w:tc>
        <w:tc>
          <w:tcPr>
            <w:tcW w:type="dxa" w:w="73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Cliente HTTP mínimo para ScoringClient (POST /eventos). Se prefirió sobre httpx/aiohttp porque el agente no necesita concurrencia asíncrona real — es un loop de sondeo secuencial (while True: poll → post → sleep) — y requests es la opción más liviana y estable para ese patrón síncrono.</w:t>
            </w:r>
          </w:p>
        </w:tc>
      </w:tr>
      <w:tr>
        <w:tc>
          <w:tcPr>
            <w:tcW w:type="dxa" w:w="2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psutil</w:t>
            </w:r>
          </w:p>
        </w:tc>
        <w:tc>
          <w:tcPr>
            <w:tcW w:type="dxa" w:w="73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Única forma multiplataforma madura de enumerar procesos y conexiones de red desde Python sin llamar directo a la API de Windows. Es deliberadamente la única dependencia no-stdlib además de requests (agent/requirements.txt tiene solo dos líneas): el agente corre en el endpoint del usuario final, así que minimizar dependencias reduce la superficie de ataque y el footprint del proceso que se ejecuta en segundo plano todo el día.</w:t>
            </w:r>
          </w:p>
        </w:tc>
      </w:tr>
    </w:tbl>
    <w:p>
      <w:pPr>
        <w:spacing w:after="120"/>
      </w:pPr>
    </w:p>
    <w:p>
      <w:pPr>
        <w:pStyle w:val="Heading2"/>
        <w:spacing w:after="160" w:before="320"/>
      </w:pPr>
      <w:r>
        <w:rPr>
          <w:b/>
          <w:bCs/>
          <w:color w:val="2E5FA3"/>
          <w:sz w:val="24"/>
          <w:szCs w:val="24"/>
        </w:rPr>
        <w:t xml:space="preserve">2.3 Frontend (frontend/)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Tecnología</w:t>
            </w:r>
          </w:p>
        </w:tc>
        <w:tc>
          <w:tcPr>
            <w:tcW w:type="dxa" w:w="73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Justificación</w:t>
            </w:r>
          </w:p>
        </w:tc>
      </w:tr>
      <w:tr>
        <w:tc>
          <w:tcPr>
            <w:tcW w:type="dxa" w:w="2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React 19</w:t>
            </w:r>
          </w:p>
        </w:tc>
        <w:tc>
          <w:tcPr>
            <w:tcW w:type="dxa" w:w="73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Modelo de componentes reutilizables adecuado para un dashboard con piezas repetidas entre vistas (RiskBadge, CoverageBadge, LoadingState, ErrorState se reutilizan en las cinco páginas del sistema).</w:t>
            </w:r>
          </w:p>
        </w:tc>
      </w:tr>
      <w:tr>
        <w:tc>
          <w:tcPr>
            <w:tcW w:type="dxa" w:w="2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Vite</w:t>
            </w:r>
          </w:p>
        </w:tc>
        <w:tc>
          <w:tcPr>
            <w:tcW w:type="dxa" w:w="73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Tiempos de arranque y hot module reload sensiblemente más rápidos que Create React App/Webpack para un proyecto de este tamaño, algo relevante en el ciclo de desarrollo acotado de una tesis.</w:t>
            </w:r>
          </w:p>
        </w:tc>
      </w:tr>
      <w:tr>
        <w:tc>
          <w:tcPr>
            <w:tcW w:type="dxa" w:w="2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TypeScript + zod</w:t>
            </w:r>
          </w:p>
        </w:tc>
        <w:tc>
          <w:tcPr>
            <w:tcW w:type="dxa" w:w="73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Ver justificación detallada en la sección de lenguajes: doble validación entre compilación y runtime.</w:t>
            </w:r>
          </w:p>
        </w:tc>
      </w:tr>
      <w:tr>
        <w:tc>
          <w:tcPr>
            <w:tcW w:type="dxa" w:w="2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TanStack Query v5</w:t>
            </w:r>
          </w:p>
        </w:tc>
        <w:tc>
          <w:tcPr>
            <w:tcW w:type="dxa" w:w="73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Maneja cacheo, revalidación y polling (cada 7 segundos) de los datos remotos sin necesidad de escribir a mano la lógica de refetch, estado de carga y error para cada una de las 7 consultas del dashboard. Es también lo que permite el patrón useMutation con setQueryData para reflejar al instante en la interfaz un cambio de umbrales recién guardado, sin esperar al próximo ciclo de polling.</w:t>
            </w:r>
          </w:p>
        </w:tc>
      </w:tr>
      <w:tr>
        <w:tc>
          <w:tcPr>
            <w:tcW w:type="dxa" w:w="2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React Router v7</w:t>
            </w:r>
          </w:p>
        </w:tc>
        <w:tc>
          <w:tcPr>
            <w:tcW w:type="dxa" w:w="73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Enrutamiento estándar de SPA para las 5 vistas del dashboard: listado de usuarios, detalle de usuario, historial, umbrales y salud del sistema.</w:t>
            </w:r>
          </w:p>
        </w:tc>
      </w:tr>
      <w:tr>
        <w:tc>
          <w:tcPr>
            <w:tcW w:type="dxa" w:w="2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Recharts</w:t>
            </w:r>
          </w:p>
        </w:tc>
        <w:tc>
          <w:tcPr>
            <w:tcW w:type="dxa" w:w="73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Gráfico de evolución de riesgo (RiskTimeline): librería declarativa que se integra de forma natural con el modelo de componentes de React, evitando manipular un canvas o SVG a mano para un gráfico de líneas simple.</w:t>
            </w:r>
          </w:p>
        </w:tc>
      </w:tr>
      <w:tr>
        <w:tc>
          <w:tcPr>
            <w:tcW w:type="dxa" w:w="2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Tailwind CSS 4</w:t>
            </w:r>
          </w:p>
        </w:tc>
        <w:tc>
          <w:tcPr>
            <w:tcW w:type="dxa" w:w="73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Sistema de utilidades para implementar el tema claro/oscuro (data-theme) mediante custom properties, sin mantener hojas de estilo separadas por tema.</w:t>
            </w:r>
          </w:p>
        </w:tc>
      </w:tr>
      <w:tr>
        <w:tc>
          <w:tcPr>
            <w:tcW w:type="dxa" w:w="2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Oxlint</w:t>
            </w:r>
          </w:p>
        </w:tc>
        <w:tc>
          <w:tcPr>
            <w:tcW w:type="dxa" w:w="73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Linter escrito en Rust, sensiblemente más rápido que ESLint tradicional. </w:t>
            </w:r>
            <w:r>
              <w:rPr>
                <w:rFonts w:ascii="Calibri" w:cs="Calibri" w:eastAsia="Calibri" w:hAnsi="Calibri"/>
                <w:b w:val="false"/>
                <w:bCs w:val="false"/>
                <w:i/>
                <w:iCs/>
                <w:color w:val="595959"/>
                <w:sz w:val="19"/>
                <w:szCs w:val="19"/>
              </w:rPr>
              <w:t xml:space="preserve">(Justificación propuesta)</w:t>
            </w:r>
            <w:r>
              <w:rPr>
                <w:rFonts w:ascii="Calibri" w:cs="Calibri" w:eastAsia="Calibri" w:hAnsi="Calibri"/>
                <w:b w:val="false"/>
                <w:bCs w:val="false"/>
                <w:i w:val="false"/>
                <w:iCs w:val="false"/>
                <w:color w:val="000000"/>
                <w:sz w:val="19"/>
                <w:szCs w:val="19"/>
              </w:rPr>
              <w:t xml:space="preserve">: una elección razonable de costo/beneficio para un proyecto con tiempo de desarrollo limitado, aunque la configuración quedó en el default de la plantilla de Vite, sin personalizar reglas propias del proyecto.</w:t>
            </w:r>
          </w:p>
        </w:tc>
      </w:tr>
    </w:tbl>
    <w:p>
      <w:pPr>
        <w:spacing w:after="120"/>
      </w:pPr>
    </w:p>
    <w:p>
      <w:pPr>
        <w:pStyle w:val="Heading2"/>
        <w:spacing w:after="160" w:before="320"/>
      </w:pPr>
      <w:r>
        <w:rPr>
          <w:b/>
          <w:bCs/>
          <w:color w:val="2E5FA3"/>
          <w:sz w:val="24"/>
          <w:szCs w:val="24"/>
        </w:rPr>
        <w:t xml:space="preserve">2.4 Pipeline offline (ml_core/, scripts/)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Tecnología</w:t>
            </w:r>
          </w:p>
        </w:tc>
        <w:tc>
          <w:tcPr>
            <w:tcW w:type="dxa" w:w="73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Justificación</w:t>
            </w:r>
          </w:p>
        </w:tc>
      </w:tr>
      <w:tr>
        <w:tc>
          <w:tcPr>
            <w:tcW w:type="dxa" w:w="2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DuckDB</w:t>
            </w:r>
          </w:p>
        </w:tc>
        <w:tc>
          <w:tcPr>
            <w:tcW w:type="dxa" w:w="73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Motor analítico embebido que ejecuta consultas tipo SQL sobre data/clue.json (14 GB, JSON Lines) sin tener que cargarlo entero en memoria ni levantar un motor de base de datos separado solo para extraer historiales puntuales de usuario. Es la herramienta correcta para “una consulta puntual sobre un archivo grande”, frente a montar Postgres o Spark para ese mismo propósito.</w:t>
            </w:r>
          </w:p>
        </w:tc>
      </w:tr>
      <w:tr>
        <w:tc>
          <w:tcPr>
            <w:tcW w:type="dxa" w:w="2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imbalanced-learn</w:t>
            </w:r>
          </w:p>
        </w:tc>
        <w:tc>
          <w:tcPr>
            <w:tcW w:type="dxa" w:w="73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Declarada en ml_core/requirements.txt, es coherente con que el dataset de entrenamiento tiene una proporción de eventos anómalos extremadamente baja (253 sesiones etiquetadas sobre 7,6 millones de eventos en el dataset legado LANL), un escenario típico donde se necesitan técnicas de balanceo de clases.</w:t>
            </w:r>
          </w:p>
        </w:tc>
      </w:tr>
      <w:tr>
        <w:tc>
          <w:tcPr>
            <w:tcW w:type="dxa" w:w="2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Jupyter / ipykernel</w:t>
            </w:r>
          </w:p>
        </w:tc>
        <w:tc>
          <w:tcPr>
            <w:tcW w:type="dxa" w:w="73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Los notebooks Fase 1 a Fase 6 constituyen el pipeline real de preparación de datos y entrenamiento. La elección de notebooks por sobre scripts puros para esta parte responde a que es trabajo exploratorio e iterativo: no hay ejecución headless documentada, es un flujo manual e interactivo por diseño en esta etapa del proyecto, no en producción.</w:t>
            </w:r>
          </w:p>
        </w:tc>
      </w:tr>
    </w:tbl>
    <w:p>
      <w:pPr>
        <w:pStyle w:val="Heading1"/>
        <w:pBdr>
          <w:bottom w:val="single" w:color="2E5FA3" w:sz="8" w:space="4"/>
        </w:pBdr>
        <w:spacing w:after="200" w:before="400"/>
      </w:pPr>
      <w:r>
        <w:rPr>
          <w:b/>
          <w:bCs/>
          <w:color w:val="1F3864"/>
          <w:sz w:val="30"/>
          <w:szCs w:val="30"/>
        </w:rPr>
        <w:t xml:space="preserve">3. Arquitectura de red</w:t>
      </w:r>
    </w:p>
    <w:p>
      <w:pPr>
        <w:pStyle w:val="Heading2"/>
        <w:spacing w:after="160" w:before="320"/>
      </w:pPr>
      <w:r>
        <w:rPr>
          <w:b/>
          <w:bCs/>
          <w:color w:val="2E5FA3"/>
          <w:sz w:val="24"/>
          <w:szCs w:val="24"/>
        </w:rPr>
        <w:t xml:space="preserve">3.1 Topología general</w:t>
      </w:r>
    </w:p>
    <w:p>
      <w:pPr>
        <w:spacing w:after="160" w:line="276"/>
        <w:jc w:val="both"/>
      </w:pPr>
      <w:r>
        <w:rPr>
          <w:rFonts w:ascii="Calibri" w:cs="Calibri" w:eastAsia="Calibri" w:hAnsi="Calibri"/>
          <w:sz w:val="21"/>
          <w:szCs w:val="21"/>
        </w:rPr>
        <w:t xml:space="preserve">El sistema no es un monolito desplegado en un solo lugar: es un conjunto heterogéneo de componentes con reglas de despliegue distintas según su función. La API, Redis, el frontend y el pipeline de entrenamiento (ml_core) corren orquestados mediante Docker Compose; la base de datos de historial es un servicio externo gestionado (Postgres/Supabase); y el agente PEP corre nativo en el host Windows del usuario final, fuera de cualquier contenedor.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0D1B2A" w:val="clear"/>
            <w:tcMar>
              <w:top w:type="dxa" w:w="200"/>
              <w:left w:type="dxa" w:w="200"/>
              <w:bottom w:type="dxa" w:w="200"/>
              <w:right w:type="dxa" w:w="200"/>
            </w:tcMar>
          </w:tcPr>
          <w:p>
            <w:pPr>
              <w:spacing w:after="0" w:line="240"/>
            </w:pPr>
            <w:r>
              <w:rPr>
                <w:rFonts w:ascii="Consolas" w:cs="Consolas" w:eastAsia="Consolas" w:hAnsi="Consolas"/>
                <w:color w:val="A9DFBF"/>
                <w:sz w:val="15"/>
                <w:szCs w:val="15"/>
              </w:rPr>
              <w:t xml:space="preserve">┌─────────────────────────── Docker Compose ───────────────────────────┐</w:t>
            </w:r>
          </w:p>
          <w:p>
            <w:pPr>
              <w:spacing w:after="0" w:line="240"/>
            </w:pPr>
            <w:r>
              <w:rPr>
                <w:rFonts w:ascii="Consolas" w:cs="Consolas" w:eastAsia="Consolas" w:hAnsi="Consolas"/>
                <w:color w:val="A9DFBF"/>
                <w:sz w:val="15"/>
                <w:szCs w:val="15"/>
              </w:rPr>
              <w:t xml:space="preserve">│                                                                        │</w:t>
            </w:r>
          </w:p>
          <w:p>
            <w:pPr>
              <w:spacing w:after="0" w:line="240"/>
            </w:pPr>
            <w:r>
              <w:rPr>
                <w:rFonts w:ascii="Consolas" w:cs="Consolas" w:eastAsia="Consolas" w:hAnsi="Consolas"/>
                <w:color w:val="A9DFBF"/>
                <w:sz w:val="15"/>
                <w:szCs w:val="15"/>
              </w:rPr>
              <w:t xml:space="preserve">│   ┌──────────┐      ┌──────────────┐      ┌───────────┐              │</w:t>
            </w:r>
          </w:p>
          <w:p>
            <w:pPr>
              <w:spacing w:after="0" w:line="240"/>
            </w:pPr>
            <w:r>
              <w:rPr>
                <w:rFonts w:ascii="Consolas" w:cs="Consolas" w:eastAsia="Consolas" w:hAnsi="Consolas"/>
                <w:color w:val="A9DFBF"/>
                <w:sz w:val="15"/>
                <w:szCs w:val="15"/>
              </w:rPr>
              <w:t xml:space="preserve">│   │ frontend │◄────►│     api      │◄────►│   redis   │              │</w:t>
            </w:r>
          </w:p>
          <w:p>
            <w:pPr>
              <w:spacing w:after="0" w:line="240"/>
            </w:pPr>
            <w:r>
              <w:rPr>
                <w:rFonts w:ascii="Consolas" w:cs="Consolas" w:eastAsia="Consolas" w:hAnsi="Consolas"/>
                <w:color w:val="A9DFBF"/>
                <w:sz w:val="15"/>
                <w:szCs w:val="15"/>
              </w:rPr>
              <w:t xml:space="preserve">│   │ (Vite)   │ CORS │  (FastAPI)   │      │           │              │</w:t>
            </w:r>
          </w:p>
          <w:p>
            <w:pPr>
              <w:spacing w:after="0" w:line="240"/>
            </w:pPr>
            <w:r>
              <w:rPr>
                <w:rFonts w:ascii="Consolas" w:cs="Consolas" w:eastAsia="Consolas" w:hAnsi="Consolas"/>
                <w:color w:val="A9DFBF"/>
                <w:sz w:val="15"/>
                <w:szCs w:val="15"/>
              </w:rPr>
              <w:t xml:space="preserve">│   └──────────┘      └──────┬───────┘      └───────────┘              │</w:t>
            </w:r>
          </w:p>
          <w:p>
            <w:pPr>
              <w:spacing w:after="0" w:line="240"/>
            </w:pPr>
            <w:r>
              <w:rPr>
                <w:rFonts w:ascii="Consolas" w:cs="Consolas" w:eastAsia="Consolas" w:hAnsi="Consolas"/>
                <w:color w:val="A9DFBF"/>
                <w:sz w:val="15"/>
                <w:szCs w:val="15"/>
              </w:rPr>
              <w:t xml:space="preserve">│                             │                                        │</w:t>
            </w:r>
          </w:p>
          <w:p>
            <w:pPr>
              <w:spacing w:after="0" w:line="240"/>
            </w:pPr>
            <w:r>
              <w:rPr>
                <w:rFonts w:ascii="Consolas" w:cs="Consolas" w:eastAsia="Consolas" w:hAnsi="Consolas"/>
                <w:color w:val="A9DFBF"/>
                <w:sz w:val="15"/>
                <w:szCs w:val="15"/>
              </w:rPr>
              <w:t xml:space="preserve">│                      ┌──────┴───────┐                                │</w:t>
            </w:r>
          </w:p>
          <w:p>
            <w:pPr>
              <w:spacing w:after="0" w:line="240"/>
            </w:pPr>
            <w:r>
              <w:rPr>
                <w:rFonts w:ascii="Consolas" w:cs="Consolas" w:eastAsia="Consolas" w:hAnsi="Consolas"/>
                <w:color w:val="A9DFBF"/>
                <w:sz w:val="15"/>
                <w:szCs w:val="15"/>
              </w:rPr>
              <w:t xml:space="preserve">│                      │   ml_core    │  (entrenamiento offline)       │</w:t>
            </w:r>
          </w:p>
          <w:p>
            <w:pPr>
              <w:spacing w:after="0" w:line="240"/>
            </w:pPr>
            <w:r>
              <w:rPr>
                <w:rFonts w:ascii="Consolas" w:cs="Consolas" w:eastAsia="Consolas" w:hAnsi="Consolas"/>
                <w:color w:val="A9DFBF"/>
                <w:sz w:val="15"/>
                <w:szCs w:val="15"/>
              </w:rPr>
              <w:t xml:space="preserve">│                      └──────────────┘                                │</w:t>
            </w:r>
          </w:p>
          <w:p>
            <w:pPr>
              <w:spacing w:after="0" w:line="240"/>
            </w:pPr>
            <w:r>
              <w:rPr>
                <w:rFonts w:ascii="Consolas" w:cs="Consolas" w:eastAsia="Consolas" w:hAnsi="Consolas"/>
                <w:color w:val="A9DFBF"/>
                <w:sz w:val="15"/>
                <w:szCs w:val="15"/>
              </w:rPr>
              <w:t xml:space="preserve">└────────────────────────────┼──────────────────────────────────────┘</w:t>
            </w:r>
          </w:p>
          <w:p>
            <w:pPr>
              <w:spacing w:after="0" w:line="240"/>
            </w:pPr>
            <w:r>
              <w:rPr>
                <w:rFonts w:ascii="Consolas" w:cs="Consolas" w:eastAsia="Consolas" w:hAnsi="Consolas"/>
                <w:color w:val="A9DFBF"/>
                <w:sz w:val="15"/>
                <w:szCs w:val="15"/>
              </w:rPr>
              <w:t xml:space="preserve">                              │ HTTP saliente (WAN)</w:t>
            </w:r>
          </w:p>
          <w:p>
            <w:pPr>
              <w:spacing w:after="0" w:line="240"/>
            </w:pPr>
            <w:r>
              <w:rPr>
                <w:rFonts w:ascii="Consolas" w:cs="Consolas" w:eastAsia="Consolas" w:hAnsi="Consolas"/>
                <w:color w:val="A9DFBF"/>
                <w:sz w:val="15"/>
                <w:szCs w:val="15"/>
              </w:rPr>
              <w:t xml:space="preserve">                              ▼</w:t>
            </w:r>
          </w:p>
          <w:p>
            <w:pPr>
              <w:spacing w:after="0" w:line="240"/>
            </w:pPr>
            <w:r>
              <w:rPr>
                <w:rFonts w:ascii="Consolas" w:cs="Consolas" w:eastAsia="Consolas" w:hAnsi="Consolas"/>
                <w:color w:val="A9DFBF"/>
                <w:sz w:val="15"/>
                <w:szCs w:val="15"/>
              </w:rPr>
              <w:t xml:space="preserve">                   ┌────────────────────┐</w:t>
            </w:r>
          </w:p>
          <w:p>
            <w:pPr>
              <w:spacing w:after="0" w:line="240"/>
            </w:pPr>
            <w:r>
              <w:rPr>
                <w:rFonts w:ascii="Consolas" w:cs="Consolas" w:eastAsia="Consolas" w:hAnsi="Consolas"/>
                <w:color w:val="A9DFBF"/>
                <w:sz w:val="15"/>
                <w:szCs w:val="15"/>
              </w:rPr>
              <w:t xml:space="preserve">                   │ Postgres / Supabase │  (servicio gestionado externo)</w:t>
            </w:r>
          </w:p>
          <w:p>
            <w:pPr>
              <w:spacing w:after="0" w:line="240"/>
            </w:pPr>
            <w:r>
              <w:rPr>
                <w:rFonts w:ascii="Consolas" w:cs="Consolas" w:eastAsia="Consolas" w:hAnsi="Consolas"/>
                <w:color w:val="A9DFBF"/>
                <w:sz w:val="15"/>
                <w:szCs w:val="15"/>
              </w:rPr>
              <w:t xml:space="preserve">                   └────────────────────┘</w:t>
            </w:r>
          </w:p>
          <w:p>
            <w:pPr>
              <w:spacing w:after="0" w:line="240"/>
            </w:pPr>
            <w:r>
              <w:rPr>
                <w:rFonts w:ascii="Consolas" w:cs="Consolas" w:eastAsia="Consolas" w:hAnsi="Consolas"/>
                <w:color w:val="A9DFBF"/>
                <w:sz w:val="15"/>
                <w:szCs w:val="15"/>
              </w:rPr>
              <w:t xml:space="preserve">                              ▲</w:t>
            </w:r>
          </w:p>
          <w:p>
            <w:pPr>
              <w:spacing w:after="0" w:line="240"/>
            </w:pPr>
            <w:r>
              <w:rPr>
                <w:rFonts w:ascii="Consolas" w:cs="Consolas" w:eastAsia="Consolas" w:hAnsi="Consolas"/>
                <w:color w:val="A9DFBF"/>
                <w:sz w:val="15"/>
                <w:szCs w:val="15"/>
              </w:rPr>
              <w:t xml:space="preserve">                              │ HTTP (POST /eventos)</w:t>
            </w:r>
          </w:p>
          <w:p>
            <w:pPr>
              <w:spacing w:after="0" w:line="240"/>
            </w:pPr>
            <w:r>
              <w:rPr>
                <w:rFonts w:ascii="Consolas" w:cs="Consolas" w:eastAsia="Consolas" w:hAnsi="Consolas"/>
                <w:color w:val="A9DFBF"/>
                <w:sz w:val="15"/>
                <w:szCs w:val="15"/>
              </w:rPr>
              <w:t xml:space="preserve">                   ┌──────────┴──────────┐</w:t>
            </w:r>
          </w:p>
          <w:p>
            <w:pPr>
              <w:spacing w:after="0" w:line="240"/>
            </w:pPr>
            <w:r>
              <w:rPr>
                <w:rFonts w:ascii="Consolas" w:cs="Consolas" w:eastAsia="Consolas" w:hAnsi="Consolas"/>
                <w:color w:val="A9DFBF"/>
                <w:sz w:val="15"/>
                <w:szCs w:val="15"/>
              </w:rPr>
              <w:t xml:space="preserve">                   │   agent/ (host)      │  ← FUERA de Docker, por diseño</w:t>
            </w:r>
          </w:p>
          <w:p>
            <w:pPr>
              <w:spacing w:after="0" w:line="240"/>
            </w:pPr>
            <w:r>
              <w:rPr>
                <w:rFonts w:ascii="Consolas" w:cs="Consolas" w:eastAsia="Consolas" w:hAnsi="Consolas"/>
                <w:color w:val="A9DFBF"/>
                <w:sz w:val="15"/>
                <w:szCs w:val="15"/>
              </w:rPr>
              <w:t xml:space="preserve">                   │   Windows endpoint   │</w:t>
            </w:r>
          </w:p>
          <w:p>
            <w:pPr>
              <w:spacing w:after="0" w:line="240"/>
            </w:pPr>
            <w:r>
              <w:rPr>
                <w:rFonts w:ascii="Consolas" w:cs="Consolas" w:eastAsia="Consolas" w:hAnsi="Consolas"/>
                <w:color w:val="A9DFBF"/>
                <w:sz w:val="15"/>
                <w:szCs w:val="15"/>
              </w:rPr>
              <w:t xml:space="preserve">                   └──────────────────────┘</w:t>
            </w:r>
          </w:p>
        </w:tc>
      </w:tr>
    </w:tbl>
    <w:p>
      <w:pPr>
        <w:spacing w:after="300" w:before="100"/>
        <w:jc w:val="center"/>
      </w:pPr>
      <w:r>
        <w:rPr>
          <w:rFonts w:ascii="Calibri" w:cs="Calibri" w:eastAsia="Calibri" w:hAnsi="Calibri"/>
          <w:i/>
          <w:iCs/>
          <w:color w:val="595959"/>
          <w:sz w:val="18"/>
          <w:szCs w:val="18"/>
        </w:rPr>
        <w:t xml:space="preserve">Figura 1. Topología de red del sistema</w:t>
      </w:r>
    </w:p>
    <w:p>
      <w:pPr>
        <w:pStyle w:val="Heading2"/>
        <w:spacing w:after="160" w:before="320"/>
      </w:pPr>
      <w:r>
        <w:rPr>
          <w:b/>
          <w:bCs/>
          <w:color w:val="2E5FA3"/>
          <w:sz w:val="24"/>
          <w:szCs w:val="24"/>
        </w:rPr>
        <w:t xml:space="preserve">3.2 Justificación de cada decisión de red</w:t>
      </w:r>
    </w:p>
    <w:p>
      <w:pPr>
        <w:pStyle w:val="ListParagraph"/>
        <w:numPr>
          <w:ilvl w:val="0"/>
          <w:numId w:val="2"/>
        </w:numPr>
        <w:spacing w:after="120" w:line="276"/>
        <w:jc w:val="both"/>
      </w:pPr>
      <w:r>
        <w:rPr>
          <w:rFonts w:ascii="Calibri" w:cs="Calibri" w:eastAsia="Calibri" w:hAnsi="Calibri"/>
          <w:b/>
          <w:bCs/>
          <w:i w:val="false"/>
          <w:iCs w:val="false"/>
          <w:color w:val="000000"/>
          <w:sz w:val="21"/>
          <w:szCs w:val="21"/>
        </w:rPr>
        <w:t xml:space="preserve">API + Redis + Frontend + ml_core en Docker Compose, sobre un mismo host/red virtual: </w:t>
      </w:r>
      <w:r>
        <w:rPr>
          <w:rFonts w:ascii="Calibri" w:cs="Calibri" w:eastAsia="Calibri" w:hAnsi="Calibri"/>
          <w:b w:val="false"/>
          <w:bCs w:val="false"/>
          <w:i w:val="false"/>
          <w:iCs w:val="false"/>
          <w:color w:val="000000"/>
          <w:sz w:val="21"/>
          <w:szCs w:val="21"/>
        </w:rPr>
        <w:t xml:space="preserve">son componentes sin dependencia del sistema operativo del usuario final, por lo que containerizarlos da reproducibilidad de entorno (mismas versiones de librerías en cualquier máquina) y simplifica el arranque coordinado mediante docker compose up.</w:t>
      </w:r>
    </w:p>
    <w:p>
      <w:pPr>
        <w:pStyle w:val="ListParagraph"/>
        <w:numPr>
          <w:ilvl w:val="0"/>
          <w:numId w:val="2"/>
        </w:numPr>
        <w:spacing w:after="120" w:line="276"/>
        <w:jc w:val="both"/>
      </w:pPr>
      <w:r>
        <w:rPr>
          <w:rFonts w:ascii="Calibri" w:cs="Calibri" w:eastAsia="Calibri" w:hAnsi="Calibri"/>
          <w:b/>
          <w:bCs/>
          <w:i w:val="false"/>
          <w:iCs w:val="false"/>
          <w:color w:val="000000"/>
          <w:sz w:val="21"/>
          <w:szCs w:val="21"/>
        </w:rPr>
        <w:t xml:space="preserve">El agente queda deliberadamente fuera de Docker, corriendo nativo en el host Windows: </w:t>
      </w:r>
      <w:r>
        <w:rPr>
          <w:rFonts w:ascii="Calibri" w:cs="Calibri" w:eastAsia="Calibri" w:hAnsi="Calibri"/>
          <w:b w:val="false"/>
          <w:bCs w:val="false"/>
          <w:i w:val="false"/>
          <w:iCs w:val="false"/>
          <w:color w:val="000000"/>
          <w:sz w:val="21"/>
          <w:szCs w:val="21"/>
        </w:rPr>
        <w:t xml:space="preserve">es la decisión de arquitectura de red más importante de justificar, porque a primera vista parece una inconsistencia frente al resto del stack containerizado, pero es lo opuesto. El agente es un Policy Enforcement Point (PEP) que necesita terminar procesos reales y modificar ACLs reales (icacls) sobre el sistema de archivos del endpoint del usuario. Un agente containerizado, por definición, está aislado del proceso y del filesystem del host mediante namespaces, y perdería exactamente la capacidad que lo define como PEP. Containerizarlo no es una opción técnica válida para este componente; no es una omisión.</w:t>
      </w:r>
    </w:p>
    <w:p>
      <w:pPr>
        <w:pStyle w:val="ListParagraph"/>
        <w:numPr>
          <w:ilvl w:val="0"/>
          <w:numId w:val="2"/>
        </w:numPr>
        <w:spacing w:after="120" w:line="276"/>
        <w:jc w:val="both"/>
      </w:pPr>
      <w:r>
        <w:rPr>
          <w:rFonts w:ascii="Calibri" w:cs="Calibri" w:eastAsia="Calibri" w:hAnsi="Calibri"/>
          <w:b/>
          <w:bCs/>
          <w:i w:val="false"/>
          <w:iCs w:val="false"/>
          <w:color w:val="000000"/>
          <w:sz w:val="21"/>
          <w:szCs w:val="21"/>
        </w:rPr>
        <w:t xml:space="preserve">Postgres/Supabase como servicio externo gestionado, fuera del docker-compose.yml del proyecto: </w:t>
      </w:r>
      <w:r>
        <w:rPr>
          <w:rFonts w:ascii="Calibri" w:cs="Calibri" w:eastAsia="Calibri" w:hAnsi="Calibri"/>
          <w:b w:val="false"/>
          <w:bCs w:val="false"/>
          <w:i w:val="false"/>
          <w:iCs w:val="false"/>
          <w:color w:val="000000"/>
          <w:sz w:val="21"/>
          <w:szCs w:val="21"/>
        </w:rPr>
        <w:t xml:space="preserve">separa la responsabilidad de persistencia durable de la infraestructura local de desarrollo/demo. Es coherente con el nombre del propio repositorio (“Cloud-Native UEBA Security System”) y con el objetivo de mostrar un patrón de arquitectura distribuida real, y no una base de datos embebida. La misma lógica aplica a Redis (Upstash): la razón declarada por el autor para usar ambos servicios gestionados en la nube en vez de self-hosted es practicidad — evitar administrar infraestructura propia de base de datos durante el desarrollo del PFI.</w:t>
      </w:r>
    </w:p>
    <w:p>
      <w:pPr>
        <w:pStyle w:val="ListParagraph"/>
        <w:numPr>
          <w:ilvl w:val="0"/>
          <w:numId w:val="2"/>
        </w:numPr>
        <w:spacing w:after="120" w:line="276"/>
        <w:jc w:val="both"/>
      </w:pPr>
      <w:r>
        <w:rPr>
          <w:rFonts w:ascii="Calibri" w:cs="Calibri" w:eastAsia="Calibri" w:hAnsi="Calibri"/>
          <w:b/>
          <w:bCs/>
          <w:i w:val="false"/>
          <w:iCs w:val="false"/>
          <w:color w:val="000000"/>
          <w:sz w:val="21"/>
          <w:szCs w:val="21"/>
        </w:rPr>
        <w:t xml:space="preserve">CORS explícito (SCORING_CORS_ORIGINS, por defecto http://localhost:5173): </w:t>
      </w:r>
      <w:r>
        <w:rPr>
          <w:rFonts w:ascii="Calibri" w:cs="Calibri" w:eastAsia="Calibri" w:hAnsi="Calibri"/>
          <w:b w:val="false"/>
          <w:bCs w:val="false"/>
          <w:i w:val="false"/>
          <w:iCs w:val="false"/>
          <w:color w:val="000000"/>
          <w:sz w:val="21"/>
          <w:szCs w:val="21"/>
        </w:rPr>
        <w:t xml:space="preserve">el frontend (puerto 5173 en desarrollo) y la API (puerto 8001) son dos orígenes distintos por diseño. Es el patrón estándar de una SPA que consume una API REST separada, en vez de ser servida desde el mismo backend, lo cual a su vez permite desplegar y escalar frontend y API de forma independiente.</w:t>
      </w:r>
    </w:p>
    <w:p>
      <w:pPr>
        <w:pStyle w:val="ListParagraph"/>
        <w:numPr>
          <w:ilvl w:val="0"/>
          <w:numId w:val="2"/>
        </w:numPr>
        <w:spacing w:after="120" w:line="276"/>
        <w:jc w:val="both"/>
      </w:pPr>
      <w:r>
        <w:rPr>
          <w:rFonts w:ascii="Calibri" w:cs="Calibri" w:eastAsia="Calibri" w:hAnsi="Calibri"/>
          <w:b/>
          <w:bCs/>
          <w:i w:val="false"/>
          <w:iCs w:val="false"/>
          <w:color w:val="000000"/>
          <w:sz w:val="21"/>
          <w:szCs w:val="21"/>
        </w:rPr>
        <w:t xml:space="preserve">Tres consumidores de red distintos hacia un mismo PDP central (agente, frontend, scripts), cada uno con su propio nivel de acceso: </w:t>
      </w:r>
      <w:r>
        <w:rPr>
          <w:rFonts w:ascii="Calibri" w:cs="Calibri" w:eastAsia="Calibri" w:hAnsi="Calibri"/>
          <w:b w:val="false"/>
          <w:bCs w:val="false"/>
          <w:i w:val="false"/>
          <w:iCs w:val="false"/>
          <w:color w:val="000000"/>
          <w:sz w:val="21"/>
          <w:szCs w:val="21"/>
        </w:rPr>
        <w:t xml:space="preserve">el agente en tier admin (escritura de eventos), el frontend en tier dashboard (lectura más tres escrituras de configuración acotadas), y scripts/ en ambos modos según el caso (HTTP real para simulator.py; import in-process para run_regression_test.py y ensayo_demo_pep.py, más rápido para tests automatizados al no pagar el costo de red). Esta topología en estrella con un PDP central es exactamente el patrón NIST SP 800-207 (PDP/PEP) que fundamenta el marco teórico del proyecto: ningún componente decide riesgo por su cuenta ni se comunica lateralmente con otro que no sea la API central.</w:t>
      </w:r>
    </w:p>
    <w:p>
      <w:pPr>
        <w:pStyle w:val="Heading1"/>
        <w:pBdr>
          <w:bottom w:val="single" w:color="2E5FA3" w:sz="8" w:space="4"/>
        </w:pBdr>
        <w:spacing w:after="200" w:before="400"/>
      </w:pPr>
      <w:r>
        <w:rPr>
          <w:b/>
          <w:bCs/>
          <w:color w:val="1F3864"/>
          <w:sz w:val="30"/>
          <w:szCs w:val="30"/>
        </w:rPr>
        <w:t xml:space="preserve">4. Protocolos de comunicación</w:t>
      </w:r>
    </w:p>
    <w:p>
      <w:pPr>
        <w:spacing w:after="160" w:line="276"/>
        <w:jc w:val="both"/>
      </w:pPr>
      <w:r>
        <w:rPr>
          <w:rFonts w:ascii="Calibri" w:cs="Calibri" w:eastAsia="Calibri" w:hAnsi="Calibri"/>
          <w:sz w:val="21"/>
          <w:szCs w:val="21"/>
        </w:rPr>
        <w:t xml:space="preserve">Cada enlace de comunicación entre componentes utiliza el protocolo o mecanismo más adecuado a la naturaleza de ese enlace: discreto o continuo, transaccional o de alta frecuencia, interno o hacia un servicio externo.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00"/>
      </w:tblGrid>
      <w:tr>
        <w:trPr>
          <w:tblHeader/>
        </w:trPr>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Protocolo / mecanismo</w:t>
            </w:r>
          </w:p>
        </w:tc>
        <w:tc>
          <w:tcPr>
            <w:tcW w:type="dxa" w:w="19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Dónde se usa</w:t>
            </w:r>
          </w:p>
        </w:tc>
        <w:tc>
          <w:tcPr>
            <w:tcW w:type="dxa" w:w="5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Justificación</w:t>
            </w:r>
          </w:p>
        </w:tc>
      </w:tr>
      <w:tr>
        <w:tc>
          <w:tcPr>
            <w:tcW w:type="dxa" w:w="2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HTTP/REST + JSON</w:t>
            </w:r>
          </w:p>
        </w:tc>
        <w:tc>
          <w:tcPr>
            <w:tcW w:type="dxa" w:w="19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Agente → API, Frontend → API</w:t>
            </w:r>
          </w:p>
        </w:tc>
        <w:tc>
          <w:tcPr>
            <w:tcW w:type="dxa" w:w="5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Protocolo estándar, debuggable con herramientas comunes (curl, Postman), con contratos de request/response bien definidos vía Pydantic en el backend y zod en el frontend. El sistema trabaja con eventos discretos (un evento equivale a una request), no con streams continuos, por lo que REST sobre HTTP es el ajuste natural, sin necesidad de protocolos con estado persistente de conexión.</w:t>
            </w:r>
          </w:p>
        </w:tc>
      </w:tr>
      <w:tr>
        <w:tc>
          <w:tcPr>
            <w:tcW w:type="dxa" w:w="2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X-API-Key en dos tiers (dashboard / admin)</w:t>
            </w:r>
          </w:p>
        </w:tc>
        <w:tc>
          <w:tcPr>
            <w:tcW w:type="dxa" w:w="19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Autenticación de todas las escrituras</w:t>
            </w:r>
          </w:p>
        </w:tc>
        <w:tc>
          <w:tcPr>
            <w:tcW w:type="dxa" w:w="5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Es una decisión con historia real dentro del propio proyecto, no una elección arbitraria: hubo un intento concreto de reemplazarla por un gate de login (mover los tres endpoints PUT /config/* a tier admin más POST /auth/login, con verificación end-to-end documentada), que finalmente </w:t>
            </w:r>
            <w:r>
              <w:rPr>
                <w:rFonts w:ascii="Calibri" w:cs="Calibri" w:eastAsia="Calibri" w:hAnsi="Calibri"/>
                <w:b/>
                <w:bCs/>
                <w:i w:val="false"/>
                <w:iCs w:val="false"/>
                <w:color w:val="000000"/>
                <w:sz w:val="19"/>
                <w:szCs w:val="19"/>
              </w:rPr>
              <w:t xml:space="preserve">se revirtió</w:t>
            </w:r>
            <w:r>
              <w:rPr>
                <w:rFonts w:ascii="Calibri" w:cs="Calibri" w:eastAsia="Calibri" w:hAnsi="Calibri"/>
                <w:b w:val="false"/>
                <w:bCs w:val="false"/>
                <w:i w:val="false"/>
                <w:iCs w:val="false"/>
                <w:color w:val="000000"/>
                <w:sz w:val="19"/>
                <w:szCs w:val="19"/>
              </w:rPr>
              <w:t xml:space="preserve"> por decisión explícita del autor, citando “fricción de entorno, no bug de lógica”. Es decir: se evaluó una alternativa más robusta (autenticación con sesión/token), se implementó, se probó, y se descartó conscientemente a favor de la API Key por simplicidad operativa en el alcance de prueba de concepto. Es una decisión informada y reversible, no una limitación no considerada — aunque también hay que ser honesto en que, para un despliegue productivo real, una API Key horneada en el bundle del frontend (admitida explícitamente en .env.example) es una limitación de seguridad real, ya señalada en la documentación de arquitectura del proyecto.</w:t>
            </w:r>
          </w:p>
        </w:tc>
      </w:tr>
      <w:tr>
        <w:tc>
          <w:tcPr>
            <w:tcW w:type="dxa" w:w="2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Polling HTTP periódico (7 s) vía TanStack Query</w:t>
            </w:r>
          </w:p>
        </w:tc>
        <w:tc>
          <w:tcPr>
            <w:tcW w:type="dxa" w:w="19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Frontend → API</w:t>
            </w:r>
          </w:p>
        </w:tc>
        <w:tc>
          <w:tcPr>
            <w:tcW w:type="dxa" w:w="5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El score se recalcula por evento entrante y no existe un caso de uso que necesite empuje instantáneo al dashboard (a diferencia, por ejemplo, de un chat). WebSockets habría agregado manejo de conexión persistente, reconexión y estado de socket sin un beneficio proporcional al alcance de un dashboard de administración que se refresca cada pocos segundos. </w:t>
            </w:r>
            <w:r>
              <w:rPr>
                <w:rFonts w:ascii="Calibri" w:cs="Calibri" w:eastAsia="Calibri" w:hAnsi="Calibri"/>
                <w:b w:val="false"/>
                <w:bCs w:val="false"/>
                <w:i/>
                <w:iCs/>
                <w:color w:val="595959"/>
                <w:sz w:val="19"/>
                <w:szCs w:val="19"/>
              </w:rPr>
              <w:t xml:space="preserve">(Justificación propuesta)</w:t>
            </w:r>
            <w:r>
              <w:rPr>
                <w:rFonts w:ascii="Calibri" w:cs="Calibri" w:eastAsia="Calibri" w:hAnsi="Calibri"/>
                <w:b w:val="false"/>
                <w:bCs w:val="false"/>
                <w:i w:val="false"/>
                <w:iCs w:val="false"/>
                <w:color w:val="000000"/>
                <w:sz w:val="19"/>
                <w:szCs w:val="19"/>
              </w:rPr>
              <w:t xml:space="preserve">: es una decisión de simplicidad razonable para el alcance actual, señalable como una posible mejora futura si el proyecto necesitara alertar en tiempo real por debajo del segundo.</w:t>
            </w:r>
          </w:p>
        </w:tc>
      </w:tr>
      <w:tr>
        <w:tc>
          <w:tcPr>
            <w:tcW w:type="dxa" w:w="2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RESP (Redis Serialization Protocol) vía redis-py, con WATCH/MULTI/EXEC</w:t>
            </w:r>
          </w:p>
        </w:tc>
        <w:tc>
          <w:tcPr>
            <w:tcW w:type="dxa" w:w="19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API ↔ Redis</w:t>
            </w:r>
          </w:p>
        </w:tc>
        <w:tc>
          <w:tcPr>
            <w:tcW w:type="dxa" w:w="5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Necesario para las actualizaciones atómicas y optimistas del estado por usuario bajo escritura concurrente (update_state() reintenta hasta 5 veces ante colisión), evitando condiciones de carrera cuando llegan eventos del mismo usuario en rápida sucesión.</w:t>
            </w:r>
          </w:p>
        </w:tc>
      </w:tr>
      <w:tr>
        <w:tc>
          <w:tcPr>
            <w:tcW w:type="dxa" w:w="2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Protocolo wire de PostgreSQL vía psycopg2 + SQLAlchemy</w:t>
            </w:r>
          </w:p>
        </w:tc>
        <w:tc>
          <w:tcPr>
            <w:tcW w:type="dxa" w:w="19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API → Postgres/Supabase</w:t>
            </w:r>
          </w:p>
        </w:tc>
        <w:tc>
          <w:tcPr>
            <w:tcW w:type="dxa" w:w="5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Estándar y maduro, con pool de conexiones dimensionado al patrón de escritura real (una por día cerrado, no por evento). Los parámetros connect_timeout=3 y pool_pre_ping=True evitan que una caída de Postgres bloquee indefinidamente el hot path de scoring.</w:t>
            </w:r>
          </w:p>
        </w:tc>
      </w:tr>
      <w:tr>
        <w:tc>
          <w:tcPr>
            <w:tcW w:type="dxa" w:w="2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000000"/>
                <w:sz w:val="19"/>
                <w:szCs w:val="19"/>
              </w:rPr>
              <w:t xml:space="preserve">Ausencia declarada de TLS mutuo y de firma de respuestas del PDP</w:t>
            </w:r>
          </w:p>
        </w:tc>
        <w:tc>
          <w:tcPr>
            <w:tcW w:type="dxa" w:w="19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Agente ↔ API</w:t>
            </w:r>
          </w:p>
        </w:tc>
        <w:tc>
          <w:tcPr>
            <w:tcW w:type="dxa" w:w="5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El propio README del proyecto documenta esta limitación de forma explícita, no omitida. Para un PFI con alcance de demo/prueba de concepto en entorno controlado es una limitación aceptable y declarada, que es justamente lo que este hito pide: no ocultar lo que falta, sino nombrarlo con criterio. En un despliegue productivo real, la ausencia de autenticación mutua entre el agente y el PDP sería un vector de ataque — un tercero podría hacerse pasar por el PDP y ordenarle al agente acciones arbitrarias, o hacerse pasar por el agente y enviar eventos falsos — y conviene tenerlo preparado como respuesta si el tribunal pregunta por qué no se implementó.</w:t>
            </w:r>
          </w:p>
        </w:tc>
      </w:tr>
    </w:tbl>
    <w:p>
      <w:pPr>
        <w:pStyle w:val="Heading1"/>
        <w:pBdr>
          <w:bottom w:val="single" w:color="2E5FA3" w:sz="8" w:space="4"/>
        </w:pBdr>
        <w:spacing w:after="200" w:before="400"/>
      </w:pPr>
      <w:r>
        <w:rPr>
          <w:b/>
          <w:bCs/>
          <w:color w:val="1F3864"/>
          <w:sz w:val="30"/>
          <w:szCs w:val="30"/>
        </w:rPr>
        <w:t xml:space="preserve">5. Checklist de cumplimiento contra la rúbrica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200"/>
        <w:gridCol w:w="4100"/>
      </w:tblGrid>
      <w:tr>
        <w:trPr>
          <w:tblHeader/>
        </w:trPr>
        <w:tc>
          <w:tcPr>
            <w:tcW w:type="dxa" w:w="5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Ítem exigido</w:t>
            </w:r>
          </w:p>
        </w:tc>
        <w:tc>
          <w:tcPr>
            <w:tcW w:type="dxa" w:w="41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¿Cubierto en este documento?</w:t>
            </w:r>
          </w:p>
        </w:tc>
      </w:tr>
      <w:tr>
        <w:tc>
          <w:tcPr>
            <w:tcW w:type="dxa" w:w="5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Lenguajes de programación explicados y justificados</w:t>
            </w:r>
          </w:p>
        </w:tc>
        <w:tc>
          <w:tcPr>
            <w:tcW w:type="dxa" w:w="41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1E7145"/>
                <w:sz w:val="19"/>
                <w:szCs w:val="19"/>
              </w:rPr>
              <w:t xml:space="preserve">✅ Sección 1, con alternativas descartadas</w:t>
            </w:r>
          </w:p>
        </w:tc>
      </w:tr>
      <w:tr>
        <w:tc>
          <w:tcPr>
            <w:tcW w:type="dxa" w:w="5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Frameworks y librerías explicados y justificados</w:t>
            </w:r>
          </w:p>
        </w:tc>
        <w:tc>
          <w:tcPr>
            <w:tcW w:type="dxa" w:w="41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1E7145"/>
                <w:sz w:val="19"/>
                <w:szCs w:val="19"/>
              </w:rPr>
              <w:t xml:space="preserve">✅ Sección 2, separado por subsistema</w:t>
            </w:r>
          </w:p>
        </w:tc>
      </w:tr>
      <w:tr>
        <w:tc>
          <w:tcPr>
            <w:tcW w:type="dxa" w:w="5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Arquitectura de red explicada y justificada</w:t>
            </w:r>
          </w:p>
        </w:tc>
        <w:tc>
          <w:tcPr>
            <w:tcW w:type="dxa" w:w="41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1E7145"/>
                <w:sz w:val="19"/>
                <w:szCs w:val="19"/>
              </w:rPr>
              <w:t xml:space="preserve">✅ Sección 3, con diagrama de topología y justificación de cada decisión no obvia</w:t>
            </w:r>
          </w:p>
        </w:tc>
      </w:tr>
      <w:tr>
        <w:tc>
          <w:tcPr>
            <w:tcW w:type="dxa" w:w="5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Protocolos de comunicación explicados y justificados</w:t>
            </w:r>
          </w:p>
        </w:tc>
        <w:tc>
          <w:tcPr>
            <w:tcW w:type="dxa" w:w="41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1E7145"/>
                <w:sz w:val="19"/>
                <w:szCs w:val="19"/>
              </w:rPr>
              <w:t xml:space="preserve">✅ Sección 4</w:t>
            </w:r>
          </w:p>
        </w:tc>
      </w:tr>
      <w:tr>
        <w:tc>
          <w:tcPr>
            <w:tcW w:type="dxa" w:w="52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Decisiones fundamentadas según necesidades del proyecto (no solo “qué se usó”)</w:t>
            </w:r>
          </w:p>
        </w:tc>
        <w:tc>
          <w:tcPr>
            <w:tcW w:type="dxa" w:w="4100"/>
            <w:shd w:fill="FFFFFF"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1E7145"/>
                <w:sz w:val="19"/>
                <w:szCs w:val="19"/>
              </w:rPr>
              <w:t xml:space="preserve">✅ Cada fila responde el “por qué”, con alternativas descartadas donde corresponde</w:t>
            </w:r>
          </w:p>
        </w:tc>
      </w:tr>
      <w:tr>
        <w:tc>
          <w:tcPr>
            <w:tcW w:type="dxa" w:w="52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val="false"/>
                <w:bCs w:val="false"/>
                <w:i w:val="false"/>
                <w:iCs w:val="false"/>
                <w:color w:val="000000"/>
                <w:sz w:val="19"/>
                <w:szCs w:val="19"/>
              </w:rPr>
              <w:t xml:space="preserve">No ocultar tecnologías o protocolos faltantes que son clave</w:t>
            </w:r>
          </w:p>
        </w:tc>
        <w:tc>
          <w:tcPr>
            <w:tcW w:type="dxa" w:w="4100"/>
            <w:shd w:fill="F2F2F2" w:val="clear"/>
            <w:tcMar>
              <w:top w:type="dxa" w:w="100"/>
              <w:left w:type="dxa" w:w="120"/>
              <w:bottom w:type="dxa" w:w="100"/>
              <w:right w:type="dxa" w:w="120"/>
            </w:tcMar>
            <w:vAlign w:val="center"/>
          </w:tcPr>
          <w:p>
            <w:pPr>
              <w:spacing w:after="0" w:line="264"/>
              <w:jc w:val="left"/>
            </w:pPr>
            <w:r>
              <w:rPr>
                <w:rFonts w:ascii="Calibri" w:cs="Calibri" w:eastAsia="Calibri" w:hAnsi="Calibri"/>
                <w:b/>
                <w:bCs/>
                <w:i w:val="false"/>
                <w:iCs w:val="false"/>
                <w:color w:val="1E7145"/>
                <w:sz w:val="19"/>
                <w:szCs w:val="19"/>
              </w:rPr>
              <w:t xml:space="preserve">✅ TLS mutuo, firma de respuestas y el login revertido están nombrados explícitamente</w:t>
            </w:r>
          </w:p>
        </w:tc>
      </w:tr>
    </w:tbl>
    <w:p>
      <w:pPr>
        <w:spacing w:after="200"/>
      </w:pPr>
    </w:p>
    <w:tbl>
      <w:tblPr>
        <w:tblW w:type="pct" w:w="100%"/>
        <w:tblBorders>
          <w:top w:val="single" w:color="9C2A2A" w:sz="4"/>
          <w:left w:val="single" w:color="9C2A2A" w:sz="16"/>
          <w:bottom w:val="single" w:color="9C2A2A" w:sz="4"/>
          <w:right w:val="single" w:color="9C2A2A" w:sz="4"/>
          <w:insideH w:val="none" w:color="FFFFFF" w:sz="0"/>
          <w:insideV w:val="none" w:color="FFFFFF" w:sz="0"/>
        </w:tblBorders>
      </w:tblPr>
      <w:tblGrid>
        <w:gridCol w:w="100"/>
      </w:tblGrid>
      <w:tr>
        <w:tc>
          <w:tcPr>
            <w:shd w:fill="FCE4E4" w:val="clear"/>
            <w:tcMar>
              <w:top w:type="dxa" w:w="140"/>
              <w:left w:type="dxa" w:w="200"/>
              <w:bottom w:type="dxa" w:w="140"/>
              <w:right w:type="dxa" w:w="200"/>
            </w:tcMar>
          </w:tcPr>
          <w:p>
            <w:pPr>
              <w:spacing w:after="60"/>
            </w:pPr>
            <w:r>
              <w:rPr>
                <w:rFonts w:ascii="Calibri" w:cs="Calibri" w:eastAsia="Calibri" w:hAnsi="Calibri"/>
                <w:b/>
                <w:bCs/>
                <w:color w:val="9C2A2A"/>
                <w:sz w:val="18"/>
                <w:szCs w:val="18"/>
              </w:rPr>
              <w:t xml:space="preserve">RIESGO A VIGILAR</w:t>
            </w:r>
          </w:p>
          <w:p>
            <w:pPr>
              <w:spacing w:after="0" w:line="276"/>
              <w:jc w:val="both"/>
            </w:pPr>
            <w:r>
              <w:rPr>
                <w:rFonts w:ascii="Calibri" w:cs="Calibri" w:eastAsia="Calibri" w:hAnsi="Calibri"/>
                <w:i/>
                <w:iCs/>
                <w:color w:val="3A3A3A"/>
                <w:sz w:val="20"/>
                <w:szCs w:val="20"/>
              </w:rPr>
              <w:t xml:space="preserve">Las filas marcadas “(justificación propuesta)” a lo largo del documento son razonamiento técnico construido a partir de lo que cada tecnología hace y de lo que el sistema necesita; no son citas de una decisión ya documentada por el equipo. Antes de entregar este documento conviene leerlas y hacerlas propias (o ajustarlas) para poder defenderlas con seguridad si el tribunal repregunta puntualmente “¿por qué elegiste X y no Y?” sobre alguna de ellas.</w:t>
            </w:r>
          </w:p>
        </w:tc>
      </w:tr>
    </w:tbl>
    <w:p>
      <w:r>
        <w:br w:type="page"/>
      </w:r>
    </w:p>
    <w:p>
      <w:pPr>
        <w:pStyle w:val="Heading1"/>
        <w:pBdr>
          <w:bottom w:val="single" w:color="2E5FA3" w:sz="8" w:space="4"/>
        </w:pBdr>
        <w:spacing w:after="200" w:before="400"/>
      </w:pPr>
      <w:r>
        <w:rPr>
          <w:b/>
          <w:bCs/>
          <w:color w:val="1F3864"/>
          <w:sz w:val="30"/>
          <w:szCs w:val="30"/>
        </w:rPr>
        <w:t xml:space="preserve">Apéndice — Versiones exactas relevadas (actualización 12/08/2026)</w:t>
      </w:r>
    </w:p>
    <w:p>
      <w:pPr>
        <w:spacing w:after="160" w:line="276"/>
        <w:jc w:val="both"/>
      </w:pPr>
      <w:r>
        <w:rPr>
          <w:rFonts w:ascii="Calibri" w:cs="Calibri" w:eastAsia="Calibri" w:hAnsi="Calibri"/>
          <w:sz w:val="21"/>
          <w:szCs w:val="21"/>
        </w:rPr>
        <w:t xml:space="preserve">Relevamiento posterior, solo lectura (12/08/2026), sobre los manifests reales del repo (requirements.txt, package.json), agregado para que este documento quede verificable con precisión de versión exacta, sin alterar ninguna justificación ya expuesta arriba.</w:t>
      </w:r>
    </w:p>
    <w:p>
      <w:pPr>
        <w:pStyle w:val="ListParagraph"/>
        <w:numPr>
          <w:ilvl w:val="0"/>
          <w:numId w:val="2"/>
        </w:numPr>
        <w:spacing w:after="120" w:line="276"/>
        <w:jc w:val="both"/>
      </w:pPr>
      <w:r>
        <w:rPr>
          <w:rFonts w:ascii="Calibri" w:cs="Calibri" w:eastAsia="Calibri" w:hAnsi="Calibri"/>
          <w:b/>
          <w:bCs/>
          <w:i w:val="false"/>
          <w:iCs w:val="false"/>
          <w:color w:val="000000"/>
          <w:sz w:val="21"/>
          <w:szCs w:val="21"/>
        </w:rPr>
        <w:t xml:space="preserve">API (api/requirements.txt): </w:t>
      </w:r>
      <w:r>
        <w:rPr>
          <w:rFonts w:ascii="Calibri" w:cs="Calibri" w:eastAsia="Calibri" w:hAnsi="Calibri"/>
          <w:b w:val="false"/>
          <w:bCs w:val="false"/>
          <w:i w:val="false"/>
          <w:iCs w:val="false"/>
          <w:color w:val="000000"/>
          <w:sz w:val="21"/>
          <w:szCs w:val="21"/>
        </w:rPr>
        <w:t xml:space="preserve">fastapi 0.104.1, uvicorn[standard] 0.24.0, pydantic 2.4.2, pydantic-settings 2.0.3, scikit-learn 1.4.2, tensorflow sin pin, redis 5.0.0, aioredis 2.0.1, psycopg2-binary 2.9.9, sqlalchemy sin pin, cryptography y python-jose sin pin, python-dotenv 1.0.0.</w:t>
      </w:r>
    </w:p>
    <w:p>
      <w:pPr>
        <w:pStyle w:val="ListParagraph"/>
        <w:numPr>
          <w:ilvl w:val="0"/>
          <w:numId w:val="2"/>
        </w:numPr>
        <w:spacing w:after="120" w:line="276"/>
        <w:jc w:val="both"/>
      </w:pPr>
      <w:r>
        <w:rPr>
          <w:rFonts w:ascii="Calibri" w:cs="Calibri" w:eastAsia="Calibri" w:hAnsi="Calibri"/>
          <w:b/>
          <w:bCs/>
          <w:i w:val="false"/>
          <w:iCs w:val="false"/>
          <w:color w:val="000000"/>
          <w:sz w:val="21"/>
          <w:szCs w:val="21"/>
        </w:rPr>
        <w:t xml:space="preserve">Agente (agent/requirements.txt): </w:t>
      </w:r>
      <w:r>
        <w:rPr>
          <w:rFonts w:ascii="Calibri" w:cs="Calibri" w:eastAsia="Calibri" w:hAnsi="Calibri"/>
          <w:b w:val="false"/>
          <w:bCs w:val="false"/>
          <w:i w:val="false"/>
          <w:iCs w:val="false"/>
          <w:color w:val="000000"/>
          <w:sz w:val="21"/>
          <w:szCs w:val="21"/>
        </w:rPr>
        <w:t xml:space="preserve">requests&gt;=2.32, psutil&gt;=7.0, python-dotenv&gt;=1.0.</w:t>
      </w:r>
    </w:p>
    <w:p>
      <w:pPr>
        <w:pStyle w:val="ListParagraph"/>
        <w:numPr>
          <w:ilvl w:val="0"/>
          <w:numId w:val="2"/>
        </w:numPr>
        <w:spacing w:after="120" w:line="276"/>
        <w:jc w:val="both"/>
      </w:pPr>
      <w:r>
        <w:rPr>
          <w:rFonts w:ascii="Calibri" w:cs="Calibri" w:eastAsia="Calibri" w:hAnsi="Calibri"/>
          <w:b/>
          <w:bCs/>
          <w:i w:val="false"/>
          <w:iCs w:val="false"/>
          <w:color w:val="000000"/>
          <w:sz w:val="21"/>
          <w:szCs w:val="21"/>
        </w:rPr>
        <w:t xml:space="preserve">Frontend (frontend/package.json): </w:t>
      </w:r>
      <w:r>
        <w:rPr>
          <w:rFonts w:ascii="Calibri" w:cs="Calibri" w:eastAsia="Calibri" w:hAnsi="Calibri"/>
          <w:b w:val="false"/>
          <w:bCs w:val="false"/>
          <w:i w:val="false"/>
          <w:iCs w:val="false"/>
          <w:color w:val="000000"/>
          <w:sz w:val="21"/>
          <w:szCs w:val="21"/>
        </w:rPr>
        <w:t xml:space="preserve">react/react-dom 19.2.7, vite 8.1.1, react-router-dom 7.18.1, zod 4.4.3, tailwindcss 4.3.3, recharts 3.9.2, @tanstack/react-query 5.101.2, lucide-react 1.25.0, oxlint 1.71.0.</w:t>
      </w:r>
    </w:p>
    <w:p>
      <w:pPr>
        <w:pStyle w:val="ListParagraph"/>
        <w:numPr>
          <w:ilvl w:val="0"/>
          <w:numId w:val="2"/>
        </w:numPr>
        <w:spacing w:after="120" w:line="276"/>
        <w:jc w:val="both"/>
      </w:pPr>
      <w:r>
        <w:rPr>
          <w:rFonts w:ascii="Calibri" w:cs="Calibri" w:eastAsia="Calibri" w:hAnsi="Calibri"/>
          <w:b/>
          <w:bCs/>
          <w:i w:val="false"/>
          <w:iCs w:val="false"/>
          <w:color w:val="000000"/>
          <w:sz w:val="21"/>
          <w:szCs w:val="21"/>
        </w:rPr>
        <w:t xml:space="preserve">Pipeline offline (scripts/requirements.txt, ml_core/requirements.txt): </w:t>
      </w:r>
      <w:r>
        <w:rPr>
          <w:rFonts w:ascii="Calibri" w:cs="Calibri" w:eastAsia="Calibri" w:hAnsi="Calibri"/>
          <w:b w:val="false"/>
          <w:bCs w:val="false"/>
          <w:i w:val="false"/>
          <w:iCs w:val="false"/>
          <w:color w:val="000000"/>
          <w:sz w:val="21"/>
          <w:szCs w:val="21"/>
        </w:rPr>
        <w:t xml:space="preserve">tensorflow 2.16.1 (pineado), scikit-learn 1.4.2 (scripts/) / 1.3.2 (ml_core/, entrenamiento offline aparte), pandas 2.2.2 / 2.0.3, numpy 1.26.4 / 1.24.3, scipy 1.13.0, joblib 1.4.2, duckdb 1.5.2, imbalanced-learn 0.12.0.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Sistema UEBA Zero Trust — Tecnologías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style>
  <w:style w:type="paragraph" w:styleId="Heading2">
    <w:name w:val="Heading 2"/>
    <w:basedOn w:val="Normal"/>
    <w:next w:val="Normal"/>
    <w:qFormat/>
  </w:style>
  <w:style w:type="paragraph" w:styleId="Heading3">
    <w:name w:val="Heading 3"/>
    <w:basedOn w:val="Normal"/>
    <w:next w:val="Normal"/>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Tecnologías — Stack Tecnológico del Sistema UEBA Zero Trust</dc:title>
  <dc:creator>Proyecto Final Integrador</dc:creator>
  <cp:lastModifiedBy>Un-named</cp:lastModifiedBy>
  <cp:revision>1</cp:revision>
  <dcterms:created xsi:type="dcterms:W3CDTF">2026-08-02T20:00:39.825Z</dcterms:created>
  <dcterms:modified xsi:type="dcterms:W3CDTF">2026-08-02T20:00:39.878Z</dcterms:modified>
</cp:coreProperties>
</file>

<file path=docProps/custom.xml><?xml version="1.0" encoding="utf-8"?>
<Properties xmlns="http://schemas.openxmlformats.org/officeDocument/2006/custom-properties" xmlns:vt="http://schemas.openxmlformats.org/officeDocument/2006/docPropsVTypes"/>
</file>