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Preservación semántica en migraciones de passkeys con CXF y CXP</w:t>
      </w:r>
    </w:p>
    <w:p>
      <w:pPr>
        <w:spacing w:after="400"/>
      </w:pPr>
      <w:r>
        <w:rPr>
          <w:color w:val="414E5C"/>
          <w:sz w:val="22"/>
        </w:rPr>
        <w:t>PasskeyTransit v0.2 Informe reproducible de controles e interoperabilidad</w:t>
      </w:r>
    </w:p>
    <w:p>
      <w:pPr>
        <w:pStyle w:val="Heading1"/>
      </w:pPr>
      <w:r>
        <w:t>Resumen</w:t>
      </w:r>
    </w:p>
    <w:p>
      <w:r>
        <w:t>Estudiamos si una passkey que continúa autenticando después de un intercambio conserva además su identidad, extensiones y garantías operacionales. Presentamos PasskeyTransit v0.2, un harness reproducible para CXF, CXP/HPKE, WebAuthn, mutaciones y fallos transaccionales. La campaña principal ejecutó 6,144 intentos sobre 256 credenciales, 12 rutas y dos repeticiones usando políticas de control y autenticadores virtuales Chromium. Las 6,144 aserciones WebAuthn fueron aceptadas, pero 2,944 intentos (47.92%; IC95% por bootstrap de credencial 43.42%-52.47%) combinaron login correcto con el fallo de otra propiedad aplicable. La preservación semántica completa observable fue 37.50% (2,304/6,144; IC95% 32.42%-42.58%). Estos porcentajes caracterizan estímulos sintéticos diseñados, no productos ni prevalencia real. PRF y preservación positiva de credBlob permanecen no evaluables por límites de la interfaz CDP.</w:t>
      </w:r>
    </w:p>
    <w:p>
      <w:pPr>
        <w:pStyle w:val="Heading1"/>
      </w:pPr>
      <w:r>
        <w:t>Introducción</w:t>
      </w:r>
    </w:p>
    <w:p>
      <w:r>
        <w:t>CXF estandariza la representación de credenciales y CXP propone su transporte protegido. Sin embargo, aceptar un documento e incluso completar una aserción WebAuthn no demuestra por sí solo que sobrevivan todas las propiedades de una passkey. Modelamos la credencial como C=(I,K,F,S): identidad, material criptográfico, funciones observables y garantías operacionales.</w:t>
      </w:r>
    </w:p>
    <w:p>
      <w:r>
        <w:t>La proposición falsable es que una importación aceptada y un login correcto son insuficientes para establecer preservación semántica completa. No formulamos afirmaciones de novedad ni sobre implementaciones comerciales no examinadas.</w:t>
      </w:r>
    </w:p>
    <w:p>
      <w:pPr>
        <w:pStyle w:val="Heading1"/>
      </w:pPr>
      <w:r>
        <w:t>Método</w:t>
      </w:r>
    </w:p>
    <w:p>
      <w:r>
        <w:t>El protocolo passkeytransit-semantic-preservation-v1.0 fue congelado antes de la implementación confirmatoria. El corpus contiene 256 credenciales ES256, 32 en cada uno de ocho estratos: básica, PRF con UV, PRF sin UV, largeBlob, credBlob, marcador de pagos, combinación de extensiones y miembro opcional futuro. Doce rutas cubren migración directa, round trip y multihop.</w:t>
      </w:r>
    </w:p>
    <w:p>
      <w:r>
        <w:t>Cada salto serializa un documento CXF validado y lo transporta mediante HPKE base X25519/HKDF-SHA256/AES-128-GCM. El navegador importa el resultado en un autenticador virtual y ejecuta navigator.credentials.get(). Un verificador Python independiente de la ceremonia comprueba desafío, origen, RP-ID hash, flags UP/UV, firma ES256 y contador cero.</w:t>
      </w:r>
    </w:p>
    <w:p>
      <w:r>
        <w:t>Los oráculos devuelven PASS, FAIL, NOT_APPLICABLE o NOT_EVALUABLE. Separadamente clasificamos estado de ejecución, preservación semántica y evaluación normativa. Los intervalos se obtienen con bootstrap agrupado por credencial; las comparaciones de rutas son pareadas por credencial y repetición.</w:t>
      </w:r>
    </w:p>
    <w:p>
      <w:pPr>
        <w:pStyle w:val="Heading1"/>
      </w:pPr>
      <w:r>
        <w:t>Implementación del transporte</w:t>
      </w:r>
    </w:p>
    <w:p>
      <w:r>
        <w:t>La implementación HPKE reproduce el vector oficial de RFC 9180. El Working Draft CXP no define campos para la encapsulación HPKE ni para el challenge firmado que describe su narrativa, y no concreta completamente el ZIP/JWE. Usamos una extensión experimental autenticada como AAD y no reclamamos interoperabilidad CXP normativa completa.</w:t>
      </w:r>
    </w:p>
    <w:p>
      <w:r>
        <w:t>Una segunda implementación, cryptography 50.0.1, intercambió ciphertexts HPKE en ambas direcciones con PasskeyTransit. Un consumidor Node.js independiente validó el envelope CXF, PKCS#8, SPKI, credential ID y largeBlob DEFLATE. El ensayo híbrido ML-KEM-768+X25519 fue exitoso, pero permanece fuera del perfil CXP y de los estimandos.</w:t>
      </w:r>
    </w:p>
    <w:p>
      <w:pPr>
        <w:pStyle w:val="Heading2"/>
      </w:pPr>
      <w:r>
        <w:t>Implementación CXF externa</w:t>
      </w:r>
    </w:p>
    <w:p>
      <w:r>
        <w:t>La librería Rust credential-exchange-format 0.4.0 de Bitwarden, fijada al commit 0ee5516e4c0481ab6b0a68f8541fc39c3c3379b1, parseó y serializó un documento CXF con passkey y extensiones. El documento normalizado conservó exactamente su hash SHA-256. Esta prueba establece interoperabilidad de formato con una implementación abierta independiente; no ejecuta el flujo de un producto ni autoriza afirmaciones sobre Bitwarden como proveedor.</w:t>
      </w:r>
    </w:p>
    <w:p>
      <w:pPr>
        <w:pStyle w:val="Heading1"/>
      </w:pPr>
      <w:r>
        <w:t>Resultados</w:t>
      </w:r>
    </w:p>
    <w:p>
      <w:pPr>
        <w:pStyle w:val="Heading2"/>
      </w:pPr>
      <w:r>
        <w:t>Campaña C1 con navegador</w:t>
      </w:r>
    </w:p>
    <w:p>
      <w:r>
        <w:t>Todos los 6,144 intentos fueron importados; identidad, correspondencia de clave pública, aserción WebAuthn y UV pasaron en todos ellos. Las dos repeticiones produjeron resultados determinísticos equivalentes.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3395D"/>
          </w:tcPr>
          <w:p>
            <w:r>
              <w:rPr>
                <w:b/>
                <w:color w:val="FFFFFF"/>
              </w:rPr>
              <w:t>Clase semántica</w:t>
            </w:r>
          </w:p>
        </w:tc>
        <w:tc>
          <w:tcPr>
            <w:tcW w:type="dxa" w:w="32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3395D"/>
          </w:tcPr>
          <w:p>
            <w:pPr>
              <w:jc w:val="center"/>
            </w:pPr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32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3395D"/>
          </w:tcPr>
          <w:p>
            <w:pPr>
              <w:jc w:val="center"/>
            </w:pPr>
            <w:r>
              <w:rPr>
                <w:b/>
                <w:color w:val="FFFFFF"/>
              </w:rPr>
              <w:t>Proporción</w:t>
            </w:r>
          </w:p>
        </w:tc>
      </w:tr>
      <w:tr>
        <w:tc>
          <w:tcPr>
            <w:tcW w:type="dxa" w:w="32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PASS</w:t>
            </w:r>
          </w:p>
        </w:tc>
        <w:tc>
          <w:tcPr>
            <w:tcW w:type="dxa" w:w="32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t>2,304</w:t>
            </w:r>
          </w:p>
        </w:tc>
        <w:tc>
          <w:tcPr>
            <w:tcW w:type="dxa" w:w="32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t>37.50%</w:t>
            </w:r>
          </w:p>
        </w:tc>
      </w:tr>
      <w:tr>
        <w:tc>
          <w:tcPr>
            <w:tcW w:type="dxa" w:w="32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8"/>
          </w:tcPr>
          <w:p>
            <w:r>
              <w:t>Degradación visible</w:t>
            </w:r>
          </w:p>
        </w:tc>
        <w:tc>
          <w:tcPr>
            <w:tcW w:type="dxa" w:w="32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8"/>
          </w:tcPr>
          <w:p>
            <w:pPr>
              <w:jc w:val="center"/>
            </w:pPr>
            <w:r>
              <w:t>1,408</w:t>
            </w:r>
          </w:p>
        </w:tc>
        <w:tc>
          <w:tcPr>
            <w:tcW w:type="dxa" w:w="32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8"/>
          </w:tcPr>
          <w:p>
            <w:pPr>
              <w:jc w:val="center"/>
            </w:pPr>
            <w:r>
              <w:t>22.92%</w:t>
            </w:r>
          </w:p>
        </w:tc>
      </w:tr>
      <w:tr>
        <w:tc>
          <w:tcPr>
            <w:tcW w:type="dxa" w:w="32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Degradación silenciosa</w:t>
            </w:r>
          </w:p>
        </w:tc>
        <w:tc>
          <w:tcPr>
            <w:tcW w:type="dxa" w:w="32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t>1,920</w:t>
            </w:r>
          </w:p>
        </w:tc>
        <w:tc>
          <w:tcPr>
            <w:tcW w:type="dxa" w:w="32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t>31.25%</w:t>
            </w:r>
          </w:p>
        </w:tc>
      </w:tr>
      <w:tr>
        <w:tc>
          <w:tcPr>
            <w:tcW w:type="dxa" w:w="32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8"/>
          </w:tcPr>
          <w:p>
            <w:r>
              <w:t>No evaluable</w:t>
            </w:r>
          </w:p>
        </w:tc>
        <w:tc>
          <w:tcPr>
            <w:tcW w:type="dxa" w:w="32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8"/>
          </w:tcPr>
          <w:p>
            <w:pPr>
              <w:jc w:val="center"/>
            </w:pPr>
            <w:r>
              <w:t>512</w:t>
            </w:r>
          </w:p>
        </w:tc>
        <w:tc>
          <w:tcPr>
            <w:tcW w:type="dxa" w:w="32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8"/>
          </w:tcPr>
          <w:p>
            <w:pPr>
              <w:jc w:val="center"/>
            </w:pPr>
            <w:r>
              <w:t>8.33%</w:t>
            </w:r>
          </w:p>
        </w:tc>
      </w:tr>
    </w:tbl>
    <w:p>
      <w:pPr>
        <w:spacing w:after="40"/>
      </w:pPr>
    </w:p>
    <w:p>
      <w:r>
        <w:t>La tasa de degradación silenciosa fue 31.25% (1,920/6,144; IC95% 28.78%-33.66%). largeBlob fue observable en 1.536 casos aplicables: 768 pasaron y 768 fallaron según la ruta de control. La pérdida en un intermediario persistió al volver a un destino capaz, produciendo discordancias en comparaciones pareadas con el mismo destino.</w:t>
      </w:r>
    </w:p>
    <w:p>
      <w:pPr>
        <w:pStyle w:val="Heading2"/>
      </w:pPr>
      <w:r>
        <w:t>Robustez C2</w:t>
      </w:r>
    </w:p>
    <w:p>
      <w:r>
        <w:t>C2 ejecutó 80 casos: diez familias sobre ocho estratos. Se rechazaron 48 documentos inválidos o colisiones. Los 16 casos de key mismatch o cambio de RP ID fueron importados por el control sintáctico, pero los oráculos los clasificaron como degradación silenciosa y violación. Los 16 casos con miembro opcional desconocido o versión menor futura fueron importados sin error estructural. Las familias se informan separadamente y no se calcula un porcentaje agrupado.</w:t>
      </w:r>
    </w:p>
    <w:p>
      <w:pPr>
        <w:pStyle w:val="Heading2"/>
      </w:pPr>
      <w:r>
        <w:t>Fallos y recuperación C3</w:t>
      </w:r>
    </w:p>
    <w:p>
      <w:r>
        <w:t>C3 ejecutó 960 secuencias y 1920 eventos. En 832 secuencias (86.67%) hubo rollback completo y el retry convergió a una copia. Las 128 fallas restantes fueron el control positivo deliberado: legacy conservó un provisional en los dos puntos tardíos y el retry creó un duplicado, haciendo fallar atomicidad e idempotencia.</w:t>
      </w:r>
    </w:p>
    <w:p>
      <w:pPr>
        <w:pStyle w:val="Heading1"/>
      </w:pPr>
      <w:r>
        <w:t>Discusión</w:t>
      </w:r>
    </w:p>
    <w:p>
      <w:r>
        <w:t>El experimento demuestra una capacidad del método, no una incidencia del mundo real: la autenticación funcionó en el 100% de los intentos, incluidos aquellos en los que los controles descartaron otras propiedades. Por tanto, un test de login aislado no es un oráculo suficiente para migración semántica.</w:t>
      </w:r>
    </w:p>
    <w:p>
      <w:r>
        <w:t>También observamos dependencia de ruta: un destino final sin pérdidas propias no puede reconstruir material descartado por un intermediario. La declaración pre-commit cambia además la clasificación de una misma pérdida de silenciosa a visible, aun cuando el estado final de la credencial sea idéntico.</w:t>
      </w:r>
    </w:p>
    <w:p>
      <w:pPr>
        <w:pStyle w:val="Heading1"/>
      </w:pPr>
      <w:r>
        <w:t>Limitaciones</w:t>
      </w:r>
    </w:p>
    <w:p>
      <w:pPr>
        <w:pStyle w:val="ListBullet"/>
      </w:pPr>
      <w:r>
        <w:t>Los cuatro perfiles son controles sintéticos, no proveedores comerciales.</w:t>
      </w:r>
    </w:p>
    <w:p>
      <w:pPr>
        <w:pStyle w:val="ListBullet"/>
      </w:pPr>
      <w:r>
        <w:t>CDP no permite inyectar HMAC/PRF ni credBlob; los casos positivos son NOT_EVALUABLE, nunca PASS.</w:t>
      </w:r>
    </w:p>
    <w:p>
      <w:pPr>
        <w:pStyle w:val="ListBullet"/>
      </w:pPr>
      <w:r>
        <w:t>No ejecutamos Secure Payment Confirmation.</w:t>
      </w:r>
    </w:p>
    <w:p>
      <w:pPr>
        <w:pStyle w:val="ListBullet"/>
      </w:pPr>
      <w:r>
        <w:t>El binding adicional de CXP es experimental y no resuelve autenticación de identidad del exportador en modo HPKE base.</w:t>
      </w:r>
    </w:p>
    <w:p>
      <w:pPr>
        <w:pStyle w:val="ListBullet"/>
      </w:pPr>
      <w:r>
        <w:t>El ensayo PQC prueba disponibilidad criptográfica, no un perfil CXP-PQC.</w:t>
      </w:r>
    </w:p>
    <w:p>
      <w:pPr>
        <w:pStyle w:val="ListBullet"/>
      </w:pPr>
      <w:r>
        <w:t>No se permite inferir vulnerabilidades, prevalencia de fallos ni superioridad de productos a partir de estos controles.</w:t>
      </w:r>
    </w:p>
    <w:p>
      <w:pPr>
        <w:pStyle w:val="Heading1"/>
      </w:pPr>
      <w:r>
        <w:t>Reproducibilidad</w:t>
      </w:r>
    </w:p>
    <w:p>
      <w:r>
        <w:t>Los artefactos raw son JSONL inmutables; los derivados y manifiestos incluyen hashes SHA-256 del protocolo, resultados, navegador y commit. La campaña C1 se ejecutó con Edge 153.0.4234.32 y Playwright 1.62.0 desde un árbol Git limpio. El repositorio incluye comandos de una sola operación para tests, C1, C2, C3, interoperabilidad y regeneración de este análisis.</w:t>
      </w:r>
    </w:p>
    <w:p>
      <w:pPr>
        <w:pStyle w:val="Heading1"/>
      </w:pPr>
      <w:r>
        <w:t>Conclusión</w:t>
      </w:r>
    </w:p>
    <w:p>
      <w:r>
        <w:t>PasskeyTransit distingue correctamente compatibilidad sintáctica, autenticación básica, preservación funcional y recuperación operacional. Los controles confirman la proposición metodológica: una aserción válida no basta para afirmar que una passkey migrada conserva todas sus garantías. El paso necesario para generalizar es ejecutar adaptadores identificados e independientes, manteniendo los mismos oráculos y límites de afirmación.</w:t>
      </w:r>
    </w:p>
    <w:p>
      <w:r>
        <w:br w:type="page"/>
      </w:r>
    </w:p>
    <w:p>
      <w:pPr>
        <w:pStyle w:val="Heading1"/>
      </w:pPr>
      <w:r>
        <w:t>Referencias</w:t>
      </w:r>
    </w:p>
    <w:p>
      <w:pPr>
        <w:spacing w:after="60"/>
        <w:ind w:left="360" w:hanging="360"/>
      </w:pPr>
      <w:r>
        <w:t>1. FIDO Alliance, Credential Exchange Format v1.0 Proposed Standard Errata, 2026, https://fidoalliance.org/specifications/.</w:t>
      </w:r>
    </w:p>
    <w:p>
      <w:pPr>
        <w:spacing w:after="60"/>
        <w:ind w:left="360" w:hanging="360"/>
      </w:pPr>
      <w:r>
        <w:t>2. FIDO Alliance, Credential Exchange Protocol v1.0 Working Draft, 2024-10-03, https://fidoalliance.org/specs/cx/cxp-v1.0-wd-20241003.html.</w:t>
      </w:r>
    </w:p>
    <w:p>
      <w:pPr>
        <w:spacing w:after="60"/>
        <w:ind w:left="360" w:hanging="360"/>
      </w:pPr>
      <w:r>
        <w:t>3. Barnes et al., Hybrid Public Key Encryption, RFC 9180, 2022, https://www.rfc-editor.org/rfc/rfc9180.</w:t>
      </w:r>
    </w:p>
    <w:p>
      <w:pPr>
        <w:spacing w:after="60"/>
        <w:ind w:left="360" w:hanging="360"/>
      </w:pPr>
      <w:r>
        <w:t>4. W3C, Web Authentication Level 3 Candidate Recommendation, 2026-05-26, https://www.w3.org/TR/webauthn-3/.</w:t>
      </w:r>
    </w:p>
    <w:p>
      <w:pPr>
        <w:spacing w:after="60"/>
        <w:ind w:left="360" w:hanging="360"/>
      </w:pPr>
      <w:r>
        <w:t>5. PyCA, cryptography HPKE API documentation, https://cryptography.io/en/49.0.0/hazmat/primitives/hpke/.</w:t>
      </w:r>
    </w:p>
    <w:p>
      <w:pPr>
        <w:spacing w:after="60"/>
        <w:ind w:left="360" w:hanging="360"/>
      </w:pPr>
      <w:r>
        <w:t>6. Bitwarden, credential-exchange v0.4.0, https://github.com/bitwarden/credential-exchange/tree/v0.4.0.</w:t>
      </w:r>
    </w:p>
    <w:p>
      <w:pPr>
        <w:spacing w:after="60"/>
        <w:ind w:left="360" w:hanging="360"/>
      </w:pPr>
      <w:r>
        <w:t>7. Jannett et al., The State of Passkeys, USENIX Security 2026, https://www.usenix.org/conference/usenixsecurity26/presentation/jannett.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PasskeyTransit v0.2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 w:cs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0" w:hanging="25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