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jc w:val="center"/>
      </w:pPr>
      <w:r>
        <w:rPr>
          <w:rFonts w:ascii="Aptos Display" w:hAnsi="Aptos Display"/>
          <w:b/>
          <w:color w:val="172A3A"/>
          <w:sz w:val="44"/>
        </w:rPr>
        <w:t>La misma clave, distintas garantías</w:t>
      </w:r>
    </w:p>
    <w:p>
      <w:pPr>
        <w:spacing w:after="260"/>
        <w:jc w:val="center"/>
      </w:pPr>
      <w:r>
        <w:rPr>
          <w:rFonts w:ascii="Aptos Display" w:hAnsi="Aptos Display"/>
          <w:b/>
          <w:color w:val="1F5A7A"/>
          <w:sz w:val="27"/>
        </w:rPr>
        <w:t>Preservación de propiedades de seguridad en la migración de passkeys</w:t>
      </w:r>
    </w:p>
    <w:p>
      <w:pPr>
        <w:spacing w:after="280"/>
        <w:jc w:val="center"/>
      </w:pPr>
      <w:r>
        <w:rPr>
          <w:rFonts w:ascii="Aptos" w:hAnsi="Aptos"/>
          <w:color w:val="596773"/>
          <w:sz w:val="18"/>
        </w:rPr>
        <w:t>[Nombre del autor] · [Afiliación] · [correo electrónico]</w:t>
      </w:r>
    </w:p>
    <w:p>
      <w:pPr>
        <w:spacing w:after="160"/>
      </w:pPr>
      <w:r>
        <w:rPr>
          <w:rFonts w:ascii="Aptos" w:hAnsi="Aptos"/>
          <w:b/>
          <w:color w:val="8A4B00"/>
          <w:sz w:val="17"/>
        </w:rPr>
        <w:t xml:space="preserve">NOTA DE ALCANCE. </w:t>
      </w:r>
      <w:r>
        <w:rPr>
          <w:rFonts w:ascii="Aptos" w:hAnsi="Aptos"/>
          <w:i/>
          <w:color w:val="8A4B00"/>
          <w:sz w:val="17"/>
        </w:rPr>
        <w:t>Este documento es un paper hipotético. Las implementaciones, mediciones y vulnerabilidades son inventadas, aunque técnicamente verosímiles. No deben citarse como hallazgos reales.</w:t>
      </w:r>
    </w:p>
    <w:p>
      <w:pPr>
        <w:pStyle w:val="Heading1"/>
        <w:keepNext/>
      </w:pPr>
      <w:r>
        <w:t>Resumen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Credential Exchange Format (CXF) y Credential Exchange Protocol (CXP) buscan permitir la transferencia segura de passkeys y otras credenciales entre credential providers. Aunque estos mecanismos protegen el transporte y estandarizan la representación de las credenciales, no está claro si una passkey conserva sus propiedades funcionales y de seguridad cuando cambia de custodio.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Presentamos el primer estudio sistemático hipotético sobre preservación semántica en la migración de passkeys. Definimos un modelo de equivalencia en tres niveles: identidad criptográfica, equivalencia funcional y equivalencia de seguridad. Desarrollamos PasskeyTransit, un framework de differential testing que genera credenciales sintéticas, ejecuta migraciones y verifica credenciales importadas mediante ceremonias WebAuthn y extensiones como PRF, hmac-secret, largeBlob y credBlob.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Evaluamos cinco implementaciones mediante 1.248 credenciales sintéticas y 18.720 rutas de migración. Aunque el 98,1 % de las credenciales importadas conservó la capacidad básica de autenticación, sólo el 72,6 % preservó todas las propiedades funcionales aplicables. Encontramos 43 divergencias, incluyendo pérdida silenciosa de extensiones, importaciones no idempotentes, degradaciones durante downgrades y resultados PRF inconsistentes después de migraciones múltiples.</w:t>
      </w:r>
    </w:p>
    <w:p>
      <w:pPr>
        <w:spacing w:after="160"/>
      </w:pPr>
      <w:r>
        <w:rPr>
          <w:rFonts w:ascii="Aptos" w:hAnsi="Aptos"/>
          <w:b/>
          <w:color w:val="172A3A"/>
          <w:sz w:val="17"/>
        </w:rPr>
        <w:t xml:space="preserve">Palabras clave: </w:t>
      </w:r>
      <w:r>
        <w:rPr>
          <w:rFonts w:ascii="Aptos" w:hAnsi="Aptos"/>
          <w:i/>
          <w:color w:val="000000"/>
          <w:sz w:val="17"/>
        </w:rPr>
        <w:t>passkeys, WebAuthn, CXF, CXP, credential providers, differential testing, interoperabilidad.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08" w:bottom="1008" w:left="1008" w:header="432" w:footer="504" w:gutter="0"/>
          <w:cols w:space="720"/>
          <w:docGrid w:linePitch="360"/>
        </w:sectPr>
      </w:pPr>
    </w:p>
    <w:p>
      <w:pPr>
        <w:pStyle w:val="Heading1"/>
        <w:keepNext/>
      </w:pPr>
      <w:r>
        <w:t>1. Introducción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Las passkeys utilizan criptografía de clave pública para reemplazar contraseñas y proporcionar autenticación resistente al phishing. En WebAuthn, el relying party almacena una clave pública mientras la clave privada permanece bajo el control de un authenticator o credential provider.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 expansión de passkeys sincronizadas introdujo un problema de portabilidad. Una persona que cambia de password manager o ecosistema necesita transferir sus credenciales sin exportar claves privadas mediante archivos de texto inseguros y sin registrar manualmente una passkey nueva en cada servicio.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FIDO Alliance desarrolló CXF, que define la representación de credenciales transferidas, y CXP, que define un protocolo de intercambio protegido entre proveedores. Sin embargo, la confidencialidad del transporte responde sólo una parte del problema. Una passkey importada puede generar firmas válidas y aun así perder resultados PRF, blobs asociados, soporte para pagos, restricciones operacionales o información de custodia.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Pregunta central: ¿qué significa que una passkey siga siendo «la misma» después de cambiar de credential provider? Distinguimos equivalencia criptográfica, funcional y de seguridad.</w:t>
      </w:r>
    </w:p>
    <w:p>
      <w:pPr>
        <w:pStyle w:val="Heading2"/>
        <w:keepNext/>
      </w:pPr>
      <w:r>
        <w:t>1.1 Contribuciones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Modelo de preservación de propiedades para passkeys migradas.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Concepto de credential clone set para representar custodios capaces de utilizar una misma clave.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PasskeyTransit, framework para generar, migrar y ejecutar passkeys sintéticas.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Corpus de 1.248 credenciales con algoritmos, extensiones y condiciones adversariales.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Evaluación de cinco implementaciones mediante rutas directas, round trips y múltiples proveedores.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Reglas para propiedades críticas, atomicidad, idempotencia y consentimiento informado.</w:t>
      </w:r>
    </w:p>
    <w:p>
      <w:pPr>
        <w:pStyle w:val="Heading1"/>
        <w:keepNext/>
      </w:pPr>
      <w:r>
        <w:t>2. Antecedentes</w:t>
      </w:r>
    </w:p>
    <w:p>
      <w:pPr>
        <w:pStyle w:val="Heading2"/>
        <w:keepNext/>
      </w:pPr>
      <w:r>
        <w:t>2.1 WebAuthn y passkeys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Durante el registro WebAuthn, un authenticator crea un par (skC, pkC). El relying party registra pkC; una assertion posterior demuestra posesión de skC mediante una firma sobre authenticatorData y el hash de clientDataJSON.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Además de la clave, una passkey incorpora credential ID, RP ID, user handle, atributos presentables, extensiones WebAuthn/CTAP y propiedades operacionales del proveedor.</w:t>
      </w:r>
    </w:p>
    <w:p>
      <w:pPr>
        <w:pStyle w:val="Heading2"/>
        <w:keepNext/>
      </w:pPr>
      <w:r>
        <w:t>2.2 Credential Exchange Format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CXF representa una passkey mediante credentialId, rpId, username, userDisplayName, userHandle, una clave privada PKCS#8 y extensiones FIDO2 opcionales. La clave debe producir la misma clave pública registrada originalmente. CXF contempla PRF/hmac-secret, credBlob, largeBlob y Secure Payment Confirmation.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 especificación excluye de la exportación passkeys cuyo signature counter sea distinto de cero. Los importadores deben establecerlo en cero y no incrementarlo, una decisión compatible con credenciales sincronizadas pero insuficiente para detectar copias.</w:t>
      </w:r>
    </w:p>
    <w:p>
      <w:pPr>
        <w:pStyle w:val="Heading2"/>
        <w:keepNext/>
      </w:pPr>
      <w:r>
        <w:t>2.3 Credential Exchange Protocol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CXP permite que un importador solicite credenciales indicando versión, algoritmos HPKE, formato de archivo, modo de respuesta, identidad declarada, tipos de credenciales y extensiones conocidas. El exportador construye una respuesta cifrada. El protocolo protege el intercambio, pero no cubre completamente amenazas introducidas por los propios proveedores ni la destrucción posterior de copias.</w:t>
      </w:r>
    </w:p>
    <w:p>
      <w:pPr>
        <w:pStyle w:val="Heading2"/>
        <w:keepNext/>
      </w:pPr>
      <w:r>
        <w:t>2.4 Conjunto de clones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Definimos CloneSet(C,t) como el conjunto de custodios capaces de producir una assertion válida para C en el instante t. Una migración A→B puede transformar {A} en {A,B}; por tanto, salvo eliminación o rotación, amplía el conjunto de entidades capaces de utilizar la credencial.</w:t>
      </w:r>
    </w:p>
    <w:p>
      <w:pPr>
        <w:pStyle w:val="Heading1"/>
        <w:keepNext/>
      </w:pPr>
      <w:r>
        <w:t>3. Modelo de preservación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Representamos una passkey como C=(I,K,F,S), donde I contiene identidad y binding, K material criptográfico, F capacidades funcionales y S propiedades operacionales y de seguridad. Una migración M produce C'=M(C,A,B).</w:t>
      </w:r>
    </w:p>
    <w:p>
      <w:pPr>
        <w:pStyle w:val="Heading2"/>
        <w:keepNext/>
      </w:pPr>
      <w:r>
        <w:t>3.1 Equivalencia criptográfica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C y C' son criptográficamente equivalentes cuando preservan clave pública, credential ID, RP ID y user handle, y una assertion producida por C' es aceptada por el registro original.</w:t>
      </w:r>
    </w:p>
    <w:p>
      <w:pPr>
        <w:pStyle w:val="Heading2"/>
        <w:keepNext/>
      </w:pPr>
      <w:r>
        <w:t>3.2 Equivalencia funcional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Existe equivalencia funcional cuando, además de la identidad criptográfica, toda operación soportada por ambos proveedores produce resultados equivalentes. Para PRF exigimos PRF(C,s)=PRF(C',s) para cada salt de prueba; para blobs exigimos igualdad exacta.</w:t>
      </w:r>
    </w:p>
    <w:p>
      <w:pPr>
        <w:pStyle w:val="Heading2"/>
        <w:keepNext/>
      </w:pPr>
      <w:r>
        <w:t>3.3 Equivalencia de seguridad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Existe equivalencia de seguridad cuando se conserva la funcionalidad, no aparecen custodios no autorizados, las degradaciones se comunican, las restricciones críticas se respetan, la operación es atómica o recuperable y los retries no crean estados ambiguos.</w:t>
      </w:r>
    </w:p>
    <w:p>
      <w:pPr>
        <w:pStyle w:val="Heading2"/>
        <w:keepNext/>
      </w:pPr>
      <w:r>
        <w:t>3.4 Clases de degradación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1150"/>
        <w:gridCol w:w="3570"/>
      </w:tblGrid>
      <w:tr>
        <w:trPr>
          <w:tblHeader w:val="true"/>
        </w:trPr>
        <w:tc>
          <w:tcPr>
            <w:tcW w:type="dxa" w:w="115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Clase</w:t>
            </w:r>
          </w:p>
        </w:tc>
        <w:tc>
          <w:tcPr>
            <w:tcW w:type="dxa" w:w="357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Definición</w:t>
            </w:r>
          </w:p>
        </w:tc>
      </w:tr>
      <w:tr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Explícita</w:t>
            </w:r>
          </w:p>
        </w:tc>
        <w:tc>
          <w:tcPr>
            <w:tcW w:type="dxa" w:w="35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Informada y aceptada por el usuario.</w:t>
            </w:r>
          </w:p>
        </w:tc>
      </w:tr>
      <w:tr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Silenciosa</w:t>
            </w:r>
          </w:p>
        </w:tc>
        <w:tc>
          <w:tcPr>
            <w:tcW w:type="dxa" w:w="35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La importación finaliza sin indicar la pérdida.</w:t>
            </w:r>
          </w:p>
        </w:tc>
      </w:tr>
      <w:tr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Funcional</w:t>
            </w:r>
          </w:p>
        </w:tc>
        <w:tc>
          <w:tcPr>
            <w:tcW w:type="dxa" w:w="35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Desaparece una capacidad de la credencial.</w:t>
            </w:r>
          </w:p>
        </w:tc>
      </w:tr>
      <w:tr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Operacional</w:t>
            </w:r>
          </w:p>
        </w:tc>
        <w:tc>
          <w:tcPr>
            <w:tcW w:type="dxa" w:w="35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Cambia custodia, recuperación o exportabilidad.</w:t>
            </w:r>
          </w:p>
        </w:tc>
      </w:tr>
      <w:tr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Crítica</w:t>
            </w:r>
          </w:p>
        </w:tc>
        <w:tc>
          <w:tcPr>
            <w:tcW w:type="dxa" w:w="35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Puede permitir uso indebido o pérdida irreversible.</w:t>
            </w:r>
          </w:p>
        </w:tc>
      </w:tr>
      <w:tr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Transitoria/Persistente</w:t>
            </w:r>
          </w:p>
        </w:tc>
        <w:tc>
          <w:tcPr>
            <w:tcW w:type="dxa" w:w="35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Existe sólo durante el flujo o permanece después.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Preguntas de investigación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RQ1. ¿Con qué frecuencia se preserva la identidad criptográfica?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RQ2. ¿Qué propiedades funcionales se pierden en rutas directas y de múltiples saltos?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RQ3. ¿Cómo se manejan extensiones desconocidas, downgrades, duplicados y fallos parciales?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RQ4. ¿Puede el usuario o el relying party observar la evolución del conjunto de custodios?</w:t>
      </w:r>
    </w:p>
    <w:p>
      <w:pPr>
        <w:pStyle w:val="Heading1"/>
        <w:keepNext/>
      </w:pPr>
      <w:r>
        <w:t>5. PasskeyTransit</w:t>
      </w:r>
    </w:p>
    <w:p>
      <w:pPr>
        <w:pStyle w:val="Heading2"/>
        <w:keepNext/>
      </w:pPr>
      <w:r>
        <w:t>5.1 Arquitectura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PasskeyTransit combina un generador de credenciales, un relying party local, adaptadores de proveedores, un mutador estructural y semántico, y oráculos independientes. El ground truth almacena claves, IDs, resultados PRF, blobs y propiedades esperadas.</w:t>
      </w:r>
    </w:p>
    <w:p>
      <w:pPr>
        <w:pStyle w:val="Heading2"/>
        <w:keepNext/>
      </w:pPr>
      <w:r>
        <w:t>5.2 Proveedores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820"/>
      </w:tblGrid>
      <w:tr>
        <w:trPr>
          <w:tblHeader w:val="true"/>
        </w:trPr>
        <w:tc>
          <w:tcPr>
            <w:tcW w:type="dxa" w:w="9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Proveedor</w:t>
            </w:r>
          </w:p>
        </w:tc>
        <w:tc>
          <w:tcPr>
            <w:tcW w:type="dxa" w:w="38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Perfil</w:t>
            </w:r>
          </w:p>
        </w:tc>
      </w:tr>
      <w:tr>
        <w:tc>
          <w:tcPr>
            <w:tcW w:type="dxa" w:w="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P1</w:t>
            </w:r>
          </w:p>
        </w:tc>
        <w:tc>
          <w:tcPr>
            <w:tcW w:type="dxa" w:w="38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Referencia estricta; rechaza degradaciones críticas.</w:t>
            </w:r>
          </w:p>
        </w:tc>
      </w:tr>
      <w:tr>
        <w:tc>
          <w:tcPr>
            <w:tcW w:type="dxa" w:w="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P2</w:t>
            </w:r>
          </w:p>
        </w:tc>
        <w:tc>
          <w:tcPr>
            <w:tcW w:type="dxa" w:w="38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Referencia permisiva; conserva lo que puede.</w:t>
            </w:r>
          </w:p>
        </w:tc>
      </w:tr>
      <w:tr>
        <w:tc>
          <w:tcPr>
            <w:tcW w:type="dxa" w:w="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P3</w:t>
            </w:r>
          </w:p>
        </w:tc>
        <w:tc>
          <w:tcPr>
            <w:tcW w:type="dxa" w:w="38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Legacy; sólo identidad básica.</w:t>
            </w:r>
          </w:p>
        </w:tc>
      </w:tr>
      <w:tr>
        <w:tc>
          <w:tcPr>
            <w:tcW w:type="dxa" w:w="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P4</w:t>
            </w:r>
          </w:p>
        </w:tc>
        <w:tc>
          <w:tcPr>
            <w:tcW w:type="dxa" w:w="38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Prototipo independiente en Rust.</w:t>
            </w:r>
          </w:p>
        </w:tc>
      </w:tr>
      <w:tr>
        <w:tc>
          <w:tcPr>
            <w:tcW w:type="dxa" w:w="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P5</w:t>
            </w:r>
          </w:p>
        </w:tc>
        <w:tc>
          <w:tcPr>
            <w:tcW w:type="dxa" w:w="38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Prototipo integrado con una API de plataforma.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Mutaciones y oráculos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El mutador elimina, duplica o altera campos; trunca base64url y PKCS#8; cambia RP IDs; introduce extensiones desconocidas, versiones futuras y estructuras profundas. Los oráculos verifican conformidad, correspondencia de claves, assertions WebAuthn, equivalencia de extensiones y divergencia semántica.</w:t>
      </w:r>
    </w:p>
    <w:p>
      <w:pPr>
        <w:pStyle w:val="Heading2"/>
        <w:keepNext/>
      </w:pPr>
      <w:r>
        <w:t>5.4 Rutas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Ejecutamos rutas A→B, A→B→A, A→B→C y A→B→C→A. Repetimos importaciones idénticas para evaluar idempotencia y modificamos metadata entre reintentos.</w:t>
      </w:r>
    </w:p>
    <w:p>
      <w:pPr>
        <w:pStyle w:val="Heading1"/>
        <w:keepNext/>
      </w:pPr>
      <w:r>
        <w:t>6. Metodología experimental</w:t>
      </w:r>
    </w:p>
    <w:p>
      <w:pPr>
        <w:pStyle w:val="Heading2"/>
        <w:keepNext/>
      </w:pPr>
      <w:r>
        <w:t>6.1 Corpus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3340"/>
        <w:gridCol w:w="1380"/>
      </w:tblGrid>
      <w:tr>
        <w:trPr>
          <w:tblHeader w:val="true"/>
        </w:trPr>
        <w:tc>
          <w:tcPr>
            <w:tcW w:type="dxa" w:w="334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Categoría</w:t>
            </w:r>
          </w:p>
        </w:tc>
        <w:tc>
          <w:tcPr>
            <w:tcW w:type="dxa" w:w="138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N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Básicas ES256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240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PRF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208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hmac-secret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160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largeBlob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160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credBlob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160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Payments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Múltiples extensiones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120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Extensiones desconocidas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120</w:t>
            </w:r>
          </w:p>
        </w:tc>
      </w:tr>
      <w:tr>
        <w:tc>
          <w:tcPr>
            <w:tcW w:type="dxa" w:w="33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Total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1248</w:t>
            </w:r>
          </w:p>
        </w:tc>
      </w:tr>
    </w:tbl>
    <w:p>
      <w:pPr>
        <w:spacing w:after="0"/>
      </w:pP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El corpus varía credential IDs, RP IDs, user handles, nombres, tamaños, duplicados y campos opcionales. Todas las credenciales son sintéticas y reproducibles a partir de semillas.</w:t>
      </w:r>
    </w:p>
    <w:p>
      <w:pPr>
        <w:pStyle w:val="Heading2"/>
        <w:keepNext/>
      </w:pPr>
      <w:r>
        <w:t>6.2 Ejecuciones y fallos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Ejecutamos 18.720 rutas: 6.240 migraciones directas, 6.240 round trips y 6.240 rutas de tres o más proveedores. Inyectamos fallos después de la aprobación, creación del payload, descifrado, primera persistencia y antes del commit.</w:t>
      </w:r>
    </w:p>
    <w:p>
      <w:pPr>
        <w:pStyle w:val="Heading2"/>
        <w:keepNext/>
      </w:pPr>
      <w:r>
        <w:t>6.3 Clasificación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Cada divergencia fue clasificada como permitida, ambigua, degradación visible, degradación silenciosa, violación normativa o violación de seguridad. El acuerdo interevaluador hipotético fue κ=0,84.</w:t>
      </w:r>
    </w:p>
    <w:p>
      <w:pPr>
        <w:pStyle w:val="Heading1"/>
        <w:keepNext/>
      </w:pPr>
      <w:r>
        <w:t>7. Resultados</w:t>
      </w:r>
    </w:p>
    <w:p>
      <w:pPr>
        <w:pStyle w:val="Heading2"/>
        <w:keepNext/>
      </w:pPr>
      <w:r>
        <w:t>7.1 Preservación criptográfica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El 98,1 % de las credenciales importadas conservó la identidad criptográfica completa. En 61 casos el importador aceptó el documento, pero la credencial resultante no produjo una assertion válida.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1520"/>
      </w:tblGrid>
      <w:tr>
        <w:trPr>
          <w:tblHeader w:val="true"/>
        </w:trPr>
        <w:tc>
          <w:tcPr>
            <w:tcW w:type="dxa" w:w="32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Resultado</w:t>
            </w:r>
          </w:p>
        </w:tc>
        <w:tc>
          <w:tcPr>
            <w:tcW w:type="dxa" w:w="15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%</w:t>
            </w:r>
          </w:p>
        </w:tc>
      </w:tr>
      <w:tr>
        <w:tc>
          <w:tcPr>
            <w:tcW w:type="dxa" w:w="3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Identidad preservada</w:t>
            </w:r>
          </w:p>
        </w:tc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98,1</w:t>
            </w:r>
          </w:p>
        </w:tc>
      </w:tr>
      <w:tr>
        <w:tc>
          <w:tcPr>
            <w:tcW w:type="dxa" w:w="3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Rechazo correcto</w:t>
            </w:r>
          </w:p>
        </w:tc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1,2</w:t>
            </w:r>
          </w:p>
        </w:tc>
      </w:tr>
      <w:tr>
        <w:tc>
          <w:tcPr>
            <w:tcW w:type="dxa" w:w="3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Importada, no autenticable</w:t>
            </w:r>
          </w:p>
        </w:tc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0,5</w:t>
            </w:r>
          </w:p>
        </w:tc>
      </w:tr>
      <w:tr>
        <w:tc>
          <w:tcPr>
            <w:tcW w:type="dxa" w:w="3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Asociación incorrecta</w:t>
            </w:r>
          </w:p>
        </w:tc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0,2</w:t>
            </w:r>
          </w:p>
        </w:tc>
      </w:tr>
    </w:tbl>
    <w:p>
      <w:pPr>
        <w:spacing w:after="0"/>
      </w:pP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Las causas fueron clave no persistida (22), normalización incorrecta del credential ID (17), asociación a RP ID incorrecto (8) y reemplazo ambiguo (14). Los casos de RP ID incorrecto aparecieron sólo con inputs mutados inválidos.</w:t>
      </w:r>
    </w:p>
    <w:p>
      <w:pPr>
        <w:pStyle w:val="Heading2"/>
        <w:keepNext/>
      </w:pPr>
      <w:r>
        <w:t>7.2 Preservación funcional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Sólo el 72,6 % mantuvo todas las propiedades funcionales aplicables. Probar únicamente un login posterior no detectó la mayoría de degradaciones.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1720"/>
      </w:tblGrid>
      <w:tr>
        <w:trPr>
          <w:tblHeader w:val="true"/>
        </w:trPr>
        <w:tc>
          <w:tcPr>
            <w:tcW w:type="dxa" w:w="30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Propiedad</w:t>
            </w:r>
          </w:p>
        </w:tc>
        <w:tc>
          <w:tcPr>
            <w:tcW w:type="dxa" w:w="17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Preservación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Autenticación básica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98,1 %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User verification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96,8 %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PRF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81,4 %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hmac-secret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79,7 %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credBlob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89,1 %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largeBlob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83,6 %</w:t>
            </w:r>
          </w:p>
        </w:tc>
      </w:tr>
      <w:tr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Payments</w:t>
            </w:r>
          </w:p>
        </w:tc>
        <w:tc>
          <w:tcPr>
            <w:tcW w:type="dxa" w:w="1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68,3 %</w:t>
            </w:r>
          </w:p>
        </w:tc>
      </w:tr>
    </w:tbl>
    <w:p>
      <w:pPr>
        <w:spacing w:after="0"/>
      </w:pP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En migraciones directas compatibles, PRF se conservó en el 96,9 %. En rutas de tres proveedores descendió al 81,4 %. El proveedor legacy ignoró material PRF; al reexportar, la pérdida resultó irreversible.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020"/>
      </w:tblGrid>
      <w:tr>
        <w:trPr>
          <w:tblHeader w:val="true"/>
        </w:trPr>
        <w:tc>
          <w:tcPr>
            <w:tcW w:type="dxa" w:w="27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Ruta</w:t>
            </w:r>
          </w:p>
        </w:tc>
        <w:tc>
          <w:tcPr>
            <w:tcW w:type="dxa" w:w="20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Preservación total</w:t>
            </w:r>
          </w:p>
        </w:tc>
      </w:tr>
      <w:tr>
        <w:tc>
          <w:tcPr>
            <w:tcW w:type="dxa" w:w="2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A→B</w:t>
            </w:r>
          </w:p>
        </w:tc>
        <w:tc>
          <w:tcPr>
            <w:tcW w:type="dxa" w:w="20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88,7 %</w:t>
            </w:r>
          </w:p>
        </w:tc>
      </w:tr>
      <w:tr>
        <w:tc>
          <w:tcPr>
            <w:tcW w:type="dxa" w:w="2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A→B→A</w:t>
            </w:r>
          </w:p>
        </w:tc>
        <w:tc>
          <w:tcPr>
            <w:tcW w:type="dxa" w:w="20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84,2 %</w:t>
            </w:r>
          </w:p>
        </w:tc>
      </w:tr>
      <w:tr>
        <w:tc>
          <w:tcPr>
            <w:tcW w:type="dxa" w:w="2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A→B→C</w:t>
            </w:r>
          </w:p>
        </w:tc>
        <w:tc>
          <w:tcPr>
            <w:tcW w:type="dxa" w:w="20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76,9 %</w:t>
            </w:r>
          </w:p>
        </w:tc>
      </w:tr>
      <w:tr>
        <w:tc>
          <w:tcPr>
            <w:tcW w:type="dxa" w:w="2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A→B→C→A</w:t>
            </w:r>
          </w:p>
        </w:tc>
        <w:tc>
          <w:tcPr>
            <w:tcW w:type="dxa" w:w="20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69,8 %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Extensiones, downgrade e idempotencia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De 2.400 casos con extensiones desconocidas, el 31 % fue preservado como datos opacos, el 27 % rechazado y el 42 % descartado. Sólo el 18 % de los descartes produjo una advertencia visible.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El 14,8 % de los downgrades aceptados perdió alguna propiedad funcional; en el 9,3 % la pérdida fue silenciosa. Dos implementaciones deduplicaron correctamente, una actualizó metadata, una creó duplicados visibles y otra dependió del orden.</w:t>
      </w:r>
    </w:p>
    <w:p>
      <w:pPr>
        <w:pStyle w:val="Heading2"/>
        <w:keepNext/>
      </w:pPr>
      <w:r>
        <w:t>7.4 Fallos parciales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1620"/>
      </w:tblGrid>
      <w:tr>
        <w:trPr>
          <w:tblHeader w:val="true"/>
        </w:trPr>
        <w:tc>
          <w:tcPr>
            <w:tcW w:type="dxa" w:w="31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Resultado</w:t>
            </w:r>
          </w:p>
        </w:tc>
        <w:tc>
          <w:tcPr>
            <w:tcW w:type="dxa" w:w="16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%</w:t>
            </w:r>
          </w:p>
        </w:tc>
      </w:tr>
      <w:tr>
        <w:tc>
          <w:tcPr>
            <w:tcW w:type="dxa" w:w="31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Atómica</w:t>
            </w:r>
          </w:p>
        </w:tc>
        <w:tc>
          <w:tcPr>
            <w:tcW w:type="dxa" w:w="16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74,1</w:t>
            </w:r>
          </w:p>
        </w:tc>
      </w:tr>
      <w:tr>
        <w:tc>
          <w:tcPr>
            <w:tcW w:type="dxa" w:w="31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Parcial recuperable</w:t>
            </w:r>
          </w:p>
        </w:tc>
        <w:tc>
          <w:tcPr>
            <w:tcW w:type="dxa" w:w="16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18,6</w:t>
            </w:r>
          </w:p>
        </w:tc>
      </w:tr>
      <w:tr>
        <w:tc>
          <w:tcPr>
            <w:tcW w:type="dxa" w:w="31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Duplicados tras retry</w:t>
            </w:r>
          </w:p>
        </w:tc>
        <w:tc>
          <w:tcPr>
            <w:tcW w:type="dxa" w:w="16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5,9</w:t>
            </w:r>
          </w:p>
        </w:tc>
      </w:tr>
      <w:tr>
        <w:tc>
          <w:tcPr>
            <w:tcW w:type="dxa" w:w="31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Limpieza manual</w:t>
            </w:r>
          </w:p>
        </w:tc>
        <w:tc>
          <w:tcPr>
            <w:tcW w:type="dxa" w:w="16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1,4</w:t>
            </w:r>
          </w:p>
        </w:tc>
      </w:tr>
    </w:tbl>
    <w:p>
      <w:pPr>
        <w:spacing w:after="0"/>
      </w:pP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No observamos claves sin cifrar en filesystem, pero dos implementaciones registraron credential IDs y RP IDs completos en logs de diagnóstico.</w:t>
      </w:r>
    </w:p>
    <w:p>
      <w:pPr>
        <w:pStyle w:val="Heading2"/>
        <w:keepNext/>
      </w:pPr>
      <w:r>
        <w:t>7.5 Evolución del clone set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Después de migrar, el proveedor de origen siguió autenticando en el 100 % de los casos; el destino, en el 98,1 %. Eliminar en un proveedor no afectó al otro, y restaurar un backup del origen recuperó copias eliminadas. Operacionalmente, la migración se comportó como clonación, no como transferencia exclusiva.</w:t>
      </w:r>
    </w:p>
    <w:p>
      <w:pPr>
        <w:pStyle w:val="Heading2"/>
        <w:keepNext/>
      </w:pPr>
      <w:r>
        <w:t>7.6 Resumen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120"/>
      </w:tblGrid>
      <w:tr>
        <w:trPr>
          <w:tblHeader w:val="true"/>
        </w:trPr>
        <w:tc>
          <w:tcPr>
            <w:tcW w:type="dxa" w:w="36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Categoría</w:t>
            </w:r>
          </w:p>
        </w:tc>
        <w:tc>
          <w:tcPr>
            <w:tcW w:type="dxa" w:w="11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N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Pérdida silenciosa de extensiones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14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Importación no idempotente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8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Downgrade ambiguo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7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PRF inconsistente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Fallos parciales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Metadata sensible en logs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Confusión entre cuentas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Total</w:t>
            </w:r>
          </w:p>
        </w:tc>
        <w:tc>
          <w:tcPr>
            <w:tcW w:type="dxa" w:w="11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43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Casos representativos</w:t>
      </w:r>
    </w:p>
    <w:p>
      <w:pPr>
        <w:pStyle w:val="Heading2"/>
        <w:keepNext/>
      </w:pPr>
      <w:r>
        <w:t>8.1 Login correcto, PRF incorrecto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Una passkey conservó la firma WebAuthn, pero después de pasar por P3 y P4 produjo un resultado PRF diferente para el mismo salt. Una aplicación que usara PRF para cifrado perdería acceso a sus datos aunque el login siguiera funcionando.</w:t>
      </w:r>
    </w:p>
    <w:p>
      <w:pPr>
        <w:pStyle w:val="Heading2"/>
        <w:keepNext/>
      </w:pPr>
      <w:r>
        <w:t>8.2 Extensión futura descartada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P2 omitió una extensión desconocida y reexportó una passkey sintácticamente válida sin ella. En P1→P2→P1, origen y destino final soportaban la propiedad, pero el intermediario destruyó la información.</w:t>
      </w:r>
    </w:p>
    <w:p>
      <w:pPr>
        <w:pStyle w:val="Heading2"/>
        <w:keepNext/>
      </w:pPr>
      <w:r>
        <w:t>8.3 Retry con duplicados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P5 persistió la credencial y falló antes del acknowledgement. El retry creó otra entrada con la misma clave y credential ID, pero diferente item ID interno, impidiendo al usuario identificar el resultado original.</w:t>
      </w:r>
    </w:p>
    <w:p>
      <w:pPr>
        <w:pStyle w:val="Heading2"/>
        <w:keepNext/>
      </w:pPr>
      <w:r>
        <w:t>8.4 Confusión visual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Dos credenciales con nombres Unicode visualmente similares fueron agrupadas pese a tener user handles distintos. WebAuthn permaneció seguro, pero la UI dificultó seleccionar la cuenta correcta.</w:t>
      </w:r>
    </w:p>
    <w:p>
      <w:pPr>
        <w:pStyle w:val="Heading1"/>
        <w:keepNext/>
      </w:pPr>
      <w:r>
        <w:t>9. Discusión</w:t>
      </w:r>
    </w:p>
    <w:p>
      <w:pPr>
        <w:pStyle w:val="Heading2"/>
        <w:keepNext/>
      </w:pPr>
      <w:r>
        <w:t>9.1 Misma clave no implica misma garantía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 equivalencia criptográfica no implica equivalencia funcional, y ésta tampoco implica equivalencia de seguridad. Un importador puede preservar la clave y al mismo tiempo perder extensiones, ampliar custodios, degradar recuperación o crear estados ambiguos.</w:t>
      </w:r>
    </w:p>
    <w:p>
      <w:pPr>
        <w:pStyle w:val="Heading2"/>
        <w:keepNext/>
      </w:pPr>
      <w:r>
        <w:t>9.2 Criticidad de extensiones</w:t>
      </w:r>
    </w:p>
    <w:tbl>
      <w:tblPr>
        <w:tblStyle w:val="TableGrid"/>
        <w:tblW w:type="dxa" w:w="472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20"/>
      </w:tblGrid>
      <w:tr>
        <w:trPr>
          <w:tblHeader w:val="true"/>
        </w:trPr>
        <w:tc>
          <w:tcPr>
            <w:tcW w:type="dxa" w:w="180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Clase</w:t>
            </w:r>
          </w:p>
        </w:tc>
        <w:tc>
          <w:tcPr>
            <w:tcW w:type="dxa" w:w="2920"/>
            <w:shd w:fill="EAF1F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A"/>
                <w:sz w:val="15"/>
              </w:rPr>
              <w:t>Respuesta recomendada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Informativa</w:t>
            </w:r>
          </w:p>
        </w:tc>
        <w:tc>
          <w:tcPr>
            <w:tcW w:type="dxa" w:w="29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Puede descartarse.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Funcional</w:t>
            </w:r>
          </w:p>
        </w:tc>
        <w:tc>
          <w:tcPr>
            <w:tcW w:type="dxa" w:w="29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Advertir antes de descartar.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Disponibilidad crítica</w:t>
            </w:r>
          </w:p>
        </w:tc>
        <w:tc>
          <w:tcPr>
            <w:tcW w:type="dxa" w:w="29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Rechazar o requerir aceptación.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Seguridad crítica</w:t>
            </w:r>
          </w:p>
        </w:tc>
        <w:tc>
          <w:tcPr>
            <w:tcW w:type="dxa" w:w="29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Abortar migración.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Identidad crítica</w:t>
            </w:r>
          </w:p>
        </w:tc>
        <w:tc>
          <w:tcPr>
            <w:tcW w:type="dxa" w:w="29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4"/>
              </w:rPr>
              <w:t>No transformar.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Manifest de propiedades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Proponemos que el exportador declare propiedades requeridas y opcionales, semántica de custodia y política de downgrade; el importador respondería qué preservó, descartó o no puede verificar. El usuario aprobaría la diferencia antes del commit.</w:t>
      </w:r>
    </w:p>
    <w:p>
      <w:pPr>
        <w:pStyle w:val="Heading2"/>
        <w:keepNext/>
      </w:pPr>
      <w:r>
        <w:t>9.4 Atomicidad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 secuencia recomendada es prepare → validate all → persist atomically → verify usability → commit. Cuando no sea posible, el resultado debe reportarse por credencial como imported, rejected, degraded, rolled-back o unknown.</w:t>
      </w:r>
    </w:p>
    <w:p>
      <w:pPr>
        <w:pStyle w:val="Heading2"/>
        <w:keepNext/>
      </w:pPr>
      <w:r>
        <w:t>9.5 Migración frente a rotación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Copiar la misma clave evita cambios en los relying parties, pero conserva el riesgo de copias previas. Una alternativa es autenticar con la credencial importada, registrar una nueva passkey, verificarla y revocar la antigua: una rotación asistida con una frontera de custodia más clara.</w:t>
      </w:r>
    </w:p>
    <w:p>
      <w:pPr>
        <w:pStyle w:val="Heading1"/>
        <w:keepNext/>
      </w:pPr>
      <w:r>
        <w:t>10. Recomendaciones</w:t>
      </w:r>
    </w:p>
    <w:p>
      <w:pPr>
        <w:pStyle w:val="Heading2"/>
        <w:keepNext/>
      </w:pPr>
      <w:r>
        <w:t>10.1 Para CXF/CXP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Definir semántica explícita de copy, transfer y backup.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Permitir que las extensiones declaren criticidad.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Añadir un manifest de propiedades requeridas.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Prohibir degradaciones silenciosas de propiedades críticas.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Definir idempotency keys, resultados parciales y reglas de downgrade.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Vincular el consentimiento con el conjunto exacto exportado.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Emitir un receipt verificable de migración y custodia.</w:t>
      </w:r>
    </w:p>
    <w:p>
      <w:pPr>
        <w:pStyle w:val="Heading2"/>
        <w:keepNext/>
      </w:pPr>
      <w:r>
        <w:t>10.2 Para credential providers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Verificar la clave antes de persistir y ejecutar una prueba WebAuthn posterior.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Verificar PRF y extensiones cuando sea posible.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Informar propiedades no soportadas y hacer la importación idempotente.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Evitar logs con RP IDs, credential IDs o secretos.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Diferenciar copy de transfer y mostrar si puede reexportarse.</w:t>
      </w:r>
    </w:p>
    <w:p>
      <w:pPr>
        <w:pStyle w:val="Heading2"/>
        <w:keepNext/>
      </w:pPr>
      <w:r>
        <w:t>10.3 Para relying parties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Permitir múltiples passkeys y ofrecer revocación clara.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Mostrar fecha de último uso y facilitar rotación.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No depender de signature counters para passkeys sincronizadas.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Adoptar señales de gestión cuando estén disponibles.</w:t>
      </w:r>
    </w:p>
    <w:p>
      <w:pPr>
        <w:pStyle w:val="Heading1"/>
        <w:keepNext/>
      </w:pPr>
      <w:r>
        <w:t>11. Limitaciones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El estudio evalúa sólo cinco implementaciones y utiliza credenciales sintéticas. Algunas propiedades de custodia no son observables: no podemos demostrar que un proveedor eliminó todas sus copias o backups. CXF/CXP continúan evolucionando y no realizamos un estudio formal con participantes. Sobre todo, los resultados cuantitativos de este borrador son ficticios y sólo ilustran cómo podría presentarse una evaluación real.</w:t>
      </w:r>
    </w:p>
    <w:p>
      <w:pPr>
        <w:pStyle w:val="Heading1"/>
        <w:keepNext/>
      </w:pPr>
      <w:r>
        <w:t>12. Consideraciones éticas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Las pruebas reales deberían usar únicamente cuentas controladas, dispositivos propios y entornos autorizados. Los defectos deben comunicarse mediante responsible disclosure. Los artifacts públicos deberían incluir semillas y generadores, no claves privadas de pruebas reales.</w:t>
      </w:r>
    </w:p>
    <w:p>
      <w:pPr>
        <w:pStyle w:val="Heading1"/>
        <w:keepNext/>
      </w:pPr>
      <w:r>
        <w:t>13. Trabajo futuro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Análisis formal de CXP y vinculación entre consentimiento, importador y payload.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Privacidad estructural frente a orchestrators.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Migración asistida por rotación en relying parties.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Receipts verificables de custodia y degradación.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000000"/>
          <w:sz w:val="17"/>
        </w:rPr>
        <w:t>Estudios de usabilidad sobre copy, transfer, backup y revocación.</w:t>
      </w:r>
    </w:p>
    <w:p>
      <w:pPr>
        <w:pStyle w:val="Heading1"/>
        <w:keepNext/>
      </w:pPr>
      <w:r>
        <w:t>14. Conclusión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 migración de passkeys no es sólo un problema de transporte seguro. Una credencial puede conservar clave, credential ID, RP ID y capacidad de autenticarse, pero perder funcionalidades o cambiar sus garantías operacionales.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La propiedad relevante es que las propiedades requeridas de C estén incluidas entre las propiedades preservadas por M(C). La interoperabilidad sintáctica debe complementarse con mecanismos que hagan explícitas las propiedades preservadas, degradadas y no verificables.</w:t>
      </w:r>
    </w:p>
    <w:p>
      <w:pPr>
        <w:spacing w:after="80" w:line="252" w:lineRule="auto"/>
        <w:jc w:val="both"/>
      </w:pPr>
      <w:r>
        <w:rPr>
          <w:rFonts w:ascii="Aptos" w:hAnsi="Aptos"/>
          <w:i w:val="0"/>
          <w:color w:val="000000"/>
          <w:sz w:val="18"/>
        </w:rPr>
        <w:t>Migrar de forma segura consiste en preservar —o renegociar conscientemente— las garantías asociadas a la clave.</w:t>
      </w:r>
    </w:p>
    <w:p>
      <w:pPr>
        <w:pStyle w:val="Heading1"/>
        <w:keepNext/>
      </w:pPr>
      <w:r>
        <w:t>Referencias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[1] FIDO Alliance. Credential Exchange Specifications. https://fidoalliance.org/download-credential-exchange-specifications/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[2] Apple. What’s New in Passkeys. WWDC 2025. https://developer.apple.com/videos/play/wwdc2025/279/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[3] FIDO Alliance. Credential Exchange Format 1.0. https://fidoalliance.org/specs/cx/cxf-v1.0-rd-20250313.html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[4] FIDO Alliance. Credential Exchange Protocol. https://fidoalliance.org/specs/cx/cxp-v1.0-wd-20241003.html</w:t>
      </w:r>
    </w:p>
    <w:p>
      <w:pPr>
        <w:spacing w:after="0"/>
      </w:pPr>
      <w:r>
        <w:br w:type="column"/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[5] W3C. Web Authentication: An API for Accessing Public Key Credentials, Level 3. https://www.w3.org/TR/webauthn-3/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[6] IETF. RFC 9180: Hybrid Public Key Encryption. https://www.rfc-editor.org/rfc/rfc9180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[7] Apple. ASCredentialImportManager. https://developer.apple.com/documentation/authenticationservices/ascredentialimportmanager</w:t>
      </w:r>
    </w:p>
    <w:p>
      <w:pPr>
        <w:spacing w:after="40"/>
        <w:ind w:left="202" w:hanging="202"/>
      </w:pPr>
      <w:r>
        <w:rPr>
          <w:rFonts w:ascii="Aptos" w:hAnsi="Aptos"/>
          <w:color w:val="000000"/>
          <w:sz w:val="14"/>
        </w:rPr>
        <w:t>[8] Google. Credential Manager. https://developer.android.com/identity/credential-manager</w:t>
      </w:r>
    </w:p>
    <w:sectPr w:rsidR="00FC693F" w:rsidRPr="0006063C" w:rsidSect="00034616">
      <w:type w:val="continuous"/>
      <w:pgSz w:w="12240" w:h="15840"/>
      <w:pgMar w:top="1008" w:right="1008" w:bottom="1008" w:left="1008" w:header="432" w:footer="504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773"/>
        <w:sz w:val="14"/>
      </w:rPr>
      <w:t xml:space="preserve">Borrador académico · resultados simulados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773"/>
        <w:sz w:val="15"/>
      </w:rPr>
      <w:t>INVESTIGACIÓN HIPOTÉTICA · MIGRACIÓN DE PASSKEYS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73"/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259" w:hanging="173"/>
      <w:contextualSpacing/>
    </w:pPr>
    <w:rPr>
      <w:rFonts w:ascii="Aptos" w:hAnsi="Aptos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misma clave, distintas garantías</dc:title>
  <dc:subject>Preservación de propiedades de seguridad en la migración de passkeys</dc:subject>
  <dc:creator>[Nombre del autor]</dc:creator>
  <cp:keywords/>
  <dc:description>Documento hipotético con resultados simulados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