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w:body><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1A56A0" w:val="clear"/><w:tcMar><w:top w:type="dxa" w:w="600"/><w:left w:type="dxa" w:w="400"/><w:bottom w:type="dxa" w:w="600"/><w:right w:type="dxa" w:w="400"/></w:tcMar></w:tcPr><w:p><w:pPr><w:spacing w:after="120" w:before="0"/><w:jc w:val="left"/></w:pPr><w:r><w:rPr><w:rFonts w:ascii="Arial" w:cs="Arial" w:eastAsia="Arial" w:hAnsi="Arial"/><w:b/><w:bCs/><w:color w:val="AACCEE"/><w:sz w:val="20"/><w:szCs w:val="20"/></w:rPr><w:t xml:space="preserve">PRODUCT REQUIREMENTS DOCUMENT</w:t></w:r></w:p><w:p><w:pPr><w:spacing w:after="80" w:before="0"/><w:jc w:val="left"/></w:pPr><w:r><w:rPr><w:rFonts w:ascii="Arial" w:cs="Arial" w:eastAsia="Arial" w:hAnsi="Arial"/><w:b/><w:bCs/><w:color w:val="FFFFFF"/><w:sz w:val="64"/><w:szCs w:val="64"/></w:rPr><w:t xml:space="preserve">HomeReady</w:t></w:r></w:p><w:p><w:pPr><w:spacing w:after="240" w:before="0"/><w:jc w:val="left"/></w:pPr><w:r><w:rPr><w:rFonts w:ascii="Arial" w:cs="Arial" w:eastAsia="Arial" w:hAnsi="Arial"/><w:color w:val="D6E8F7"/><w:sz w:val="28"/><w:szCs w:val="28"/></w:rPr><w:t xml:space="preserve">An AI-Powered Companion for First-Time Buyers in the UK</w:t></w:r></w:p><w:p><w:pPr><w:spacing w:after="0" w:before="0"/><w:jc w:val="left"/></w:pPr><w:r><w:rPr><w:rFonts w:ascii="Arial" w:cs="Arial" w:eastAsia="Arial" w:hAnsi="Arial"/><w:color w:val="AACCEE"/><w:sz w:val="20"/><w:szCs w:val="20"/></w:rPr><w:t xml:space="preserve">Version 1.2  |  June 2026  |  Status: Active</w:t></w:r></w:p></w:tc></w:tr></w:tbl><w:p><w:pPr><w:spacing w:after="0" w:before="400"/></w:pPr><w:r><w:t xml:space="preserve"/></w:r></w:p><w:p><w:pPr><w:pStyle w:val="Heading1"/><w:spacing w:after="160" w:before="400"/></w:pPr><w:r><w:rPr><w:rFonts w:ascii="Arial" w:cs="Arial" w:eastAsia="Arial" w:hAnsi="Arial"/><w:b/><w:bCs/><w:color w:val="1A56A0"/><w:sz w:val="36"/><w:szCs w:val="36"/></w:rPr><w:t xml:space="preserve">1. Executive Summary</w:t></w:r></w:p><w:p><w:pPr><w:spacing w:after="80" w:before="60"/></w:pPr><w:r><w:rPr><w:rFonts w:ascii="Arial" w:cs="Arial" w:eastAsia="Arial" w:hAnsi="Arial"/><w:sz w:val="22"/><w:szCs w:val="22"/></w:rPr><w:t xml:space="preserve">Buying a first home in the UK is one of the most financially consequential and emotionally stressful decisions a person will make — yet buyers navigate a fragmented, opaque, and jargon-heavy process with almost no dedicated guidance. The average first-time buyer takes 12–18 months from initial research to completion and routinely encounters costly surprises at every stage: hidden fees, unreadable legal documents, impenetrable surveys, and a conveyancing process that disappears into a black hole for months at a time.</w:t></w:r></w:p><w:p><w:pPr><w:spacing w:after="0" w:before="80"/></w:pPr><w:r><w:t xml:space="preserve"/></w:r></w:p><w:p><w:pPr><w:spacing w:after="80" w:before="60"/></w:pPr><w:r><w:rPr><w:rFonts w:ascii="Arial" w:cs="Arial" w:eastAsia="Arial" w:hAnsi="Arial"/><w:sz w:val="22"/><w:szCs w:val="22"/></w:rPr><w:t xml:space="preserve">HomeReady is an AI-powered web application that acts as a knowledgeable friend throughout the entire first-time buyer journey — from initial affordability checks through to post-completion admin. It surfaces the right information at the right moment, translates complex documents into plain English, and gives buyers the confidence to make decisions without feeling lost or exploited. June 2026 market research confirms no existing UK product covers the end-to-end buyer journey: portals (Rightmove, Zoopla) stop at discovery; Jitty adds AI search but remains pre-offer; MoneyHelper and Which? are static and non-interactive; AI conveyancing tools (Moverly, Legalito, Writford) are built for solicitors, not buyers. HomeReady is the only product explicitly on the buyer’s side across all six stages.</w:t></w:r></w:p><w:p><w:pPr><w:spacing w:after="0" w:before="80"/></w:pPr><w:r><w:t xml:space="preserv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D6E8F7" w:val="clear"/><w:tcMar><w:top w:type="dxa" w:w="120"/><w:left w:type="dxa" w:w="180"/><w:bottom w:type="dxa" w:w="120"/><w:right w:type="dxa" w:w="180"/></w:tcMar></w:tcPr><w:p><w:pPr><w:spacing w:after="60" w:before="0"/></w:pPr><w:r><w:rPr><w:rFonts w:ascii="Arial" w:cs="Arial" w:eastAsia="Arial" w:hAnsi="Arial"/><w:b/><w:bCs/><w:color w:val="1A56A0"/><w:sz w:val="22"/><w:szCs w:val="22"/></w:rPr><w:t xml:space="preserve">Opportunity</w:t></w:r></w:p><w:p><w:pPr><w:spacing w:after="0" w:before="0"/></w:pPr><w:r><w:rPr><w:rFonts w:ascii="Arial" w:cs="Arial" w:eastAsia="Arial" w:hAnsi="Arial"/><w:sz w:val="22"/><w:szCs w:val="22"/></w:rPr><w:t xml:space="preserve">There are 341,000 first-time buyers in the UK each year (2024 data, up 19% YoY), with an average purchase price of £311,000. More than 40% of UK property sales fell through in Q2 2025 — almost all avoidable with better buyer information. No single product owns the end-to-end journey. Existing tools (Rightmove, MoneyHelper, Which?) address individual moments but leave buyers without guidance at the stages where the stakes are highest.</w:t></w:r></w:p></w:tc></w:tr></w:tbl><w:p><w:pPr><w:spacing w:after="0" w:before="200"/></w:pPr><w:r><w:t xml:space="preserve"/></w:r></w:p><w:p><w:pPr><w:pStyle w:val="Heading1"/><w:spacing w:after="160" w:before="400"/></w:pPr><w:r><w:rPr><w:rFonts w:ascii="Arial" w:cs="Arial" w:eastAsia="Arial" w:hAnsi="Arial"/><w:b/><w:bCs/><w:color w:val="1A56A0"/><w:sz w:val="36"/><w:szCs w:val="36"/></w:rPr><w:t xml:space="preserve">2. Problem Statements</w:t></w:r></w:p><w:p><w:pPr><w:spacing w:after="80" w:before="60"/></w:pPr><w:r><w:rPr><w:rFonts w:ascii="Arial" w:cs="Arial" w:eastAsia="Arial" w:hAnsi="Arial"/><w:sz w:val="22"/><w:szCs w:val="22"/></w:rPr><w:t xml:space="preserve">The following 14 problem statements define the scope of user pain across the six stages of the first-time buyer journey. They form the foundation for all product requirements.</w:t></w:r></w:p><w:p><w:pPr><w:spacing w:after="0" w:before="120"/></w:pPr><w:r><w:t xml:space="preserve"/></w:r></w:p><w:p><w:pPr><w:pStyle w:val="Heading2"/><w:pBdr><w:bottom w:val="single" w:color="A8CCE8" w:sz="4" w:space="4"/></w:pBdr><w:spacing w:after="120" w:before="320"/></w:pPr><w:r><w:rPr><w:rFonts w:ascii="Arial" w:cs="Arial" w:eastAsia="Arial" w:hAnsi="Arial"/><w:b/><w:bCs/><w:color w:val="1A1A2E"/><w:sz w:val="28"/><w:szCs w:val="28"/></w:rPr><w:t xml:space="preserve">Journey Overview</w:t></w:r></w:p><w:p><w:pPr><w:spacing w:after="0" w:before="80"/></w:pPr><w:r><w:t xml:space="preserv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00"/><w:gridCol w:w="2100"/><w:gridCol w:w="3480"/><w:gridCol w:w="2880"/></w:tblGrid><w:tr><w:trPr><w:tblHeader/></w:trPr><w:tc><w:tcPr><w:tcW w:type="dxa" w:w="90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Stage</w:t></w:r></w:p></w:tc><w:tc><w:tcPr><w:tcW w:type="dxa" w:w="210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Name</w:t></w:r></w:p></w:tc><w:tc><w:tcPr><w:tcW w:type="dxa" w:w="348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Core Problem</w:t></w:r></w:p></w:tc><w:tc><w:tcPr><w:tcW w:type="dxa" w:w="288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AI Capability</w:t></w:r></w:p></w:tc></w:tr><w:tr><w:tc><w:tcPr><w:tcW w:type="dxa" w:w="9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Stage 1</w:t></w:r></w:p></w:tc><w:tc><w:tcPr><w:tcW w:type="dxa" w:w="21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Financial Readiness</w:t></w:r></w:p></w:tc><w:tc><w:tcPr><w:tcW w:type="dxa" w:w="34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Hidden costs and mortgage opacity</w:t></w:r></w:p></w:tc><w:tc><w:tcPr><w:tcW w:type="dxa" w:w="28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Cost calculator, affordability modelling</w:t></w:r></w:p></w:tc></w:tr><w:tr><w:tc><w:tcPr><w:tcW w:type="dxa" w:w="9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Stage 2</w:t></w:r></w:p></w:tc><w:tc><w:tcPr><w:tcW w:type="dxa" w:w="21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Property Evaluation</w:t></w:r></w:p></w:tc><w:tc><w:tcPr><w:tcW w:type="dxa" w:w="348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Misleading listings, leasehold traps, scattered neighbourhood data</w:t></w:r></w:p></w:tc><w:tc><w:tcPr><w:tcW w:type="dxa" w:w="288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Listing decoder, risk scanner, neighbourhood briefing</w:t></w:r></w:p></w:tc></w:tr><w:tr><w:tc><w:tcPr><w:tcW w:type="dxa" w:w="9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Stage 3</w:t></w:r></w:p></w:tc><w:tc><w:tcPr><w:tcW w:type="dxa" w:w="21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Offer &amp; Negotiation</w:t></w:r></w:p></w:tc><w:tc><w:tcPr><w:tcW w:type="dxa" w:w="34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Price fairness unknown, negotiation intimidating</w:t></w:r></w:p></w:tc><w:tc><w:tcPr><w:tcW w:type="dxa" w:w="28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Comparable analysis, negotiation coach</w:t></w:r></w:p></w:tc></w:tr><w:tr><w:tc><w:tcPr><w:tcW w:type="dxa" w:w="9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Stage 4</w:t></w:r></w:p></w:tc><w:tc><w:tcPr><w:tcW w:type="dxa" w:w="21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Legal &amp; Survey</w:t></w:r></w:p></w:tc><w:tc><w:tcPr><w:tcW w:type="dxa" w:w="348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Process black hole, unreadable documents, survey panic</w:t></w:r></w:p></w:tc><w:tc><w:tcPr><w:tcW w:type="dxa" w:w="288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Document explainer, survey interpreter, progress tracker</w:t></w:r></w:p></w:tc></w:tr><w:tr><w:tc><w:tcPr><w:tcW w:type="dxa" w:w="9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Stage 5</w:t></w:r></w:p></w:tc><w:tc><w:tcPr><w:tcW w:type="dxa" w:w="21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Exchange &amp; Completion</w:t></w:r></w:p></w:tc><w:tc><w:tcPr><w:tcW w:type="dxa" w:w="34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Chain opacity, exchange/completion confusion</w:t></w:r></w:p></w:tc><w:tc><w:tcPr><w:tcW w:type="dxa" w:w="28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Chain health monitor, completion checklist</w:t></w:r></w:p></w:tc></w:tr><w:tr><w:tc><w:tcPr><w:tcW w:type="dxa" w:w="9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Stage 6</w:t></w:r></w:p></w:tc><w:tc><w:tcPr><w:tcW w:type="dxa" w:w="21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Post-Completion</w:t></w:r></w:p></w:tc><w:tc><w:tcPr><w:tcW w:type="dxa" w:w="348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Admin gaps, no long-term ownership framework</w:t></w:r></w:p></w:tc><w:tc><w:tcPr><w:tcW w:type="dxa" w:w="288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Admin tracker, remortgage planner</w:t></w:r></w:p></w:tc></w:tr></w:tbl><w:p><w:pPr><w:spacing w:after="0" w:before="200"/></w:pPr><w:r><w:t xml:space="preserve"/></w:r></w:p><w:p><w:pPr><w:pStyle w:val="Heading2"/><w:pBdr><w:bottom w:val="single" w:color="A8CCE8" w:sz="4" w:space="4"/></w:pBdr><w:spacing w:after="120" w:before="320"/></w:pPr><w:r><w:rPr><w:rFonts w:ascii="Arial" w:cs="Arial" w:eastAsia="Arial" w:hAnsi="Arial"/><w:b/><w:bCs/><w:color w:val="1A1A2E"/><w:sz w:val="28"/><w:szCs w:val="28"/></w:rPr><w:t xml:space="preserve">Stage 1 — Financial Readiness</w:t></w:r></w:p><w:p><w:pPr><w:pStyle w:val="Heading3"/><w:spacing w:after="80" w:before="240"/></w:pPr><w:r><w:rPr><w:rFonts w:ascii="Arial" w:cs="Arial" w:eastAsia="Arial" w:hAnsi="Arial"/><w:b/><w:bCs/><w:color w:val="1A56A0"/><w:sz w:val="24"/><w:szCs w:val="24"/></w:rPr><w:t xml:space="preserve">PS-01 · The true cost of buying is invisible until it is too late</w:t></w:r></w:p><w:p><w:pPr><w:spacing w:after="80" w:before="60"/></w:pPr><w:r><w:rPr><w:rFonts w:ascii="Arial" w:cs="Arial" w:eastAsia="Arial" w:hAnsi="Arial"/><w:sz w:val="22"/><w:szCs w:val="22"/></w:rPr><w:t xml:space="preserve">First-time buyers anchor on the asking price and systematically underestimate total acquisition cost by 10–15%. Stamp duty, solicitor fees, survey costs, mortgage broker fees, and moving expenses are never presented together in one place. By the time buyers discover the full picture, they have already emotionally committed to a property — and sometimes overextended themselves financially.</w:t></w:r></w:p><w:p><w:pPr><w:spacing w:after="0" w:before="60"/></w:pPr><w:r><w:t xml:space="preserve"/></w:r></w:p><w:p><w:pPr><w:pStyle w:val="ListParagraph"/><w:numPr><w:ilvl w:val="0"/><w:numId w:val="2"/></w:numPr><w:spacing w:after="40" w:before="40"/></w:pPr><w:r><w:rPr><w:rFonts w:ascii="Arial" w:cs="Arial" w:eastAsia="Arial" w:hAnsi="Arial"/><w:sz w:val="22"/><w:szCs w:val="22"/></w:rPr><w:t xml:space="preserve">Who is affected: All first-time buyers, most acutely those with limited buffers above their deposit.</w:t></w:r></w:p><w:p><w:pPr><w:pStyle w:val="ListParagraph"/><w:numPr><w:ilvl w:val="0"/><w:numId w:val="2"/></w:numPr><w:spacing w:after="40" w:before="40"/></w:pPr><w:r><w:rPr><w:rFonts w:ascii="Arial" w:cs="Arial" w:eastAsia="Arial" w:hAnsi="Arial"/><w:sz w:val="22"/><w:szCs w:val="22"/></w:rPr><w:t xml:space="preserve">Frequency: Every buyer encounters this; the surprise typically hits at offer stage or during conveyancing.</w:t></w:r></w:p><w:p><w:pPr><w:pStyle w:val="ListParagraph"/><w:numPr><w:ilvl w:val="0"/><w:numId w:val="2"/></w:numPr><w:spacing w:after="40" w:before="40"/></w:pPr><w:r><w:rPr><w:rFonts w:ascii="Arial" w:cs="Arial" w:eastAsia="Arial" w:hAnsi="Arial"/><w:sz w:val="22"/><w:szCs w:val="22"/></w:rPr><w:t xml:space="preserve">Cost of not solving: Buyers pull out of purchases, face unexpected debt, or delay purchase significantly.</w:t></w:r></w:p><w:p><w:pPr><w:spacing w:after="0" w:before="120"/></w:pPr><w:r><w:t xml:space="preserve"/></w:r></w:p><w:p><w:pPr><w:pStyle w:val="Heading3"/><w:spacing w:after="80" w:before="240"/></w:pPr><w:r><w:rPr><w:rFonts w:ascii="Arial" w:cs="Arial" w:eastAsia="Arial" w:hAnsi="Arial"/><w:b/><w:bCs/><w:color w:val="1A56A0"/><w:sz w:val="24"/><w:szCs w:val="24"/></w:rPr><w:t xml:space="preserve">PS-02 · Mortgage affordability feels like a black box</w:t></w:r></w:p><w:p><w:pPr><w:spacing w:after="80" w:before="60"/></w:pPr><w:r><w:rPr><w:rFonts w:ascii="Arial" w:cs="Arial" w:eastAsia="Arial" w:hAnsi="Arial"/><w:sz w:val="22"/><w:szCs w:val="22"/></w:rPr><w:t xml:space="preserve">Buyers do not know what they can borrow, from whom, or at what rate before they start searching. They rely on rough rules of thumb (4.5x salary) without understanding how deposit size, credit history, employment type, or existing debt shift the picture. Many begin property searches outside their actual budget, wasting months of effort.</w:t></w:r></w:p><w:p><w:pPr><w:spacing w:after="0" w:before="60"/></w:pPr><w:r><w:t xml:space="preserve"/></w:r></w:p><w:p><w:pPr><w:pStyle w:val="ListParagraph"/><w:numPr><w:ilvl w:val="0"/><w:numId w:val="2"/></w:numPr><w:spacing w:after="40" w:before="40"/></w:pPr><w:r><w:rPr><w:rFonts w:ascii="Arial" w:cs="Arial" w:eastAsia="Arial" w:hAnsi="Arial"/><w:sz w:val="22"/><w:szCs w:val="22"/></w:rPr><w:t xml:space="preserve">Who is affected: Particularly acute for self-employed buyers, those with variable income, or couples with mismatched credit profiles.</w:t></w:r></w:p><w:p><w:pPr><w:pStyle w:val="ListParagraph"/><w:numPr><w:ilvl w:val="0"/><w:numId w:val="2"/></w:numPr><w:spacing w:after="40" w:before="40"/></w:pPr><w:r><w:rPr><w:rFonts w:ascii="Arial" w:cs="Arial" w:eastAsia="Arial" w:hAnsi="Arial"/><w:sz w:val="22"/><w:szCs w:val="22"/></w:rPr><w:t xml:space="preserve">Frequency: Affects buyers at the very start of the journey before any property is considered.</w:t></w:r></w:p><w:p><w:pPr><w:pStyle w:val="ListParagraph"/><w:numPr><w:ilvl w:val="0"/><w:numId w:val="2"/></w:numPr><w:spacing w:after="40" w:before="40"/></w:pPr><w:r><w:rPr><w:rFonts w:ascii="Arial" w:cs="Arial" w:eastAsia="Arial" w:hAnsi="Arial"/><w:sz w:val="22"/><w:szCs w:val="22"/></w:rPr><w:t xml:space="preserve">Cost of not solving: Wasted time, disappointment, and potential credit score damage from multiple hard searches.</w:t></w:r></w:p><w:p><w:pPr><w:spacing w:after="0" w:before="160"/></w:pPr><w:r><w:t xml:space="preserve"/></w:r></w:p><w:p><w:pPr><w:pStyle w:val="Heading2"/><w:pBdr><w:bottom w:val="single" w:color="A8CCE8" w:sz="4" w:space="4"/></w:pBdr><w:spacing w:after="120" w:before="320"/></w:pPr><w:r><w:rPr><w:rFonts w:ascii="Arial" w:cs="Arial" w:eastAsia="Arial" w:hAnsi="Arial"/><w:b/><w:bCs/><w:color w:val="1A1A2E"/><w:sz w:val="28"/><w:szCs w:val="28"/></w:rPr><w:t xml:space="preserve">Stage 2 — Property Evaluation</w:t></w:r></w:p><w:p><w:pPr><w:pStyle w:val="Heading3"/><w:spacing w:after="80" w:before="240"/></w:pPr><w:r><w:rPr><w:rFonts w:ascii="Arial" w:cs="Arial" w:eastAsia="Arial" w:hAnsi="Arial"/><w:b/><w:bCs/><w:color w:val="1A56A0"/><w:sz w:val="24"/><w:szCs w:val="24"/></w:rPr><w:t xml:space="preserve">PS-03 · Listing language obscures rather than informs</w:t></w:r></w:p><w:p><w:pPr><w:spacing w:after="80" w:before="60"/></w:pPr><w:r><w:rPr><w:rFonts w:ascii="Arial" w:cs="Arial" w:eastAsia="Arial" w:hAnsi="Arial"/><w:sz w:val="22"/><w:szCs w:val="22"/></w:rPr><w:t xml:space="preserve">Estate agent listings are written to sell, not to inform. Vague language, selective photography, and strategic omissions mean buyers arrive at viewings — and sometimes make offers — with a distorted picture of what they are buying. Common euphemisms (&quot;cosy&quot;, &quot;investment opportunity&quot;, &quot;vibrant area&quot;) consistently mislead.</w:t></w:r></w:p><w:p><w:pPr><w:spacing w:after="0" w:before="60"/></w:pPr><w:r><w:t xml:space="preserve"/></w:r></w:p><w:p><w:pPr><w:pStyle w:val="ListParagraph"/><w:numPr><w:ilvl w:val="0"/><w:numId w:val="2"/></w:numPr><w:spacing w:after="40" w:before="40"/></w:pPr><w:r><w:rPr><w:rFonts w:ascii="Arial" w:cs="Arial" w:eastAsia="Arial" w:hAnsi="Arial"/><w:sz w:val="22"/><w:szCs w:val="22"/></w:rPr><w:t xml:space="preserve">Who is affected: All buyers; first-time buyers are most vulnerable having no prior experience to calibrate against.</w:t></w:r></w:p><w:p><w:pPr><w:pStyle w:val="ListParagraph"/><w:numPr><w:ilvl w:val="0"/><w:numId w:val="2"/></w:numPr><w:spacing w:after="40" w:before="40"/></w:pPr><w:r><w:rPr><w:rFonts w:ascii="Arial" w:cs="Arial" w:eastAsia="Arial" w:hAnsi="Arial"/><w:sz w:val="22"/><w:szCs w:val="22"/></w:rPr><w:t xml:space="preserve">Frequency: Every listing reviewed.</w:t></w:r></w:p><w:p><w:pPr><w:pStyle w:val="ListParagraph"/><w:numPr><w:ilvl w:val="0"/><w:numId w:val="2"/></w:numPr><w:spacing w:after="40" w:before="40"/></w:pPr><w:r><w:rPr><w:rFonts w:ascii="Arial" w:cs="Arial" w:eastAsia="Arial" w:hAnsi="Arial"/><w:sz w:val="22"/><w:szCs w:val="22"/></w:rPr><w:t xml:space="preserve">Cost of not solving: Wasted viewings, emotionally driven offers on unsuitable properties.</w:t></w:r></w:p><w:p><w:pPr><w:spacing w:after="0" w:before="120"/></w:pPr><w:r><w:t xml:space="preserve"/></w:r></w:p><w:p><w:pPr><w:pStyle w:val="Heading3"/><w:spacing w:after="80" w:before="240"/></w:pPr><w:r><w:rPr><w:rFonts w:ascii="Arial" w:cs="Arial" w:eastAsia="Arial" w:hAnsi="Arial"/><w:b/><w:bCs/><w:color w:val="1A56A0"/><w:sz w:val="24"/><w:szCs w:val="24"/></w:rPr><w:t xml:space="preserve">PS-04 · Leasehold risk is a hidden trap</w:t></w:r></w:p><w:p><w:pPr><w:spacing w:after="80" w:before="60"/></w:pPr><w:r><w:rPr><w:rFonts w:ascii="Arial" w:cs="Arial" w:eastAsia="Arial" w:hAnsi="Arial"/><w:sz w:val="22"/><w:szCs w:val="22"/></w:rPr><w:t xml:space="preserve">Leasehold properties dominate London and urban flat markets. Short leases (under 80 years), high or escalating service charges, and ground rent clauses can make a property expensive to own, difficult to sell, and in some cases unmortgageable. Most first-time buyers do not know what to look for and discover problems only after instructing a solicitor — when walking away is costly.</w:t></w:r></w:p><w:p><w:pPr><w:spacing w:after="0" w:before="60"/></w:pPr><w:r><w:t xml:space="preserve"/></w:r></w:p><w:p><w:pPr><w:pStyle w:val="ListParagraph"/><w:numPr><w:ilvl w:val="0"/><w:numId w:val="2"/></w:numPr><w:spacing w:after="40" w:before="40"/></w:pPr><w:r><w:rPr><w:rFonts w:ascii="Arial" w:cs="Arial" w:eastAsia="Arial" w:hAnsi="Arial"/><w:sz w:val="22"/><w:szCs w:val="22"/></w:rPr><w:t xml:space="preserve">Who is affected: Any buyer considering a flat, particularly in London where 90%+ of flats are leasehold.</w:t></w:r></w:p><w:p><w:pPr><w:pStyle w:val="ListParagraph"/><w:numPr><w:ilvl w:val="0"/><w:numId w:val="2"/></w:numPr><w:spacing w:after="40" w:before="40"/></w:pPr><w:r><w:rPr><w:rFonts w:ascii="Arial" w:cs="Arial" w:eastAsia="Arial" w:hAnsi="Arial"/><w:sz w:val="22"/><w:szCs w:val="22"/></w:rPr><w:t xml:space="preserve">Frequency: Highly prevalent in the most common property type for first-time buyers.</w:t></w:r></w:p><w:p><w:pPr><w:pStyle w:val="ListParagraph"/><w:numPr><w:ilvl w:val="0"/><w:numId w:val="2"/></w:numPr><w:spacing w:after="40" w:before="40"/></w:pPr><w:r><w:rPr><w:rFonts w:ascii="Arial" w:cs="Arial" w:eastAsia="Arial" w:hAnsi="Arial"/><w:sz w:val="22"/><w:szCs w:val="22"/></w:rPr><w:t xml:space="preserve">Cost of not solving: Buyers commit to properties they later cannot sell or finance, or face unexpected five-figure lease extension costs.</w:t></w:r></w:p><w:p><w:pPr><w:spacing w:after="0" w:before="120"/></w:pPr><w:r><w:t xml:space="preserve"/></w:r></w:p><w:p><w:pPr><w:pStyle w:val="Heading3"/><w:spacing w:after="80" w:before="240"/></w:pPr><w:r><w:rPr><w:rFonts w:ascii="Arial" w:cs="Arial" w:eastAsia="Arial" w:hAnsi="Arial"/><w:b/><w:bCs/><w:color w:val="1A56A0"/><w:sz w:val="24"/><w:szCs w:val="24"/></w:rPr><w:t xml:space="preserve">PS-05 · Neighbourhood fit is assessed on gut feel</w:t></w:r></w:p><w:p><w:pPr><w:spacing w:after="80" w:before="60"/></w:pPr><w:r><w:rPr><w:rFonts w:ascii="Arial" w:cs="Arial" w:eastAsia="Arial" w:hAnsi="Arial"/><w:sz w:val="22"/><w:szCs w:val="22"/></w:rPr><w:t xml:space="preserve">Buyers rely on a single viewing and personal impressions to assess a neighbourhood they may not know well. Commute time, noise levels, safety, school quality, flood risk, and planned developments nearby all materially affect liveability and resale value — but this data is scattered across dozens of sources and never synthesised per property.</w:t></w:r></w:p><w:p><w:pPr><w:spacing w:after="0" w:before="60"/></w:pPr><w:r><w:t xml:space="preserve"/></w:r></w:p><w:p><w:pPr><w:pStyle w:val="ListParagraph"/><w:numPr><w:ilvl w:val="0"/><w:numId w:val="2"/></w:numPr><w:spacing w:after="40" w:before="40"/></w:pPr><w:r><w:rPr><w:rFonts w:ascii="Arial" w:cs="Arial" w:eastAsia="Arial" w:hAnsi="Arial"/><w:sz w:val="22"/><w:szCs w:val="22"/></w:rPr><w:t xml:space="preserve">Who is affected: All buyers relocating or buying in an unfamiliar area; most acute for buyers new to a city.</w:t></w:r></w:p><w:p><w:pPr><w:pStyle w:val="ListParagraph"/><w:numPr><w:ilvl w:val="0"/><w:numId w:val="2"/></w:numPr><w:spacing w:after="40" w:before="40"/></w:pPr><w:r><w:rPr><w:rFonts w:ascii="Arial" w:cs="Arial" w:eastAsia="Arial" w:hAnsi="Arial"/><w:sz w:val="22"/><w:szCs w:val="22"/></w:rPr><w:t xml:space="preserve">Frequency: Every property under serious consideration.</w:t></w:r></w:p><w:p><w:pPr><w:pStyle w:val="ListParagraph"/><w:numPr><w:ilvl w:val="0"/><w:numId w:val="2"/></w:numPr><w:spacing w:after="40" w:before="40"/></w:pPr><w:r><w:rPr><w:rFonts w:ascii="Arial" w:cs="Arial" w:eastAsia="Arial" w:hAnsi="Arial"/><w:sz w:val="22"/><w:szCs w:val="22"/></w:rPr><w:t xml:space="preserve">Cost of not solving: Buyers move into areas that do not suit their lifestyle or that depreciate due to known risks they were unaware of.</w:t></w:r></w:p><w:p><w:pPr><w:spacing w:after="0" w:before="160"/></w:pPr><w:r><w:t xml:space="preserve"/></w:r></w:p><w:p><w:pPr><w:pStyle w:val="Heading2"/><w:pBdr><w:bottom w:val="single" w:color="A8CCE8" w:sz="4" w:space="4"/></w:pBdr><w:spacing w:after="120" w:before="320"/></w:pPr><w:r><w:rPr><w:rFonts w:ascii="Arial" w:cs="Arial" w:eastAsia="Arial" w:hAnsi="Arial"/><w:b/><w:bCs/><w:color w:val="1A1A2E"/><w:sz w:val="28"/><w:szCs w:val="28"/></w:rPr><w:t xml:space="preserve">Stage 3 — Offer &amp; Negotiation</w:t></w:r></w:p><w:p><w:pPr><w:pStyle w:val="Heading3"/><w:spacing w:after="80" w:before="240"/></w:pPr><w:r><w:rPr><w:rFonts w:ascii="Arial" w:cs="Arial" w:eastAsia="Arial" w:hAnsi="Arial"/><w:b/><w:bCs/><w:color w:val="1A56A0"/><w:sz w:val="24"/><w:szCs w:val="24"/></w:rPr><w:t xml:space="preserve">PS-06 · Buyers do not know if the asking price is fair</w:t></w:r></w:p><w:p><w:pPr><w:spacing w:after="80" w:before="60"/></w:pPr><w:r><w:rPr><w:rFonts w:ascii="Arial" w:cs="Arial" w:eastAsia="Arial" w:hAnsi="Arial"/><w:sz w:val="22"/><w:szCs w:val="22"/></w:rPr><w:t xml:space="preserve">Without comparable sales data interpreted in plain English, buyers either overpay out of fear of losing the property, or underbid and lose it unnecessarily. Sold price data exists on Rightmove and the Land Registry but requires manual interpretation that most buyers lack the expertise or time for.</w:t></w:r></w:p><w:p><w:pPr><w:spacing w:after="0" w:before="60"/></w:pPr><w:r><w:t xml:space="preserve"/></w:r></w:p><w:p><w:pPr><w:pStyle w:val="ListParagraph"/><w:numPr><w:ilvl w:val="0"/><w:numId w:val="2"/></w:numPr><w:spacing w:after="40" w:before="40"/></w:pPr><w:r><w:rPr><w:rFonts w:ascii="Arial" w:cs="Arial" w:eastAsia="Arial" w:hAnsi="Arial"/><w:sz w:val="22"/><w:szCs w:val="22"/></w:rPr><w:t xml:space="preserve">Who is affected: All buyers at offer stage.</w:t></w:r></w:p><w:p><w:pPr><w:pStyle w:val="ListParagraph"/><w:numPr><w:ilvl w:val="0"/><w:numId w:val="2"/></w:numPr><w:spacing w:after="40" w:before="40"/></w:pPr><w:r><w:rPr><w:rFonts w:ascii="Arial" w:cs="Arial" w:eastAsia="Arial" w:hAnsi="Arial"/><w:sz w:val="22"/><w:szCs w:val="22"/></w:rPr><w:t xml:space="preserve">Frequency: Every offer decision.</w:t></w:r></w:p><w:p><w:pPr><w:pStyle w:val="ListParagraph"/><w:numPr><w:ilvl w:val="0"/><w:numId w:val="2"/></w:numPr><w:spacing w:after="40" w:before="40"/></w:pPr><w:r><w:rPr><w:rFonts w:ascii="Arial" w:cs="Arial" w:eastAsia="Arial" w:hAnsi="Arial"/><w:sz w:val="22"/><w:szCs w:val="22"/></w:rPr><w:t xml:space="preserve">Cost of not solving: Overpaying by £5,000–£30,000 is common; underbidding loses the property entirely.</w:t></w:r></w:p><w:p><w:pPr><w:spacing w:after="0" w:before="120"/></w:pPr><w:r><w:t xml:space="preserve"/></w:r></w:p><w:p><w:pPr><w:pStyle w:val="Heading3"/><w:spacing w:after="80" w:before="240"/></w:pPr><w:r><w:rPr><w:rFonts w:ascii="Arial" w:cs="Arial" w:eastAsia="Arial" w:hAnsi="Arial"/><w:b/><w:bCs/><w:color w:val="1A56A0"/><w:sz w:val="24"/><w:szCs w:val="24"/></w:rPr><w:t xml:space="preserve">PS-07 · Negotiation feels intimidating and improvised</w:t></w:r></w:p><w:p><w:pPr><w:spacing w:after="80" w:before="60"/></w:pPr><w:r><w:rPr><w:rFonts w:ascii="Arial" w:cs="Arial" w:eastAsia="Arial" w:hAnsi="Arial"/><w:sz w:val="22"/><w:szCs w:val="22"/></w:rPr><w:t xml:space="preserve">Most first-time buyers have never negotiated a large purchase. They do not know what leverage they have, what concessions are normal to request, or how to frame an offer without appearing either desperate or offensive. Estate agents, who work for the seller, are the primary source of advice — a fundamental conflict of interest.</w:t></w:r></w:p><w:p><w:pPr><w:spacing w:after="0" w:before="60"/></w:pPr><w:r><w:t xml:space="preserve"/></w:r></w:p><w:p><w:pPr><w:pStyle w:val="ListParagraph"/><w:numPr><w:ilvl w:val="0"/><w:numId w:val="2"/></w:numPr><w:spacing w:after="40" w:before="40"/></w:pPr><w:r><w:rPr><w:rFonts w:ascii="Arial" w:cs="Arial" w:eastAsia="Arial" w:hAnsi="Arial"/><w:sz w:val="22"/><w:szCs w:val="22"/></w:rPr><w:t xml:space="preserve">Who is affected: All buyers, particularly those without prior property purchase experience.</w:t></w:r></w:p><w:p><w:pPr><w:pStyle w:val="ListParagraph"/><w:numPr><w:ilvl w:val="0"/><w:numId w:val="2"/></w:numPr><w:spacing w:after="40" w:before="40"/></w:pPr><w:r><w:rPr><w:rFonts w:ascii="Arial" w:cs="Arial" w:eastAsia="Arial" w:hAnsi="Arial"/><w:sz w:val="22"/><w:szCs w:val="22"/></w:rPr><w:t xml:space="preserve">Frequency: Every offer and any subsequent renegotiation (e.g. post-survey).</w:t></w:r></w:p><w:p><w:pPr><w:pStyle w:val="ListParagraph"/><w:numPr><w:ilvl w:val="0"/><w:numId w:val="2"/></w:numPr><w:spacing w:after="40" w:before="40"/></w:pPr><w:r><w:rPr><w:rFonts w:ascii="Arial" w:cs="Arial" w:eastAsia="Arial" w:hAnsi="Arial"/><w:sz w:val="22"/><w:szCs w:val="22"/></w:rPr><w:t xml:space="preserve">Cost of not solving: Buyers leave money on the table or lose properties through poor communication.</w:t></w:r></w:p><w:p><w:pPr><w:spacing w:after="0" w:before="160"/></w:pPr><w:r><w:t xml:space="preserve"/></w:r></w:p><w:p><w:pPr><w:pStyle w:val="Heading2"/><w:pBdr><w:bottom w:val="single" w:color="A8CCE8" w:sz="4" w:space="4"/></w:pBdr><w:spacing w:after="120" w:before="320"/></w:pPr><w:r><w:rPr><w:rFonts w:ascii="Arial" w:cs="Arial" w:eastAsia="Arial" w:hAnsi="Arial"/><w:b/><w:bCs/><w:color w:val="1A1A2E"/><w:sz w:val="28"/><w:szCs w:val="28"/></w:rPr><w:t xml:space="preserve">Stage 4 — Legal &amp; Survey Process</w:t></w:r></w:p><w:p><w:pPr><w:pStyle w:val="Heading3"/><w:spacing w:after="80" w:before="240"/></w:pPr><w:r><w:rPr><w:rFonts w:ascii="Arial" w:cs="Arial" w:eastAsia="Arial" w:hAnsi="Arial"/><w:b/><w:bCs/><w:color w:val="1A56A0"/><w:sz w:val="24"/><w:szCs w:val="24"/></w:rPr><w:t xml:space="preserve">PS-08 · The conveyancing process is a black hole</w:t></w:r></w:p><w:p><w:pPr><w:spacing w:after="80" w:before="60"/></w:pPr><w:r><w:rPr><w:rFonts w:ascii="Arial" w:cs="Arial" w:eastAsia="Arial" w:hAnsi="Arial"/><w:sz w:val="22"/><w:szCs w:val="22"/></w:rPr><w:t xml:space="preserve">After an offer is accepted, buyers enter a process that takes 3–6 months, involves multiple parties (solicitor, seller's solicitor, mortgage lender, surveyor), and offers almost no proactive visibility. Buyers do not know what is happening, what is blocking progress, or what actions they should be taking. The experience is defined by waiting and anxiety.</w:t></w:r></w:p><w:p><w:pPr><w:spacing w:after="0" w:before="60"/></w:pPr><w:r><w:t xml:space="preserve"/></w:r></w:p><w:p><w:pPr><w:pStyle w:val="ListParagraph"/><w:numPr><w:ilvl w:val="0"/><w:numId w:val="2"/></w:numPr><w:spacing w:after="40" w:before="40"/></w:pPr><w:r><w:rPr><w:rFonts w:ascii="Arial" w:cs="Arial" w:eastAsia="Arial" w:hAnsi="Arial"/><w:sz w:val="22"/><w:szCs w:val="22"/></w:rPr><w:t xml:space="preserve">Who is affected: All buyers post-offer.</w:t></w:r></w:p><w:p><w:pPr><w:pStyle w:val="ListParagraph"/><w:numPr><w:ilvl w:val="0"/><w:numId w:val="2"/></w:numPr><w:spacing w:after="40" w:before="40"/></w:pPr><w:r><w:rPr><w:rFonts w:ascii="Arial" w:cs="Arial" w:eastAsia="Arial" w:hAnsi="Arial"/><w:sz w:val="22"/><w:szCs w:val="22"/></w:rPr><w:t xml:space="preserve">Frequency: Continuous from offer acceptance to exchange — typically 3–5 months.</w:t></w:r></w:p><w:p><w:pPr><w:pStyle w:val="ListParagraph"/><w:numPr><w:ilvl w:val="0"/><w:numId w:val="2"/></w:numPr><w:spacing w:after="40" w:before="40"/></w:pPr><w:r><w:rPr><w:rFonts w:ascii="Arial" w:cs="Arial" w:eastAsia="Arial" w:hAnsi="Arial"/><w:sz w:val="22"/><w:szCs w:val="22"/></w:rPr><w:t xml:space="preserve">Cost of not solving: Stress, avoidable delays, and inability to make informed decisions about whether to continue or pull out.</w:t></w:r></w:p><w:p><w:pPr><w:spacing w:after="0" w:before="120"/></w:pPr><w:r><w:t xml:space="preserve"/></w:r></w:p><w:p><w:pPr><w:pStyle w:val="Heading3"/><w:spacing w:after="80" w:before="240"/></w:pPr><w:r><w:rPr><w:rFonts w:ascii="Arial" w:cs="Arial" w:eastAsia="Arial" w:hAnsi="Arial"/><w:b/><w:bCs/><w:color w:val="1A56A0"/><w:sz w:val="24"/><w:szCs w:val="24"/></w:rPr><w:t xml:space="preserve">PS-09 · Legal documents are written for lawyers, not buyers</w:t></w:r></w:p><w:p><w:pPr><w:spacing w:after="80" w:before="60"/></w:pPr><w:r><w:rPr><w:rFonts w:ascii="Arial" w:cs="Arial" w:eastAsia="Arial" w:hAnsi="Arial"/><w:sz w:val="22"/><w:szCs w:val="22"/></w:rPr><w:t xml:space="preserve">Memorandum of sale, draft contracts, title registers, search results, and fixtures fittings forms are all dense legal documents. Buyers receive these and are expected to either trust their solicitor entirely or pay expensive hourly rates for explanations. Most do not understand what they are signing and have no mechanism to flag concerns.</w:t></w:r></w:p><w:p><w:pPr><w:spacing w:after="0" w:before="60"/></w:pPr><w:r><w:t xml:space="preserve"/></w:r></w:p><w:p><w:pPr><w:pStyle w:val="ListParagraph"/><w:numPr><w:ilvl w:val="0"/><w:numId w:val="2"/></w:numPr><w:spacing w:after="40" w:before="40"/></w:pPr><w:r><w:rPr><w:rFonts w:ascii="Arial" w:cs="Arial" w:eastAsia="Arial" w:hAnsi="Arial"/><w:sz w:val="22"/><w:szCs w:val="22"/></w:rPr><w:t xml:space="preserve">Who is affected: All buyers during conveyancing.</w:t></w:r></w:p><w:p><w:pPr><w:pStyle w:val="ListParagraph"/><w:numPr><w:ilvl w:val="0"/><w:numId w:val="2"/></w:numPr><w:spacing w:after="40" w:before="40"/></w:pPr><w:r><w:rPr><w:rFonts w:ascii="Arial" w:cs="Arial" w:eastAsia="Arial" w:hAnsi="Arial"/><w:sz w:val="22"/><w:szCs w:val="22"/></w:rPr><w:t xml:space="preserve">Frequency: Multiple documents received throughout a 3–5 month conveyancing period.</w:t></w:r></w:p><w:p><w:pPr><w:pStyle w:val="ListParagraph"/><w:numPr><w:ilvl w:val="0"/><w:numId w:val="2"/></w:numPr><w:spacing w:after="40" w:before="40"/></w:pPr><w:r><w:rPr><w:rFonts w:ascii="Arial" w:cs="Arial" w:eastAsia="Arial" w:hAnsi="Arial"/><w:sz w:val="22"/><w:szCs w:val="22"/></w:rPr><w:t xml:space="preserve">Cost of not solving: Buyers miss important clauses (restrictive covenants, chancel repair liability, boundary disputes) until too late.</w:t></w:r></w:p><w:p><w:pPr><w:spacing w:after="0" w:before="120"/></w:pPr><w:r><w:t xml:space="preserve"/></w:r></w:p><w:p><w:pPr><w:pStyle w:val="Heading3"/><w:spacing w:after="80" w:before="240"/></w:pPr><w:r><w:rPr><w:rFonts w:ascii="Arial" w:cs="Arial" w:eastAsia="Arial" w:hAnsi="Arial"/><w:b/><w:bCs/><w:color w:val="1A56A0"/><w:sz w:val="24"/><w:szCs w:val="24"/></w:rPr><w:t xml:space="preserve">PS-10 · Survey results cause panic without context</w:t></w:r></w:p><w:p><w:pPr><w:spacing w:after="80" w:before="60"/></w:pPr><w:r><w:rPr><w:rFonts w:ascii="Arial" w:cs="Arial" w:eastAsia="Arial" w:hAnsi="Arial"/><w:sz w:val="22"/><w:szCs w:val="22"/></w:rPr><w:t xml:space="preserve">A Level 2 or Level 3 survey returns a report full of amber and red flags with little indication of severity or priority. Without context, buyers either panic and pull out unnecessarily, or dismiss serious structural issues they should be negotiating on or walking away from. There is no plain-English layer to help them interpret findings proportionally.</w:t></w:r></w:p><w:p><w:pPr><w:spacing w:after="0" w:before="60"/></w:pPr><w:r><w:t xml:space="preserve"/></w:r></w:p><w:p><w:pPr><w:pStyle w:val="ListParagraph"/><w:numPr><w:ilvl w:val="0"/><w:numId w:val="2"/></w:numPr><w:spacing w:after="40" w:before="40"/></w:pPr><w:r><w:rPr><w:rFonts w:ascii="Arial" w:cs="Arial" w:eastAsia="Arial" w:hAnsi="Arial"/><w:sz w:val="22"/><w:szCs w:val="22"/></w:rPr><w:t xml:space="preserve">Who is affected: All buyers who commission a survey (strongly recommended for all purchases).</w:t></w:r></w:p><w:p><w:pPr><w:pStyle w:val="ListParagraph"/><w:numPr><w:ilvl w:val="0"/><w:numId w:val="2"/></w:numPr><w:spacing w:after="40" w:before="40"/></w:pPr><w:r><w:rPr><w:rFonts w:ascii="Arial" w:cs="Arial" w:eastAsia="Arial" w:hAnsi="Arial"/><w:sz w:val="22"/><w:szCs w:val="22"/></w:rPr><w:t xml:space="preserve">Frequency: Once per purchase, but at a high-stakes moment where a wrong decision is costly.</w:t></w:r></w:p><w:p><w:pPr><w:pStyle w:val="ListParagraph"/><w:numPr><w:ilvl w:val="0"/><w:numId w:val="2"/></w:numPr><w:spacing w:after="40" w:before="40"/></w:pPr><w:r><w:rPr><w:rFonts w:ascii="Arial" w:cs="Arial" w:eastAsia="Arial" w:hAnsi="Arial"/><w:sz w:val="22"/><w:szCs w:val="22"/></w:rPr><w:t xml:space="preserve">Cost of not solving: Unnecessary aborted purchases (losing legal fees and survey costs), or buyers proceeding with serious structural risk they do not understand.</w:t></w:r></w:p><w:p><w:pPr><w:spacing w:after="0" w:before="160"/></w:pPr><w:r><w:t xml:space="preserve"/></w:r></w:p><w:p><w:pPr><w:pStyle w:val="Heading2"/><w:pBdr><w:bottom w:val="single" w:color="A8CCE8" w:sz="4" w:space="4"/></w:pBdr><w:spacing w:after="120" w:before="320"/></w:pPr><w:r><w:rPr><w:rFonts w:ascii="Arial" w:cs="Arial" w:eastAsia="Arial" w:hAnsi="Arial"/><w:b/><w:bCs/><w:color w:val="1A1A2E"/><w:sz w:val="28"/><w:szCs w:val="28"/></w:rPr><w:t xml:space="preserve">Stage 5 — Exchange &amp; Completion</w:t></w:r></w:p><w:p><w:pPr><w:pStyle w:val="Heading3"/><w:spacing w:after="80" w:before="240"/></w:pPr><w:r><w:rPr><w:rFonts w:ascii="Arial" w:cs="Arial" w:eastAsia="Arial" w:hAnsi="Arial"/><w:b/><w:bCs/><w:color w:val="1A56A0"/><w:sz w:val="24"/><w:szCs w:val="24"/></w:rPr><w:t xml:space="preserve">PS-11 · The chain is opaque and fragile</w:t></w:r></w:p><w:p><w:pPr><w:spacing w:after="80" w:before="60"/></w:pPr><w:r><w:rPr><w:rFonts w:ascii="Arial" w:cs="Arial" w:eastAsia="Arial" w:hAnsi="Arial"/><w:sz w:val="22"/><w:szCs w:val="22"/></w:rPr><w:t xml:space="preserve">Most purchases sit in a chain of dependent transactions. Buyers have no visibility into the health of the chain above or below them, what is blocking it, or what their realistic risk of collapse is. Chain breaks are the single biggest cause of wasted time and money in UK residential property — costing buyers thousands in abortive legal and survey fees.</w:t></w:r></w:p><w:p><w:pPr><w:spacing w:after="0" w:before="60"/></w:pPr><w:r><w:t xml:space="preserve"/></w:r></w:p><w:p><w:pPr><w:pStyle w:val="ListParagraph"/><w:numPr><w:ilvl w:val="0"/><w:numId w:val="2"/></w:numPr><w:spacing w:after="40" w:before="40"/></w:pPr><w:r><w:rPr><w:rFonts w:ascii="Arial" w:cs="Arial" w:eastAsia="Arial" w:hAnsi="Arial"/><w:sz w:val="22"/><w:szCs w:val="22"/></w:rPr><w:t xml:space="preserve">Who is affected: All buyers not purchasing a vacant or new-build property.</w:t></w:r></w:p><w:p><w:pPr><w:pStyle w:val="ListParagraph"/><w:numPr><w:ilvl w:val="0"/><w:numId w:val="2"/></w:numPr><w:spacing w:after="40" w:before="40"/></w:pPr><w:r><w:rPr><w:rFonts w:ascii="Arial" w:cs="Arial" w:eastAsia="Arial" w:hAnsi="Arial"/><w:sz w:val="22"/><w:szCs w:val="22"/></w:rPr><w:t xml:space="preserve">Frequency: Continuous throughout the conveyancing period.</w:t></w:r></w:p><w:p><w:pPr><w:pStyle w:val="ListParagraph"/><w:numPr><w:ilvl w:val="0"/><w:numId w:val="2"/></w:numPr><w:spacing w:after="40" w:before="40"/></w:pPr><w:r><w:rPr><w:rFonts w:ascii="Arial" w:cs="Arial" w:eastAsia="Arial" w:hAnsi="Arial"/><w:sz w:val="22"/><w:szCs w:val="22"/></w:rPr><w:t xml:space="preserve">Cost of not solving: Buyers invest months and significant money into a purchase that collapses due to chain issues they could not anticipate.</w:t></w:r></w:p><w:p><w:pPr><w:spacing w:after="0" w:before="120"/></w:pPr><w:r><w:t xml:space="preserve"/></w:r></w:p><w:p><w:pPr><w:pStyle w:val="Heading3"/><w:spacing w:after="80" w:before="240"/></w:pPr><w:r><w:rPr><w:rFonts w:ascii="Arial" w:cs="Arial" w:eastAsia="Arial" w:hAnsi="Arial"/><w:b/><w:bCs/><w:color w:val="1A56A0"/><w:sz w:val="24"/><w:szCs w:val="24"/></w:rPr><w:t xml:space="preserve">PS-12 · Exchange to completion is poorly understood</w:t></w:r></w:p><w:p><w:pPr><w:spacing w:after="80" w:before="60"/></w:pPr><w:r><w:rPr><w:rFonts w:ascii="Arial" w:cs="Arial" w:eastAsia="Arial" w:hAnsi="Arial"/><w:sz w:val="22"/><w:szCs w:val="22"/></w:rPr><w:t xml:space="preserve">The legal and practical distinction between exchange (contractually binding) and completion (keys in hand) confuses most first-time buyers. The obligations, risks, and actions required in this final window — buildings insurance (mandatory from exchange), final searches, balance transfer, meter readings — are poorly communicated by any single party.</w:t></w:r></w:p><w:p><w:pPr><w:spacing w:after="0" w:before="60"/></w:pPr><w:r><w:t xml:space="preserve"/></w:r></w:p><w:p><w:pPr><w:pStyle w:val="ListParagraph"/><w:numPr><w:ilvl w:val="0"/><w:numId w:val="2"/></w:numPr><w:spacing w:after="40" w:before="40"/></w:pPr><w:r><w:rPr><w:rFonts w:ascii="Arial" w:cs="Arial" w:eastAsia="Arial" w:hAnsi="Arial"/><w:sz w:val="22"/><w:szCs w:val="22"/></w:rPr><w:t xml:space="preserve">Who is affected: All buyers approaching the final stages.</w:t></w:r></w:p><w:p><w:pPr><w:pStyle w:val="ListParagraph"/><w:numPr><w:ilvl w:val="0"/><w:numId w:val="2"/></w:numPr><w:spacing w:after="40" w:before="40"/></w:pPr><w:r><w:rPr><w:rFonts w:ascii="Arial" w:cs="Arial" w:eastAsia="Arial" w:hAnsi="Arial"/><w:sz w:val="22"/><w:szCs w:val="22"/></w:rPr><w:t xml:space="preserve">Frequency: Once per purchase, but with zero margin for error — missed deadlines carry financial penalties.</w:t></w:r></w:p><w:p><w:pPr><w:pStyle w:val="ListParagraph"/><w:numPr><w:ilvl w:val="0"/><w:numId w:val="2"/></w:numPr><w:spacing w:after="40" w:before="40"/></w:pPr><w:r><w:rPr><w:rFonts w:ascii="Arial" w:cs="Arial" w:eastAsia="Arial" w:hAnsi="Arial"/><w:sz w:val="22"/><w:szCs w:val="22"/></w:rPr><w:t xml:space="preserve">Cost of not solving: Missed insurance requirements, penalty charges for delayed completion, and preventable last-minute stress.</w:t></w:r></w:p><w:p><w:pPr><w:spacing w:after="0" w:before="160"/></w:pPr><w:r><w:t xml:space="preserve"/></w:r></w:p><w:p><w:pPr><w:pStyle w:val="Heading2"/><w:pBdr><w:bottom w:val="single" w:color="A8CCE8" w:sz="4" w:space="4"/></w:pBdr><w:spacing w:after="120" w:before="320"/></w:pPr><w:r><w:rPr><w:rFonts w:ascii="Arial" w:cs="Arial" w:eastAsia="Arial" w:hAnsi="Arial"/><w:b/><w:bCs/><w:color w:val="1A1A2E"/><w:sz w:val="28"/><w:szCs w:val="28"/></w:rPr><w:t xml:space="preserve">Stage 6 — Post-Completion</w:t></w:r></w:p><w:p><w:pPr><w:pStyle w:val="Heading3"/><w:spacing w:after="80" w:before="240"/></w:pPr><w:r><w:rPr><w:rFonts w:ascii="Arial" w:cs="Arial" w:eastAsia="Arial" w:hAnsi="Arial"/><w:b/><w:bCs/><w:color w:val="1A56A0"/><w:sz w:val="24"/><w:szCs w:val="24"/></w:rPr><w:t xml:space="preserve">PS-13 · Post-completion admin is an unexpected burden</w:t></w:r></w:p><w:p><w:pPr><w:spacing w:after="80" w:before="60"/></w:pPr><w:r><w:rPr><w:rFonts w:ascii="Arial" w:cs="Arial" w:eastAsia="Arial" w:hAnsi="Arial"/><w:sz w:val="22"/><w:szCs w:val="22"/></w:rPr><w:t xml:space="preserve">Land Registry registration, SDLT payment deadlines (14 days), notifying utility companies, updating the electoral roll, buildings insurance confirmation, and mortgage first payment setup — there is a long tail of time-sensitive admin after completion that no single party briefs buyers on comprehensively. Things get missed, sometimes with financial or legal consequences.</w:t></w:r></w:p><w:p><w:pPr><w:spacing w:after="0" w:before="60"/></w:pPr><w:r><w:t xml:space="preserve"/></w:r></w:p><w:p><w:pPr><w:pStyle w:val="ListParagraph"/><w:numPr><w:ilvl w:val="0"/><w:numId w:val="2"/></w:numPr><w:spacing w:after="40" w:before="40"/></w:pPr><w:r><w:rPr><w:rFonts w:ascii="Arial" w:cs="Arial" w:eastAsia="Arial" w:hAnsi="Arial"/><w:sz w:val="22"/><w:szCs w:val="22"/></w:rPr><w:t xml:space="preserve">Who is affected: All buyers in the immediate aftermath of completion.</w:t></w:r></w:p><w:p><w:pPr><w:pStyle w:val="ListParagraph"/><w:numPr><w:ilvl w:val="0"/><w:numId w:val="2"/></w:numPr><w:spacing w:after="40" w:before="40"/></w:pPr><w:r><w:rPr><w:rFonts w:ascii="Arial" w:cs="Arial" w:eastAsia="Arial" w:hAnsi="Arial"/><w:sz w:val="22"/><w:szCs w:val="22"/></w:rPr><w:t xml:space="preserve">Frequency: Concentrated in the first 2–4 weeks post-completion.</w:t></w:r></w:p><w:p><w:pPr><w:pStyle w:val="ListParagraph"/><w:numPr><w:ilvl w:val="0"/><w:numId w:val="2"/></w:numPr><w:spacing w:after="40" w:before="40"/></w:pPr><w:r><w:rPr><w:rFonts w:ascii="Arial" w:cs="Arial" w:eastAsia="Arial" w:hAnsi="Arial"/><w:sz w:val="22"/><w:szCs w:val="22"/></w:rPr><w:t xml:space="preserve">Cost of not solving: Penalties for missed SDLT deadlines, gaps in insurance coverage, and administrative chaos at an already stressful time.</w:t></w:r></w:p><w:p><w:pPr><w:spacing w:after="0" w:before="120"/></w:pPr><w:r><w:t xml:space="preserve"/></w:r></w:p><w:p><w:pPr><w:pStyle w:val="Heading3"/><w:spacing w:after="80" w:before="240"/></w:pPr><w:r><w:rPr><w:rFonts w:ascii="Arial" w:cs="Arial" w:eastAsia="Arial" w:hAnsi="Arial"/><w:b/><w:bCs/><w:color w:val="1A56A0"/><w:sz w:val="24"/><w:szCs w:val="24"/></w:rPr><w:t xml:space="preserve">PS-14 · Buyers have no framework for long-term ownership</w:t></w:r></w:p><w:p><w:pPr><w:spacing w:after="80" w:before="60"/></w:pPr><w:r><w:rPr><w:rFonts w:ascii="Arial" w:cs="Arial" w:eastAsia="Arial" w:hAnsi="Arial"/><w:sz w:val="22"/><w:szCs w:val="22"/></w:rPr><w:t xml:space="preserve">Once buyers complete, the support relationship effectively ends. Yet the first 1–3 years of ownership contain critical decisions: when to remortgage (typically at 2 or 5 years), how to budget for maintenance, understanding sinking funds on leasehold properties, and knowing when to consider extensions or improvements. Buyers are left to figure this out alone.</w:t></w:r></w:p><w:p><w:pPr><w:spacing w:after="0" w:before="60"/></w:pPr><w:r><w:t xml:space="preserve"/></w:r></w:p><w:p><w:pPr><w:pStyle w:val="ListParagraph"/><w:numPr><w:ilvl w:val="0"/><w:numId w:val="2"/></w:numPr><w:spacing w:after="40" w:before="40"/></w:pPr><w:r><w:rPr><w:rFonts w:ascii="Arial" w:cs="Arial" w:eastAsia="Arial" w:hAnsi="Arial"/><w:sz w:val="22"/><w:szCs w:val="22"/></w:rPr><w:t xml:space="preserve">Who is affected: All new homeowners.</w:t></w:r></w:p><w:p><w:pPr><w:pStyle w:val="ListParagraph"/><w:numPr><w:ilvl w:val="0"/><w:numId w:val="2"/></w:numPr><w:spacing w:after="40" w:before="40"/></w:pPr><w:r><w:rPr><w:rFonts w:ascii="Arial" w:cs="Arial" w:eastAsia="Arial" w:hAnsi="Arial"/><w:sz w:val="22"/><w:szCs w:val="22"/></w:rPr><w:t xml:space="preserve">Frequency: Ongoing — remortgage decisions alone affect 100% of buyers within 5 years.</w:t></w:r></w:p><w:p><w:pPr><w:pStyle w:val="ListParagraph"/><w:numPr><w:ilvl w:val="0"/><w:numId w:val="2"/></w:numPr><w:spacing w:after="40" w:before="40"/></w:pPr><w:r><w:rPr><w:rFonts w:ascii="Arial" w:cs="Arial" w:eastAsia="Arial" w:hAnsi="Arial"/><w:sz w:val="22"/><w:szCs w:val="22"/></w:rPr><w:t xml:space="preserve">Cost of not solving: Buyers revert to the standard variable rate (often 2–3% more expensive) or make poorly timed improvement decisions.</w:t></w:r></w:p><w:p><w:pPr><w:spacing w:after="0" w:before="200"/></w:pPr><w:r><w:t xml:space="preserve"/></w:r></w:p><w:p><w:pPr><w:pStyle w:val="Heading1"/><w:spacing w:after="160" w:before="400"/></w:pPr><w:r><w:rPr><w:rFonts w:ascii="Arial" w:cs="Arial" w:eastAsia="Arial" w:hAnsi="Arial"/><w:b/><w:bCs/><w:color w:val="1A56A0"/><w:sz w:val="36"/><w:szCs w:val="36"/></w:rPr><w:t xml:space="preserve">3. Goals</w:t></w:r></w:p><w:p><w:pPr><w:spacing w:after="0" w:before="80"/></w:pPr><w:r><w:t xml:space="preserve"/></w:r></w:p><w:p><w:pPr><w:pStyle w:val="Heading2"/><w:pBdr><w:bottom w:val="single" w:color="A8CCE8" w:sz="4" w:space="4"/></w:pBdr><w:spacing w:after="120" w:before="320"/></w:pPr><w:r><w:rPr><w:rFonts w:ascii="Arial" w:cs="Arial" w:eastAsia="Arial" w:hAnsi="Arial"/><w:b/><w:bCs/><w:color w:val="1A1A2E"/><w:sz w:val="28"/><w:szCs w:val="28"/></w:rPr><w:t xml:space="preserve">User Goals</w:t></w:r></w:p><w:p><w:pPr><w:pStyle w:val="ListParagraph"/><w:numPr><w:ilvl w:val="0"/><w:numId w:val="2"/></w:numPr><w:spacing w:after="40" w:before="40"/></w:pPr><w:r><w:rPr><w:rFonts w:ascii="Arial" w:cs="Arial" w:eastAsia="Arial" w:hAnsi="Arial"/><w:b/><w:bCs/><w:sz w:val="22"/><w:szCs w:val="22"/></w:rPr><w:t xml:space="preserve">G-U1: </w:t></w:r><w:r><w:rPr><w:rFonts w:ascii="Arial" w:cs="Arial" w:eastAsia="Arial" w:hAnsi="Arial"/><w:sz w:val="22"/><w:szCs w:val="22"/></w:rPr><w:t xml:space="preserve">Buyers arrive at each stage of the process feeling informed and prepared, rather than overwhelmed.</w:t></w:r></w:p><w:p><w:pPr><w:pStyle w:val="ListParagraph"/><w:numPr><w:ilvl w:val="0"/><w:numId w:val="2"/></w:numPr><w:spacing w:after="40" w:before="40"/></w:pPr><w:r><w:rPr><w:rFonts w:ascii="Arial" w:cs="Arial" w:eastAsia="Arial" w:hAnsi="Arial"/><w:b/><w:bCs/><w:sz w:val="22"/><w:szCs w:val="22"/></w:rPr><w:t xml:space="preserve">G-U2: </w:t></w:r><w:r><w:rPr><w:rFonts w:ascii="Arial" w:cs="Arial" w:eastAsia="Arial" w:hAnsi="Arial"/><w:sz w:val="22"/><w:szCs w:val="22"/></w:rPr><w:t xml:space="preserve">Buyers avoid common financial mistakes (underestimating costs, missing leasehold risks, reverting to SVR) through timely, contextual alerts.</w:t></w:r></w:p><w:p><w:pPr><w:pStyle w:val="ListParagraph"/><w:numPr><w:ilvl w:val="0"/><w:numId w:val="2"/></w:numPr><w:spacing w:after="40" w:before="40"/></w:pPr><w:r><w:rPr><w:rFonts w:ascii="Arial" w:cs="Arial" w:eastAsia="Arial" w:hAnsi="Arial"/><w:b/><w:bCs/><w:sz w:val="22"/><w:szCs w:val="22"/></w:rPr><w:t xml:space="preserve">G-U3: </w:t></w:r><w:r><w:rPr><w:rFonts w:ascii="Arial" w:cs="Arial" w:eastAsia="Arial" w:hAnsi="Arial"/><w:sz w:val="22"/><w:szCs w:val="22"/></w:rPr><w:t xml:space="preserve">Buyers understand every document they sign, with plain-English summaries surfacing the clauses that matter.</w:t></w:r></w:p><w:p><w:pPr><w:pStyle w:val="ListParagraph"/><w:numPr><w:ilvl w:val="0"/><w:numId w:val="2"/></w:numPr><w:spacing w:after="40" w:before="40"/></w:pPr><w:r><w:rPr><w:rFonts w:ascii="Arial" w:cs="Arial" w:eastAsia="Arial" w:hAnsi="Arial"/><w:b/><w:bCs/><w:sz w:val="22"/><w:szCs w:val="22"/></w:rPr><w:t xml:space="preserve">G-U4: </w:t></w:r><w:r><w:rPr><w:rFonts w:ascii="Arial" w:cs="Arial" w:eastAsia="Arial" w:hAnsi="Arial"/><w:sz w:val="22"/><w:szCs w:val="22"/></w:rPr><w:t xml:space="preserve">Buyers feel confident enough to negotiate, ask the right questions, and push back — without needing to pay for professional advice at every step.</w:t></w:r></w:p><w:p><w:pPr><w:pStyle w:val="ListParagraph"/><w:numPr><w:ilvl w:val="0"/><w:numId w:val="2"/></w:numPr><w:spacing w:after="40" w:before="40"/></w:pPr><w:r><w:rPr><w:rFonts w:ascii="Arial" w:cs="Arial" w:eastAsia="Arial" w:hAnsi="Arial"/><w:b/><w:bCs/><w:sz w:val="22"/><w:szCs w:val="22"/></w:rPr><w:t xml:space="preserve">G-U5: </w:t></w:r><w:r><w:rPr><w:rFonts w:ascii="Arial" w:cs="Arial" w:eastAsia="Arial" w:hAnsi="Arial"/><w:sz w:val="22"/><w:szCs w:val="22"/></w:rPr><w:t xml:space="preserve">Buyers complete their purchase and transition to ownership without any critical admin tasks falling through the cracks.</w:t></w:r></w:p><w:p><w:pPr><w:spacing w:after="0" w:before="120"/></w:pPr><w:r><w:t xml:space="preserve"/></w:r></w:p><w:p><w:pPr><w:pStyle w:val="Heading2"/><w:pBdr><w:bottom w:val="single" w:color="A8CCE8" w:sz="4" w:space="4"/></w:pBdr><w:spacing w:after="120" w:before="320"/></w:pPr><w:r><w:rPr><w:rFonts w:ascii="Arial" w:cs="Arial" w:eastAsia="Arial" w:hAnsi="Arial"/><w:b/><w:bCs/><w:color w:val="1A1A2E"/><w:sz w:val="28"/><w:szCs w:val="28"/></w:rPr><w:t xml:space="preserve">Product Goals</w:t></w:r></w:p><w:p><w:pPr><w:pStyle w:val="ListParagraph"/><w:numPr><w:ilvl w:val="0"/><w:numId w:val="2"/></w:numPr><w:spacing w:after="40" w:before="40"/></w:pPr><w:r><w:rPr><w:rFonts w:ascii="Arial" w:cs="Arial" w:eastAsia="Arial" w:hAnsi="Arial"/><w:b/><w:bCs/><w:sz w:val="22"/><w:szCs w:val="22"/></w:rPr><w:t xml:space="preserve">G-P1: </w:t></w:r><w:r><w:rPr><w:rFonts w:ascii="Arial" w:cs="Arial" w:eastAsia="Arial" w:hAnsi="Arial"/><w:sz w:val="22"/><w:szCs w:val="22"/></w:rPr><w:t xml:space="preserve">Achieve 70% task completion rate across the six journey stages within 6 months of launch.</w:t></w:r></w:p><w:p><w:pPr><w:pStyle w:val="ListParagraph"/><w:numPr><w:ilvl w:val="0"/><w:numId w:val="2"/></w:numPr><w:spacing w:after="40" w:before="40"/></w:pPr><w:r><w:rPr><w:rFonts w:ascii="Arial" w:cs="Arial" w:eastAsia="Arial" w:hAnsi="Arial"/><w:b/><w:bCs/><w:sz w:val="22"/><w:szCs w:val="22"/></w:rPr><w:t xml:space="preserve">G-P2: </w:t></w:r><w:r><w:rPr><w:rFonts w:ascii="Arial" w:cs="Arial" w:eastAsia="Arial" w:hAnsi="Arial"/><w:sz w:val="22"/><w:szCs w:val="22"/></w:rPr><w:t xml:space="preserve">Reduce average user-reported stress score (1–10 scale) at key milestones (offer, exchange, completion) by 30% vs. baseline.</w:t></w:r></w:p><w:p><w:pPr><w:pStyle w:val="ListParagraph"/><w:numPr><w:ilvl w:val="0"/><w:numId w:val="2"/></w:numPr><w:spacing w:after="40" w:before="40"/></w:pPr><w:r><w:rPr><w:rFonts w:ascii="Arial" w:cs="Arial" w:eastAsia="Arial" w:hAnsi="Arial"/><w:b/><w:bCs/><w:sz w:val="22"/><w:szCs w:val="22"/></w:rPr><w:t xml:space="preserve">G-P3: </w:t></w:r><w:r><w:rPr><w:rFonts w:ascii="Arial" w:cs="Arial" w:eastAsia="Arial" w:hAnsi="Arial"/><w:sz w:val="22"/><w:szCs w:val="22"/></w:rPr><w:t xml:space="preserve">Generate 40% of new users through word-of-mouth referral within 12 months, evidencing genuine product value.</w:t></w:r></w:p><w:p><w:pPr><w:pStyle w:val="ListParagraph"/><w:numPr><w:ilvl w:val="0"/><w:numId w:val="2"/></w:numPr><w:spacing w:after="40" w:before="40"/></w:pPr><w:r><w:rPr><w:rFonts w:ascii="Arial" w:cs="Arial" w:eastAsia="Arial" w:hAnsi="Arial"/><w:b/><w:bCs/><w:sz w:val="22"/><w:szCs w:val="22"/></w:rPr><w:t xml:space="preserve">G-P4: </w:t></w:r><w:r><w:rPr><w:rFonts w:ascii="Arial" w:cs="Arial" w:eastAsia="Arial" w:hAnsi="Arial"/><w:sz w:val="22"/><w:szCs w:val="22"/></w:rPr><w:t xml:space="preserve">Establish HomeReady as the primary reference product in first-time buyer communities (Reddit, MoneySavingExpert forums) within 18 months.</w:t></w:r></w:p><w:p><w:pPr><w:spacing w:after="0" w:before="200"/></w:pPr><w:r><w:t xml:space="preserve"/></w:r></w:p><w:p><w:pPr><w:pStyle w:val="Heading1"/><w:spacing w:after="160" w:before="400"/></w:pPr><w:r><w:rPr><w:rFonts w:ascii="Arial" w:cs="Arial" w:eastAsia="Arial" w:hAnsi="Arial"/><w:b/><w:bCs/><w:color w:val="1A56A0"/><w:sz w:val="36"/><w:szCs w:val="36"/></w:rPr><w:t xml:space="preserve">4. Non-Goals</w:t></w:r></w:p><w:p><w:pPr><w:spacing w:after="0" w:before="60"/></w:pPr><w:r><w:t xml:space="preserv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D6E8F7" w:val="clear"/><w:tcMar><w:top w:type="dxa" w:w="120"/><w:left w:type="dxa" w:w="180"/><w:bottom w:type="dxa" w:w="120"/><w:right w:type="dxa" w:w="180"/></w:tcMar></w:tcPr><w:p><w:pPr><w:spacing w:after="60" w:before="0"/></w:pPr><w:r><w:rPr><w:rFonts w:ascii="Arial" w:cs="Arial" w:eastAsia="Arial" w:hAnsi="Arial"/><w:b/><w:bCs/><w:color w:val="1A56A0"/><w:sz w:val="22"/><w:szCs w:val="22"/></w:rPr><w:t xml:space="preserve">Scope Boundary</w:t></w:r></w:p><w:p><w:pPr><w:spacing w:after="0" w:before="0"/></w:pPr><w:r><w:rPr><w:rFonts w:ascii="Arial" w:cs="Arial" w:eastAsia="Arial" w:hAnsi="Arial"/><w:sz w:val="22"/><w:szCs w:val="22"/></w:rPr><w:t xml:space="preserve">The following are explicitly out of scope for v1. They are documented here to prevent scope creep and to signal architectural decisions that should accommodate them in future versions.</w:t></w:r></w:p></w:tc></w:tr></w:tbl><w:p><w:pPr><w:spacing w:after="0" w:before="120"/></w:pPr><w:r><w:t xml:space="preserve"/></w:r></w:p><w:p><w:pPr><w:pStyle w:val="ListParagraph"/><w:numPr><w:ilvl w:val="0"/><w:numId w:val="2"/></w:numPr><w:spacing w:after="40" w:before="40"/></w:pPr><w:r><w:rPr><w:rFonts w:ascii="Arial" w:cs="Arial" w:eastAsia="Arial" w:hAnsi="Arial"/><w:sz w:val="22"/><w:szCs w:val="22"/></w:rPr><w:t xml:space="preserve">Renter journey support. Renters face distinct and equally complex problems, but combining both personas in v1 would dilute focus and complicate the product narrative. A renter product is a future standalone initiative.</w:t></w:r></w:p><w:p><w:pPr><w:pStyle w:val="ListParagraph"/><w:numPr><w:ilvl w:val="0"/><w:numId w:val="2"/></w:numPr><w:spacing w:after="40" w:before="40"/></w:pPr><w:r><w:rPr><w:rFonts w:ascii="Arial" w:cs="Arial" w:eastAsia="Arial" w:hAnsi="Arial"/><w:sz w:val="22"/><w:szCs w:val="22"/></w:rPr><w:t xml:space="preserve">Mortgage brokerage or financial advice. HomeReady will surface affordability context and flag options, but will not provide regulated financial advice or act as an intermediary with lenders. Users will be directed to FCA-regulated brokers.</w:t></w:r></w:p><w:p><w:pPr><w:pStyle w:val="ListParagraph"/><w:numPr><w:ilvl w:val="0"/><w:numId w:val="2"/></w:numPr><w:spacing w:after="40" w:before="40"/></w:pPr><w:r><w:rPr><w:rFonts w:ascii="Arial" w:cs="Arial" w:eastAsia="Arial" w:hAnsi="Arial"/><w:sz w:val="22"/><w:szCs w:val="22"/></w:rPr><w:t xml:space="preserve">Solicitor or surveyor marketplace. Facilitating commercial transactions between users and service providers introduces regulatory complexity (referral fees, SRA compliance) that is out of scope for v1.</w:t></w:r></w:p><w:p><w:pPr><w:pStyle w:val="ListParagraph"/><w:numPr><w:ilvl w:val="0"/><w:numId w:val="2"/></w:numPr><w:spacing w:after="40" w:before="40"/></w:pPr><w:r><w:rPr><w:rFonts w:ascii="Arial" w:cs="Arial" w:eastAsia="Arial" w:hAnsi="Arial"/><w:sz w:val="22"/><w:szCs w:val="22"/></w:rPr><w:t xml:space="preserve">New-build purchases. New builds have a distinct process (reservation fees, Help to Buy, snagging lists, developer negotiations) that warrants a separate product treatment.</w:t></w:r></w:p><w:p><w:pPr><w:pStyle w:val="ListParagraph"/><w:numPr><w:ilvl w:val="0"/><w:numId w:val="2"/></w:numPr><w:spacing w:after="40" w:before="40"/></w:pPr><w:r><w:rPr><w:rFonts w:ascii="Arial" w:cs="Arial" w:eastAsia="Arial" w:hAnsi="Arial"/><w:sz w:val="22"/><w:szCs w:val="22"/></w:rPr><w:t xml:space="preserve">Buy-to-let or second property purchases. The product is designed exclusively for owner-occupier first-time buyers. Investment property dynamics (rental yield, CGT) are out of scope.</w:t></w:r></w:p><w:p><w:pPr><w:pStyle w:val="ListParagraph"/><w:numPr><w:ilvl w:val="0"/><w:numId w:val="2"/></w:numPr><w:spacing w:after="40" w:before="40"/></w:pPr><w:r><w:rPr><w:rFonts w:ascii="Arial" w:cs="Arial" w:eastAsia="Arial" w:hAnsi="Arial"/><w:sz w:val="22"/><w:szCs w:val="22"/></w:rPr><w:t xml:space="preserve">Mobile app (iOS/Android). v1 will be a responsive web application. Native mobile apps will be considered in v2 based on usage patterns.</w:t></w:r></w:p><w:p><w:pPr><w:spacing w:after="0" w:before="200"/></w:pPr><w:r><w:t xml:space="preserve"/></w:r></w:p><w:p><w:pPr><w:pStyle w:val="Heading1"/><w:spacing w:after="160" w:before="400"/></w:pPr><w:r><w:rPr><w:rFonts w:ascii="Arial" w:cs="Arial" w:eastAsia="Arial" w:hAnsi="Arial"/><w:b/><w:bCs/><w:color w:val="1A56A0"/><w:sz w:val="36"/><w:szCs w:val="36"/></w:rPr><w:t xml:space="preserve">5. User Stories</w:t></w:r></w:p><w:p><w:pPr><w:spacing w:after="0" w:before="80"/></w:pPr><w:r><w:t xml:space="preserve"/></w:r></w:p><w:p><w:pPr><w:pStyle w:val="Heading2"/><w:pBdr><w:bottom w:val="single" w:color="A8CCE8" w:sz="4" w:space="4"/></w:pBdr><w:spacing w:after="120" w:before="320"/></w:pPr><w:r><w:rPr><w:rFonts w:ascii="Arial" w:cs="Arial" w:eastAsia="Arial" w:hAnsi="Arial"/><w:b/><w:bCs/><w:color w:val="1A1A2E"/><w:sz w:val="28"/><w:szCs w:val="28"/></w:rPr><w:t xml:space="preserve">Stage 1 — Financial Readiness</w:t></w:r></w:p><w:p><w:pPr><w:pStyle w:val="ListParagraph"/><w:numPr><w:ilvl w:val="0"/><w:numId w:val="2"/></w:numPr><w:spacing w:after="40" w:before="40"/></w:pPr><w:r><w:rPr><w:rFonts w:ascii="Arial" w:cs="Arial" w:eastAsia="Arial" w:hAnsi="Arial"/><w:sz w:val="22"/><w:szCs w:val="22"/></w:rPr><w:t xml:space="preserve">As a first-time buyer beginning my search, I want to enter my income, deposit, and target area so that I can see my realistic purchasing budget including all associated costs, not just the property price.</w:t></w:r></w:p><w:p><w:pPr><w:pStyle w:val="ListParagraph"/><w:numPr><w:ilvl w:val="0"/><w:numId w:val="2"/></w:numPr><w:spacing w:after="40" w:before="40"/></w:pPr><w:r><w:rPr><w:rFonts w:ascii="Arial" w:cs="Arial" w:eastAsia="Arial" w:hAnsi="Arial"/><w:sz w:val="22"/><w:szCs w:val="22"/></w:rPr><w:t xml:space="preserve">As a buyer with variable income, I want to understand how my employment type affects mortgage eligibility so that I know which lenders to approach and what documentation to prepare.</w:t></w:r></w:p><w:p><w:pPr><w:pStyle w:val="ListParagraph"/><w:numPr><w:ilvl w:val="0"/><w:numId w:val="2"/></w:numPr><w:spacing w:after="40" w:before="40"/></w:pPr><w:r><w:rPr><w:rFonts w:ascii="Arial" w:cs="Arial" w:eastAsia="Arial" w:hAnsi="Arial"/><w:sz w:val="22"/><w:szCs w:val="22"/></w:rPr><w:t xml:space="preserve">As a buyer who has found a property I like, I want to generate a full cost-to-buy breakdown from the listing URL so that I can compare the true cost against my available funds before making an offer.</w:t></w:r></w:p><w:p><w:pPr><w:spacing w:after="0" w:before="120"/></w:pPr><w:r><w:t xml:space="preserve"/></w:r></w:p><w:p><w:pPr><w:pStyle w:val="Heading2"/><w:pBdr><w:bottom w:val="single" w:color="A8CCE8" w:sz="4" w:space="4"/></w:pBdr><w:spacing w:after="120" w:before="320"/></w:pPr><w:r><w:rPr><w:rFonts w:ascii="Arial" w:cs="Arial" w:eastAsia="Arial" w:hAnsi="Arial"/><w:b/><w:bCs/><w:color w:val="1A1A2E"/><w:sz w:val="28"/><w:szCs w:val="28"/></w:rPr><w:t xml:space="preserve">Stage 2 — Property Evaluation</w:t></w:r></w:p><w:p><w:pPr><w:pStyle w:val="ListParagraph"/><w:numPr><w:ilvl w:val="0"/><w:numId w:val="2"/></w:numPr><w:spacing w:after="40" w:before="40"/></w:pPr><w:r><w:rPr><w:rFonts w:ascii="Arial" w:cs="Arial" w:eastAsia="Arial" w:hAnsi="Arial"/><w:sz w:val="22"/><w:szCs w:val="22"/></w:rPr><w:t xml:space="preserve">As a buyer reviewing a listing, I want the AI to decode estate agent language and flag common euphemisms so that I can assess the property objectively before booking a viewing.</w:t></w:r></w:p><w:p><w:pPr><w:pStyle w:val="ListParagraph"/><w:numPr><w:ilvl w:val="0"/><w:numId w:val="2"/></w:numPr><w:spacing w:after="40" w:before="40"/></w:pPr><w:r><w:rPr><w:rFonts w:ascii="Arial" w:cs="Arial" w:eastAsia="Arial" w:hAnsi="Arial"/><w:sz w:val="22"/><w:szCs w:val="22"/></w:rPr><w:t xml:space="preserve">As a buyer considering a leasehold flat, I want an automatic risk assessment highlighting lease length, service charge level, and ground rent terms so that I can identify problems before instructing a solicitor.</w:t></w:r></w:p><w:p><w:pPr><w:pStyle w:val="ListParagraph"/><w:numPr><w:ilvl w:val="0"/><w:numId w:val="2"/></w:numPr><w:spacing w:after="40" w:before="40"/></w:pPr><w:r><w:rPr><w:rFonts w:ascii="Arial" w:cs="Arial" w:eastAsia="Arial" w:hAnsi="Arial"/><w:sz w:val="22"/><w:szCs w:val="22"/></w:rPr><w:t xml:space="preserve">As a buyer unfamiliar with a neighbourhood, I want a synthesised briefing covering commute times, safety data, school ratings, and known planned developments so that I can assess neighbourhood fit without spending hours on research.</w:t></w:r></w:p><w:p><w:pPr><w:pStyle w:val="ListParagraph"/><w:numPr><w:ilvl w:val="0"/><w:numId w:val="2"/></w:numPr><w:spacing w:after="40" w:before="40"/></w:pPr><w:r><w:rPr><w:rFonts w:ascii="Arial" w:cs="Arial" w:eastAsia="Arial" w:hAnsi="Arial"/><w:sz w:val="22"/><w:szCs w:val="22"/></w:rPr><w:t xml:space="preserve">As a buyer preparing for a viewing, I want a suggested list of questions to ask the estate agent based on the specific property and its known risk factors so that I leave with the information I actually need.</w:t></w:r></w:p><w:p><w:pPr><w:spacing w:after="0" w:before="120"/></w:pPr><w:r><w:t xml:space="preserve"/></w:r></w:p><w:p><w:pPr><w:pStyle w:val="Heading2"/><w:pBdr><w:bottom w:val="single" w:color="A8CCE8" w:sz="4" w:space="4"/></w:pBdr><w:spacing w:after="120" w:before="320"/></w:pPr><w:r><w:rPr><w:rFonts w:ascii="Arial" w:cs="Arial" w:eastAsia="Arial" w:hAnsi="Arial"/><w:b/><w:bCs/><w:color w:val="1A1A2E"/><w:sz w:val="28"/><w:szCs w:val="28"/></w:rPr><w:t xml:space="preserve">Stage 3 — Offer &amp; Negotiation</w:t></w:r></w:p><w:p><w:pPr><w:pStyle w:val="ListParagraph"/><w:numPr><w:ilvl w:val="0"/><w:numId w:val="2"/></w:numPr><w:spacing w:after="40" w:before="40"/></w:pPr><w:r><w:rPr><w:rFonts w:ascii="Arial" w:cs="Arial" w:eastAsia="Arial" w:hAnsi="Arial"/><w:sz w:val="22"/><w:szCs w:val="22"/></w:rPr><w:t xml:space="preserve">As a buyer ready to make an offer, I want to see comparable sold prices for similar properties in the same street and postcode, explained in plain English, so that I can anchor my offer on data rather than emotion.</w:t></w:r></w:p><w:p><w:pPr><w:pStyle w:val="ListParagraph"/><w:numPr><w:ilvl w:val="0"/><w:numId w:val="2"/></w:numPr><w:spacing w:after="40" w:before="40"/></w:pPr><w:r><w:rPr><w:rFonts w:ascii="Arial" w:cs="Arial" w:eastAsia="Arial" w:hAnsi="Arial"/><w:sz w:val="22"/><w:szCs w:val="22"/></w:rPr><w:t xml:space="preserve">As a buyer making an offer below the asking price, I want a suggested negotiation script tailored to my specific situation (first-time buyer, no chain, flexible on dates) so that I can make my case confidently and professionally.</w:t></w:r></w:p><w:p><w:pPr><w:pStyle w:val="ListParagraph"/><w:numPr><w:ilvl w:val="0"/><w:numId w:val="2"/></w:numPr><w:spacing w:after="40" w:before="40"/></w:pPr><w:r><w:rPr><w:rFonts w:ascii="Arial" w:cs="Arial" w:eastAsia="Arial" w:hAnsi="Arial"/><w:sz w:val="22"/><w:szCs w:val="22"/></w:rPr><w:t xml:space="preserve">As a buyer who has received a negative survey, I want to understand which findings justify a price renegotiation and by how much, so that I can go back to the seller with a justified and credible counter-proposal.</w:t></w:r></w:p><w:p><w:pPr><w:spacing w:after="0" w:before="120"/></w:pPr><w:r><w:t xml:space="preserve"/></w:r></w:p><w:p><w:pPr><w:pStyle w:val="Heading2"/><w:pBdr><w:bottom w:val="single" w:color="A8CCE8" w:sz="4" w:space="4"/></w:pBdr><w:spacing w:after="120" w:before="320"/></w:pPr><w:r><w:rPr><w:rFonts w:ascii="Arial" w:cs="Arial" w:eastAsia="Arial" w:hAnsi="Arial"/><w:b/><w:bCs/><w:color w:val="1A1A2E"/><w:sz w:val="28"/><w:szCs w:val="28"/></w:rPr><w:t xml:space="preserve">Stage 4 — Legal &amp; Survey Process</w:t></w:r></w:p><w:p><w:pPr><w:pStyle w:val="ListParagraph"/><w:numPr><w:ilvl w:val="0"/><w:numId w:val="2"/></w:numPr><w:spacing w:after="40" w:before="40"/></w:pPr><w:r><w:rPr><w:rFonts w:ascii="Arial" w:cs="Arial" w:eastAsia="Arial" w:hAnsi="Arial"/><w:sz w:val="22"/><w:szCs w:val="22"/></w:rPr><w:t xml:space="preserve">As a buyer who has had an offer accepted, I want a visual timeline of the conveyancing process with my current position clearly marked so that I understand what is happening, what comes next, and what I need to do.</w:t></w:r></w:p><w:p><w:pPr><w:pStyle w:val="ListParagraph"/><w:numPr><w:ilvl w:val="0"/><w:numId w:val="2"/></w:numPr><w:spacing w:after="40" w:before="40"/></w:pPr><w:r><w:rPr><w:rFonts w:ascii="Arial" w:cs="Arial" w:eastAsia="Arial" w:hAnsi="Arial"/><w:sz w:val="22"/><w:szCs w:val="22"/></w:rPr><w:t xml:space="preserve">As a buyer who has received my draft contract, I want to upload it and receive a plain-English summary that flags non-standard clauses and anything requiring clarification with my solicitor so that I can engage meaningfully rather than blindly trusting the process.</w:t></w:r></w:p><w:p><w:pPr><w:pStyle w:val="ListParagraph"/><w:numPr><w:ilvl w:val="0"/><w:numId w:val="2"/></w:numPr><w:spacing w:after="40" w:before="40"/></w:pPr><w:r><w:rPr><w:rFonts w:ascii="Arial" w:cs="Arial" w:eastAsia="Arial" w:hAnsi="Arial"/><w:sz w:val="22"/><w:szCs w:val="22"/></w:rPr><w:t xml:space="preserve">As a buyer who has received my survey report, I want the AI to categorise findings by severity and explain what each means in practical terms so that I can decide rationally whether to proceed, renegotiate, or withdraw.</w:t></w:r></w:p><w:p><w:pPr><w:spacing w:after="0" w:before="120"/></w:pPr><w:r><w:t xml:space="preserve"/></w:r></w:p><w:p><w:pPr><w:pStyle w:val="Heading2"/><w:pBdr><w:bottom w:val="single" w:color="A8CCE8" w:sz="4" w:space="4"/></w:pBdr><w:spacing w:after="120" w:before="320"/></w:pPr><w:r><w:rPr><w:rFonts w:ascii="Arial" w:cs="Arial" w:eastAsia="Arial" w:hAnsi="Arial"/><w:b/><w:bCs/><w:color w:val="1A1A2E"/><w:sz w:val="28"/><w:szCs w:val="28"/></w:rPr><w:t xml:space="preserve">Stage 5 — Exchange &amp; Completion</w:t></w:r></w:p><w:p><w:pPr><w:pStyle w:val="ListParagraph"/><w:numPr><w:ilvl w:val="0"/><w:numId w:val="2"/></w:numPr><w:spacing w:after="40" w:before="40"/></w:pPr><w:r><w:rPr><w:rFonts w:ascii="Arial" w:cs="Arial" w:eastAsia="Arial" w:hAnsi="Arial"/><w:sz w:val="22"/><w:szCs w:val="22"/></w:rPr><w:t xml:space="preserve">As a buyer approaching exchange, I want a clear checklist of everything I need to have in place before signing (buildings insurance, final mortgage offer, deposit transfer) so that nothing is missed at this legally binding moment.</w:t></w:r></w:p><w:p><w:pPr><w:pStyle w:val="ListParagraph"/><w:numPr><w:ilvl w:val="0"/><w:numId w:val="2"/></w:numPr><w:spacing w:after="40" w:before="40"/></w:pPr><w:r><w:rPr><w:rFonts w:ascii="Arial" w:cs="Arial" w:eastAsia="Arial" w:hAnsi="Arial"/><w:sz w:val="22"/><w:szCs w:val="22"/></w:rPr><w:t xml:space="preserve">As a buyer in a chain, I want a plain-English explanation of my chain position and what the current blocking factor is so that I can assess whether delays are normal or a warning sign.</w:t></w:r></w:p><w:p><w:pPr><w:pStyle w:val="ListParagraph"/><w:numPr><w:ilvl w:val="0"/><w:numId w:val="2"/></w:numPr><w:spacing w:after="40" w:before="40"/></w:pPr><w:r><w:rPr><w:rFonts w:ascii="Arial" w:cs="Arial" w:eastAsia="Arial" w:hAnsi="Arial"/><w:sz w:val="22"/><w:szCs w:val="22"/></w:rPr><w:t xml:space="preserve">As a buyer who has just exchanged, I want a day-by-day countdown to completion with the specific actions I need to take so that I arrive at completion day fully prepared.</w:t></w:r></w:p><w:p><w:pPr><w:spacing w:after="0" w:before="120"/></w:pPr><w:r><w:t xml:space="preserve"/></w:r></w:p><w:p><w:pPr><w:pStyle w:val="Heading2"/><w:pBdr><w:bottom w:val="single" w:color="A8CCE8" w:sz="4" w:space="4"/></w:pBdr><w:spacing w:after="120" w:before="320"/></w:pPr><w:r><w:rPr><w:rFonts w:ascii="Arial" w:cs="Arial" w:eastAsia="Arial" w:hAnsi="Arial"/><w:b/><w:bCs/><w:color w:val="1A1A2E"/><w:sz w:val="28"/><w:szCs w:val="28"/></w:rPr><w:t xml:space="preserve">Stage 6 — Post-Completion</w:t></w:r></w:p><w:p><w:pPr><w:pStyle w:val="ListParagraph"/><w:numPr><w:ilvl w:val="0"/><w:numId w:val="2"/></w:numPr><w:spacing w:after="40" w:before="40"/></w:pPr><w:r><w:rPr><w:rFonts w:ascii="Arial" w:cs="Arial" w:eastAsia="Arial" w:hAnsi="Arial"/><w:sz w:val="22"/><w:szCs w:val="22"/></w:rPr><w:t xml:space="preserve">As a new homeowner on completion day, I want a prioritised admin checklist with deadlines (SDLT payment, Land Registry, utilities) so that no time-sensitive task is missed.</w:t></w:r></w:p><w:p><w:pPr><w:pStyle w:val="ListParagraph"/><w:numPr><w:ilvl w:val="0"/><w:numId w:val="2"/></w:numPr><w:spacing w:after="40" w:before="40"/></w:pPr><w:r><w:rPr><w:rFonts w:ascii="Arial" w:cs="Arial" w:eastAsia="Arial" w:hAnsi="Arial"/><w:sz w:val="22"/><w:szCs w:val="22"/></w:rPr><w:t xml:space="preserve">As a homeowner approaching the end of my initial mortgage deal, I want a remortgage alert with an explanation of my options and the cost of inaction (reverting to SVR) so that I can act before it is too late.</w:t></w:r></w:p><w:p><w:pPr><w:spacing w:after="0" w:before="200"/></w:pPr><w:r><w:t xml:space="preserve"/></w:r></w:p><w:p><w:pPr><w:pStyle w:val="Heading1"/><w:spacing w:after="160" w:before="400"/></w:pPr><w:r><w:rPr><w:rFonts w:ascii="Arial" w:cs="Arial" w:eastAsia="Arial" w:hAnsi="Arial"/><w:b/><w:bCs/><w:color w:val="1A56A0"/><w:sz w:val="36"/><w:szCs w:val="36"/></w:rPr><w:t xml:space="preserve">6. Requirements</w:t></w:r></w:p><w:p><w:pPr><w:spacing w:after="0" w:before="80"/></w:pPr><w:r><w:t xml:space="preserve"/></w:r></w:p><w:p><w:pPr><w:pStyle w:val="Heading2"/><w:pBdr><w:bottom w:val="single" w:color="A8CCE8" w:sz="4" w:space="4"/></w:pBdr><w:spacing w:after="120" w:before="320"/></w:pPr><w:r><w:rPr><w:rFonts w:ascii="Arial" w:cs="Arial" w:eastAsia="Arial" w:hAnsi="Arial"/><w:b/><w:bCs/><w:color w:val="1A1A2E"/><w:sz w:val="28"/><w:szCs w:val="28"/></w:rPr><w:t xml:space="preserve">Must-Have — P0</w:t></w:r></w:p><w:p><w:pPr><w:spacing w:after="80" w:before="60"/></w:pPr><w:r><w:rPr><w:rFonts w:ascii="Arial" w:cs="Arial" w:eastAsia="Arial" w:hAnsi="Arial"/><w:sz w:val="22"/><w:szCs w:val="22"/></w:rPr><w:t xml:space="preserve">Core capabilities without which the product does not solve the primary user problem.</w:t></w:r></w:p><w:p><w:pPr><w:spacing w:after="0" w:before="80"/></w:pPr><w:r><w:t xml:space="preserv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2800"/><w:gridCol w:w="800"/><w:gridCol w:w="4960"/></w:tblGrid><w:tr><w:trPr><w:tblHeader/></w:trPr><w:tc><w:tcPr><w:tcW w:type="dxa" w:w="80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ID</w:t></w:r></w:p></w:tc><w:tc><w:tcPr><w:tcW w:type="dxa" w:w="280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Requirement</w:t></w:r></w:p></w:tc><w:tc><w:tcPr><w:tcW w:type="dxa" w:w="80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Priority</w:t></w:r></w:p></w:tc><w:tc><w:tcPr><w:tcW w:type="dxa" w:w="496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Acceptance Criteria</w:t></w:r></w:p></w:tc></w:tr><w:tr><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R-01</w:t></w:r></w:p></w:tc><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Cost-to-buy calculator: given a property price and postcode, generate a full acquisition cost breakdown including SDLT, solicitor fees, survey, mortgage broker, and moving costs.</w:t></w:r></w:p></w:tc><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w:bCs/><w:color w:val="C00000"/><w:sz w:val="20"/><w:szCs w:val="20"/></w:rPr><w:t xml:space="preserve">P0</w:t></w:r></w:p></w:tc><w:tc><w:tcPr><w:tcW w:type="dxa" w:w="4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Output matches HMRC SDLT calculator within £1. All cost categories present. Results generated in under 5 seconds.</w:t></w:r></w:p></w:tc></w:tr><w:tr><w:tc><w:tcPr><w:tcW w:type="dxa" w:w="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R-02</w:t></w:r></w:p></w:tc><w:tc><w:tcPr><w:tcW w:type="dxa" w:w="2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Listing decoder: paste a listing URL or text and receive a decoded analysis flagging euphemistic language, missing information, and notable claims.</w:t></w:r></w:p></w:tc><w:tc><w:tcPr><w:tcW w:type="dxa" w:w="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w:bCs/><w:color w:val="C00000"/><w:sz w:val="20"/><w:szCs w:val="20"/></w:rPr><w:t xml:space="preserve">P0</w:t></w:r></w:p></w:tc><w:tc><w:tcPr><w:tcW w:type="dxa" w:w="496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Correctly identifies at least 10 common estate agent euphemisms. Flags absence of key fields (EPC, tenure, service charge). Output is scannable within 60 seconds.</w:t></w:r></w:p></w:tc></w:tr><w:tr><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R-03</w:t></w:r></w:p></w:tc><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Leasehold risk scanner: automatically detect leasehold status and flag lease length, service charge, and ground rent risk from listing or uploaded documentation.</w:t></w:r></w:p></w:tc><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w:bCs/><w:color w:val="C00000"/><w:sz w:val="20"/><w:szCs w:val="20"/></w:rPr><w:t xml:space="preserve">P0</w:t></w:r></w:p></w:tc><w:tc><w:tcPr><w:tcW w:type="dxa" w:w="4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Correctly classifies freehold vs leasehold. Flags lease length under 85 years as amber, under 80 as red. Explains implication of each flag in plain English.</w:t></w:r></w:p></w:tc></w:tr><w:tr><w:tc><w:tcPr><w:tcW w:type="dxa" w:w="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R-04</w:t></w:r></w:p></w:tc><w:tc><w:tcPr><w:tcW w:type="dxa" w:w="2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Conveyancing progress tracker: visual stage-by-stage timeline showing current position, typical duration, next milestones, and required buyer actions.</w:t></w:r></w:p></w:tc><w:tc><w:tcPr><w:tcW w:type="dxa" w:w="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w:bCs/><w:color w:val="C00000"/><w:sz w:val="20"/><w:szCs w:val="20"/></w:rPr><w:t xml:space="preserve">P0</w:t></w:r></w:p></w:tc><w:tc><w:tcPr><w:tcW w:type="dxa" w:w="496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Covers all standard conveyancing stages. User can mark stages complete. Estimated timelines based on UK averages. Mobile-responsive.</w:t></w:r></w:p></w:tc></w:tr><w:tr><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R-05</w:t></w:r></w:p></w:tc><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Legal document explainer: upload a conveyancing document (PDF or DOCX) and receive a plain-English summary with flagged clauses.</w:t></w:r></w:p></w:tc><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w:bCs/><w:color w:val="C00000"/><w:sz w:val="20"/><w:szCs w:val="20"/></w:rPr><w:t xml:space="preserve">P0</w:t></w:r></w:p></w:tc><w:tc><w:tcPr><w:tcW w:type="dxa" w:w="4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Handles draft contracts, title registers, and search results. Summary under 500 words. Flagged clauses include at minimum: restrictive covenants, rights of way, chancel repair liability.</w:t></w:r></w:p></w:tc></w:tr><w:tr><w:tc><w:tcPr><w:tcW w:type="dxa" w:w="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R-06</w:t></w:r></w:p></w:tc><w:tc><w:tcPr><w:tcW w:type="dxa" w:w="2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Survey report interpreter: upload a survey PDF and receive a categorised summary (critical / significant / advisory) with plain-English explanations and suggested actions.</w:t></w:r></w:p></w:tc><w:tc><w:tcPr><w:tcW w:type="dxa" w:w="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w:bCs/><w:color w:val="C00000"/><w:sz w:val="20"/><w:szCs w:val="20"/></w:rPr><w:t xml:space="preserve">P0</w:t></w:r></w:p></w:tc><w:tc><w:tcPr><w:tcW w:type="dxa" w:w="496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Correctly categorises RICS Level 2 and Level 3 findings. Each finding includes: what it means, typical cost to address, whether it warrants renegotiation.</w:t></w:r></w:p></w:tc></w:tr><w:tr><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R-07</w:t></w:r></w:p></w:tc><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Post-completion admin checklist: auto-generated task list with deadlines tied to the user's completion date.</w:t></w:r></w:p></w:tc><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w:bCs/><w:color w:val="C00000"/><w:sz w:val="20"/><w:szCs w:val="20"/></w:rPr><w:t xml:space="preserve">P0</w:t></w:r></w:p></w:tc><w:tc><w:tcPr><w:tcW w:type="dxa" w:w="4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Includes SDLT deadline (14 days), Land Registry, buildings insurance, utility notifications. Deadlines calculated from user-entered completion date. Tasks marked complete persist across sessions.</w:t></w:r></w:p></w:tc></w:tr></w:tbl><w:p><w:pPr><w:spacing w:after="0" w:before="160"/></w:pPr><w:r><w:t xml:space="preserve"/></w:r></w:p><w:p><w:pPr><w:pStyle w:val="Heading2"/><w:pBdr><w:bottom w:val="single" w:color="A8CCE8" w:sz="4" w:space="4"/></w:pBdr><w:spacing w:after="120" w:before="320"/></w:pPr><w:r><w:rPr><w:rFonts w:ascii="Arial" w:cs="Arial" w:eastAsia="Arial" w:hAnsi="Arial"/><w:b/><w:bCs/><w:color w:val="1A1A2E"/><w:sz w:val="28"/><w:szCs w:val="28"/></w:rPr><w:t xml:space="preserve">Nice-to-Have — P1</w:t></w:r></w:p><w:p><w:pPr><w:spacing w:after="80" w:before="60"/></w:pPr><w:r><w:rPr><w:rFonts w:ascii="Arial" w:cs="Arial" w:eastAsia="Arial" w:hAnsi="Arial"/><w:sz w:val="22"/><w:szCs w:val="22"/></w:rPr><w:t xml:space="preserve">Significant experience improvements planned for v1.1 immediately following launch.</w:t></w:r></w:p><w:p><w:pPr><w:spacing w:after="0" w:before="80"/></w:pPr><w:r><w:t xml:space="preserv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2800"/><w:gridCol w:w="800"/><w:gridCol w:w="4960"/></w:tblGrid><w:tr><w:trPr><w:tblHeader/></w:trPr><w:tc><w:tcPr><w:tcW w:type="dxa" w:w="80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ID</w:t></w:r></w:p></w:tc><w:tc><w:tcPr><w:tcW w:type="dxa" w:w="280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Requirement</w:t></w:r></w:p></w:tc><w:tc><w:tcPr><w:tcW w:type="dxa" w:w="80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Priority</w:t></w:r></w:p></w:tc><w:tc><w:tcPr><w:tcW w:type="dxa" w:w="496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Acceptance Criteria</w:t></w:r></w:p></w:tc></w:tr><w:tr><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R-08</w:t></w:r></w:p></w:tc><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Comparable price analysis: given a property and postcode, surface recent sold prices for similar properties with a plain-English assessment of whether the asking price is fair.</w:t></w:r></w:p></w:tc><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w:bCs/><w:color w:val="E97132"/><w:sz w:val="20"/><w:szCs w:val="20"/></w:rPr><w:t xml:space="preserve">P1</w:t></w:r></w:p></w:tc><w:tc><w:tcPr><w:tcW w:type="dxa" w:w="4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Uses Land Registry sold price data. Comparables filtered by property type, beds, and within 0.25 miles / 12 months. Output includes recommended offer range.</w:t></w:r></w:p></w:tc></w:tr><w:tr><w:tc><w:tcPr><w:tcW w:type="dxa" w:w="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R-09</w:t></w:r></w:p></w:tc><w:tc><w:tcPr><w:tcW w:type="dxa" w:w="2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Negotiation coach: generate a tailored negotiation script based on the user's situation (chain status, timeline flexibility, survey findings, days on market).</w:t></w:r></w:p></w:tc><w:tc><w:tcPr><w:tcW w:type="dxa" w:w="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w:bCs/><w:color w:val="E97132"/><w:sz w:val="20"/><w:szCs w:val="20"/></w:rPr><w:t xml:space="preserve">P1</w:t></w:r></w:p></w:tc><w:tc><w:tcPr><w:tcW w:type="dxa" w:w="496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Incorporates at least 3 user-specific factors. Provides opening position, fallback, and key justifications. Tone is professional and evidence-based.</w:t></w:r></w:p></w:tc></w:tr><w:tr><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R-10</w:t></w:r></w:p></w:tc><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Neighbourhood Intelligence Agent: an agentic AI that autonomously calls four live public APIs (TfL transport, Environment Agency flood risk, Ofsted schools, web search) and synthesises results into a structured neighbourhood briefing covering commute times, flood risk, school ratings, area character, and buyer fit for any UK postcode.</w:t></w:r></w:p></w:tc><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w:bCs/><w:color w:val="C00000"/><w:sz w:val="20"/><w:szCs w:val="20"/></w:rPr><w:t xml:space="preserve">P0</w:t></w:r></w:p></w:tc><w:tc><w:tcPr><w:tcW w:type="dxa" w:w="4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Data sourced from public APIs (TfL, Ofsted, EA Flood Map, planning portals). Briefing generated in under 10 seconds. Explicitly cites sources.</w:t></w:r></w:p></w:tc></w:tr><w:tr><w:tc><w:tcPr><w:tcW w:type="dxa" w:w="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R-11</w:t></w:r></w:p></w:tc><w:tc><w:tcPr><w:tcW w:type="dxa" w:w="2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Mortgage eligibility estimator: given income, employment type, deposit, and basic credit profile, produce an estimated borrowing range with lender type guidance.</w:t></w:r></w:p></w:tc><w:tc><w:tcPr><w:tcW w:type="dxa" w:w="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w:bCs/><w:color w:val="E97132"/><w:sz w:val="20"/><w:szCs w:val="20"/></w:rPr><w:t xml:space="preserve">P1</w:t></w:r></w:p></w:tc><w:tc><w:tcPr><w:tcW w:type="dxa" w:w="496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Outputs min/max estimated borrowing. Adjusts for self-employed, contractor, and variable income scenarios. Clearly labelled as an estimate, not advice. Recommends FCA-regulated broker.</w:t></w:r></w:p></w:tc></w:tr><w:tr><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R-12</w:t></w:r></w:p></w:tc><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Viewing question generator: given a listing, generate a tailored list of questions to ask at the viewing based on property type, tenure, and flagged risks.</w:t></w:r></w:p></w:tc><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w:bCs/><w:color w:val="E97132"/><w:sz w:val="20"/><w:szCs w:val="20"/></w:rPr><w:t xml:space="preserve">P1</w:t></w:r></w:p></w:tc><w:tc><w:tcPr><w:tcW w:type="dxa" w:w="4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Minimum 10 questions generated. Questions vary by property type (flat vs house) and tenure (leasehold vs freehold). Formatted as a printable / shareable list.</w:t></w:r></w:p></w:tc></w:tr></w:tbl><w:p><w:pPr><w:spacing w:after="0" w:before="160"/></w:pPr><w:r><w:t xml:space="preserve"/></w:r></w:p><w:p><w:pPr><w:pStyle w:val="Heading2"/><w:pBdr><w:bottom w:val="single" w:color="A8CCE8" w:sz="4" w:space="4"/></w:pBdr><w:spacing w:after="120" w:before="320"/></w:pPr><w:r><w:rPr><w:rFonts w:ascii="Arial" w:cs="Arial" w:eastAsia="Arial" w:hAnsi="Arial"/><w:b/><w:bCs/><w:color w:val="1A1A2E"/><w:sz w:val="28"/><w:szCs w:val="28"/></w:rPr><w:t xml:space="preserve">Future Considerations — P2</w:t></w:r></w:p><w:p><w:pPr><w:spacing w:after="80" w:before="60"/></w:pPr><w:r><w:rPr><w:rFonts w:ascii="Arial" w:cs="Arial" w:eastAsia="Arial" w:hAnsi="Arial"/><w:sz w:val="22"/><w:szCs w:val="22"/></w:rPr><w:t xml:space="preserve">Out of scope for v1 but should inform architecture decisions to avoid blocking these later.</w:t></w:r></w:p><w:p><w:pPr><w:spacing w:after="0" w:before="80"/></w:pPr><w:r><w:t xml:space="preserv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2800"/><w:gridCol w:w="800"/><w:gridCol w:w="4960"/></w:tblGrid><w:tr><w:trPr><w:tblHeader/></w:trPr><w:tc><w:tcPr><w:tcW w:type="dxa" w:w="80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ID</w:t></w:r></w:p></w:tc><w:tc><w:tcPr><w:tcW w:type="dxa" w:w="280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Requirement</w:t></w:r></w:p></w:tc><w:tc><w:tcPr><w:tcW w:type="dxa" w:w="80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Priority</w:t></w:r></w:p></w:tc><w:tc><w:tcPr><w:tcW w:type="dxa" w:w="496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Acceptance Criteria</w:t></w:r></w:p></w:tc></w:tr><w:tr><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R-13</w:t></w:r></w:p></w:tc><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Remortgage planner: alert users when their initial rate period is approaching expiry, explain SVR cost impact, and surface remortgage options.</w:t></w:r></w:p></w:tc><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w:bCs/><w:color w:val="538135"/><w:sz w:val="20"/><w:szCs w:val="20"/></w:rPr><w:t xml:space="preserve">P2</w:t></w:r></w:p></w:tc><w:tc><w:tcPr><w:tcW w:type="dxa" w:w="4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Trigger alert 3 months before deal expiry. Display SVR cost vs current deal. Link to comparison tools.</w:t></w:r></w:p></w:tc></w:tr><w:tr><w:tc><w:tcPr><w:tcW w:type="dxa" w:w="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R-14</w:t></w:r></w:p></w:tc><w:tc><w:tcPr><w:tcW w:type="dxa" w:w="2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Property portfolio tracking: allow users to track multiple properties under consideration with comparative scoring across key criteria.</w:t></w:r></w:p></w:tc><w:tc><w:tcPr><w:tcW w:type="dxa" w:w="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w:bCs/><w:color w:val="538135"/><w:sz w:val="20"/><w:szCs w:val="20"/></w:rPr><w:t xml:space="preserve">P2</w:t></w:r></w:p></w:tc><w:tc><w:tcPr><w:tcW w:type="dxa" w:w="496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Support up to 10 saved properties. Side-by-side comparison view. Shareable with partner or family member.</w:t></w:r></w:p></w:tc></w:tr><w:tr><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R-15</w:t></w:r></w:p></w:tc><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Solicitor and surveyor quality assessment: help users evaluate professionals based on transparent criteria rather than estate agent referrals.</w:t></w:r></w:p></w:tc><w:tc><w:tcPr><w:tcW w:type="dxa" w:w="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w:bCs/><w:color w:val="538135"/><w:sz w:val="20"/><w:szCs w:val="20"/></w:rPr><w:t xml:space="preserve">P2</w:t></w:r></w:p></w:tc><w:tc><w:tcPr><w:tcW w:type="dxa" w:w="4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000000"/><w:sz w:val="20"/><w:szCs w:val="20"/></w:rPr><w:t xml:space="preserve">Out of scope pending regulatory review of referral fee implications.</w:t></w:r></w:p></w:tc></w:tr><w:tr><w:tc><w:tcPr><w:tcW w:type="dxa" w:w="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R-16</w:t></w:r></w:p></w:tc><w:tc><w:tcPr><w:tcW w:type="dxa" w:w="2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Chain health monitor: real-time visibility into the status and risk level of the buyer's purchase chain.</w:t></w:r></w:p></w:tc><w:tc><w:tcPr><w:tcW w:type="dxa" w:w="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w:bCs/><w:color w:val="538135"/><w:sz w:val="20"/><w:szCs w:val="20"/></w:rPr><w:t xml:space="preserve">P2</w:t></w:r></w:p></w:tc><w:tc><w:tcPr><w:tcW w:type="dxa" w:w="496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b w:val="false"/><w:bCs w:val="false"/><w:color w:val="000000"/><w:sz w:val="20"/><w:szCs w:val="20"/></w:rPr><w:t xml:space="preserve">Requires integration with solicitor systems or manual input workflow. To be designed in v2.</w:t></w:r></w:p></w:tc></w:tr></w:tbl><w:p><w:pPr><w:spacing w:after="0" w:before="200"/></w:pPr><w:r><w:t xml:space="preserve"/></w:r></w:p><w:p><w:pPr><w:pStyle w:val="Heading1"/><w:spacing w:after="160" w:before="400"/></w:pPr><w:r><w:rPr><w:rFonts w:ascii="Arial" w:cs="Arial" w:eastAsia="Arial" w:hAnsi="Arial"/><w:b/><w:bCs/><w:color w:val="1A56A0"/><w:sz w:val="36"/><w:szCs w:val="36"/></w:rPr><w:t xml:space="preserve">7. Success Metrics</w:t></w:r></w:p><w:p><w:pPr><w:spacing w:after="0" w:before="80"/></w:pPr><w:r><w:t xml:space="preserv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1200"/><w:gridCol w:w="2880"/><w:gridCol w:w="2480"/></w:tblGrid><w:tr><w:trPr><w:tblHeader/></w:trPr><w:tc><w:tcPr><w:tcW w:type="dxa" w:w="280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Metric</w:t></w:r></w:p></w:tc><w:tc><w:tcPr><w:tcW w:type="dxa" w:w="120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Type</w:t></w:r></w:p></w:tc><w:tc><w:tcPr><w:tcW w:type="dxa" w:w="288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Target</w:t></w:r></w:p></w:tc><w:tc><w:tcPr><w:tcW w:type="dxa" w:w="2480"/><w:tcBorders><w:top w:val="single" w:color="CCCCCC" w:sz="1"/><w:left w:val="single" w:color="CCCCCC" w:sz="1"/><w:bottom w:val="single" w:color="CCCCCC" w:sz="1"/><w:right w:val="single" w:color="CCCCCC" w:sz="1"/></w:tcBorders><w:shd w:fill="1A56A0" w:val="clear"/><w:tcMar><w:top w:type="dxa" w:w="80"/><w:left w:type="dxa" w:w="120"/><w:bottom w:type="dxa" w:w="80"/><w:right w:type="dxa" w:w="120"/></w:tcMar></w:tcPr><w:p><w:r><w:rPr><w:rFonts w:ascii="Arial" w:cs="Arial" w:eastAsia="Arial" w:hAnsi="Arial"/><w:b/><w:bCs/><w:color w:val="FFFFFF"/><w:sz w:val="20"/><w:szCs w:val="20"/></w:rPr><w:t xml:space="preserve">Measurement Window</w:t></w:r></w:p></w:tc></w:tr><w:tr><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Stage completion rate</w:t></w:r></w:p></w:tc><w:tc><w:tcPr><w:tcW w:type="dxa" w:w="1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Leading</w:t></w:r></w:p></w:tc><w:tc><w:tcPr><w:tcW w:type="dxa" w:w="28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70% of active users complete at least 3 of 6 stages</w:t></w:r></w:p></w:tc><w:tc><w:tcPr><w:tcW w:type="dxa" w:w="24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30 days post-signup</w:t></w:r></w:p></w:tc></w:tr><w:tr><w:tc><w:tcPr><w:tcW w:type="dxa" w:w="2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Document upload &amp; analysis usage</w:t></w:r></w:p></w:tc><w:tc><w:tcPr><w:tcW w:type="dxa" w:w="12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Leading</w:t></w:r></w:p></w:tc><w:tc><w:tcPr><w:tcW w:type="dxa" w:w="288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60% of users who reach Stage 4 upload at least one document</w:t></w:r></w:p></w:tc><w:tc><w:tcPr><w:tcW w:type="dxa" w:w="248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Within 90 days of offer acceptance</w:t></w:r></w:p></w:tc></w:tr><w:tr><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Listing decoder usage</w:t></w:r></w:p></w:tc><w:tc><w:tcPr><w:tcW w:type="dxa" w:w="1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Leading</w:t></w:r></w:p></w:tc><w:tc><w:tcPr><w:tcW w:type="dxa" w:w="28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80% of active users run at least one listing analysis</w:t></w:r></w:p></w:tc><w:tc><w:tcPr><w:tcW w:type="dxa" w:w="24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First 14 days</w:t></w:r></w:p></w:tc></w:tr><w:tr><w:tc><w:tcPr><w:tcW w:type="dxa" w:w="2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Task completion rate</w:t></w:r></w:p></w:tc><w:tc><w:tcPr><w:tcW w:type="dxa" w:w="12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Leading</w:t></w:r></w:p></w:tc><w:tc><w:tcPr><w:tcW w:type="dxa" w:w="288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85% of post-completion checklist tasks marked complete before deadline</w:t></w:r></w:p></w:tc><w:tc><w:tcPr><w:tcW w:type="dxa" w:w="248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30 days post-completion</w:t></w:r></w:p></w:tc></w:tr><w:tr><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User-reported stress score</w:t></w:r></w:p></w:tc><w:tc><w:tcPr><w:tcW w:type="dxa" w:w="1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Lagging</w:t></w:r></w:p></w:tc><w:tc><w:tcPr><w:tcW w:type="dxa" w:w="28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30% reduction at offer and exchange vs. unassisted baseline</w:t></w:r></w:p></w:tc><w:tc><w:tcPr><w:tcW w:type="dxa" w:w="24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6 months post-launch</w:t></w:r></w:p></w:tc></w:tr><w:tr><w:tc><w:tcPr><w:tcW w:type="dxa" w:w="2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Word-of-mouth referral rate</w:t></w:r></w:p></w:tc><w:tc><w:tcPr><w:tcW w:type="dxa" w:w="12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Lagging</w:t></w:r></w:p></w:tc><w:tc><w:tcPr><w:tcW w:type="dxa" w:w="288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40% of new signups attributed to referral</w:t></w:r></w:p></w:tc><w:tc><w:tcPr><w:tcW w:type="dxa" w:w="248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12 months post-launch</w:t></w:r></w:p></w:tc></w:tr><w:tr><w:tc><w:tcPr><w:tcW w:type="dxa" w:w="2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30-day retention</w:t></w:r></w:p></w:tc><w:tc><w:tcPr><w:tcW w:type="dxa" w:w="1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Lagging</w:t></w:r></w:p></w:tc><w:tc><w:tcPr><w:tcW w:type="dxa" w:w="28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55% of users active 30 days after signup</w:t></w:r></w:p></w:tc><w:tc><w:tcPr><w:tcW w:type="dxa" w:w="24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sz w:val="20"/><w:szCs w:val="20"/></w:rPr><w:t xml:space="preserve">Cohort analysis, monthly</w:t></w:r></w:p></w:tc></w:tr><w:tr><w:tc><w:tcPr><w:tcW w:type="dxa" w:w="28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NPS</w:t></w:r></w:p></w:tc><w:tc><w:tcPr><w:tcW w:type="dxa" w:w="120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Lagging</w:t></w:r></w:p></w:tc><w:tc><w:tcPr><w:tcW w:type="dxa" w:w="288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NPS &gt; 50 (benchmark: best-in-class fintech ~60)</w:t></w:r></w:p></w:tc><w:tc><w:tcPr><w:tcW w:type="dxa" w:w="2480"/><w:tcBorders><w:top w:val="single" w:color="CCCCCC" w:sz="1"/><w:left w:val="single" w:color="CCCCCC" w:sz="1"/><w:bottom w:val="single" w:color="CCCCCC" w:sz="1"/><w:right w:val="single" w:color="CCCCCC" w:sz="1"/></w:tcBorders><w:shd w:fill="F5F7FA" w:val="clear"/><w:tcMar><w:top w:type="dxa" w:w="80"/><w:left w:type="dxa" w:w="120"/><w:bottom w:type="dxa" w:w="80"/><w:right w:type="dxa" w:w="120"/></w:tcMar></w:tcPr><w:p><w:r><w:rPr><w:rFonts w:ascii="Arial" w:cs="Arial" w:eastAsia="Arial" w:hAnsi="Arial"/><w:sz w:val="20"/><w:szCs w:val="20"/></w:rPr><w:t xml:space="preserve">Measured at 60 and 90 days post-signup</w:t></w:r></w:p></w:tc></w:tr></w:tbl><w:p><w:pPr><w:spacing w:after="0" w:before="200"/></w:pPr><w:r><w:t xml:space="preserve"/></w:r></w:p><w:p><w:pPr><w:pStyle w:val="Heading1"/><w:spacing w:after="160" w:before="400"/></w:pPr><w:r><w:rPr><w:rFonts w:ascii="Arial" w:cs="Arial" w:eastAsia="Arial" w:hAnsi="Arial"/><w:b/><w:bCs/><w:color w:val="1A56A0"/><w:sz w:val="36"/><w:szCs w:val="36"/></w:rPr><w:t xml:space="preserve">8. Open Questions</w:t></w:r></w:p><w:p><w:pPr><w:spacing w:after="0" w:before="80"/></w:pPr><w:r><w:t xml:space="preserve"/></w:r></w:p><w:p><w:pPr><w:pStyle w:val="Heading2"/><w:pBdr><w:bottom w:val="single" w:color="A8CCE8" w:sz="4" w:space="4"/></w:pBdr><w:spacing w:after="120" w:before="320"/></w:pPr><w:r><w:rPr><w:rFonts w:ascii="Arial" w:cs="Arial" w:eastAsia="Arial" w:hAnsi="Arial"/><w:b/><w:bCs/><w:color w:val="1A1A2E"/><w:sz w:val="28"/><w:szCs w:val="28"/></w:rPr><w:t xml:space="preserve">Blocking — Must Resolve Before Build</w:t></w:r></w:p><w:p><w:pPr><w:pStyle w:val="ListParagraph"/><w:numPr><w:ilvl w:val="0"/><w:numId w:val="2"/></w:numPr><w:spacing w:after="40" w:before="40"/></w:pPr><w:r><w:rPr><w:rFonts w:ascii="Arial" w:cs="Arial" w:eastAsia="Arial" w:hAnsi="Arial"/><w:sz w:val="22"/><w:szCs w:val="22"/></w:rPr><w:t xml:space="preserve">[Legal] Does providing plain-English summaries of legal documents constitute regulated legal advice under the Legal Services Act 2007? Does a prominent disclaimer suffice, or is a legal review required before launch?
[Regulatory] The 2026 Home Buying Reform roadmap mandates standardised upfront property data packs. Monitor whether this makes leasehold risk scanning or listing decoding features partially redundant — or increases demand for tools that help buyers interpret more upfront data.</w:t></w:r></w:p><w:p><w:pPr><w:pStyle w:val="ListParagraph"/><w:numPr><w:ilvl w:val="0"/><w:numId w:val="2"/></w:numPr><w:spacing w:after="40" w:before="40"/></w:pPr><w:r><w:rPr><w:rFonts w:ascii="Arial" w:cs="Arial" w:eastAsia="Arial" w:hAnsi="Arial"/><w:sz w:val="22"/><w:szCs w:val="22"/></w:rPr><w:t xml:space="preserve">[Legal] Does generating a negotiation script or affordability estimate trigger FCA financial promotion rules? Requires legal counsel review.</w:t></w:r></w:p><w:p><w:pPr><w:pStyle w:val="ListParagraph"/><w:numPr><w:ilvl w:val="0"/><w:numId w:val="2"/></w:numPr><w:spacing w:after="40" w:before="40"/></w:pPr><w:r><w:rPr><w:rFonts w:ascii="Arial" w:cs="Arial" w:eastAsia="Arial" w:hAnsi="Arial"/><w:sz w:val="22"/><w:szCs w:val="22"/></w:rPr><w:t xml:space="preserve">[Engineering] Which data sources will power the comparable price analysis (R-08)? Land Registry data is public but has a 3–6 month publication lag. Is this acceptable for v1?
[Competitive] Jitty launched an AI buyer assistant in March 2026 and is well-funded. It currently stops at search/discovery. HomeReady must own Stages 3–6 before Jitty expands post-offer. Prioritise Exchange & Completion (Stage 5) and legal document analysis as first-mover defensive positions.</w:t></w:r></w:p><w:p><w:pPr><w:pStyle w:val="ListParagraph"/><w:numPr><w:ilvl w:val="0"/><w:numId w:val="2"/></w:numPr><w:spacing w:after="40" w:before="40"/></w:pPr><w:r><w:rPr><w:rFonts w:ascii="Arial" w:cs="Arial" w:eastAsia="Arial" w:hAnsi="Arial"/><w:sz w:val="22"/><w:szCs w:val="22"/></w:rPr><w:t xml:space="preserve">[Engineering] What is the document processing pipeline for uploaded PDFs and DOCX files? Evaluate Claude API (vision) vs. extraction-first approaches for legal documents with complex layouts.</w:t></w:r></w:p><w:p><w:pPr><w:spacing w:after="0" w:before="120"/></w:pPr><w:r><w:t xml:space="preserve"/></w:r></w:p><w:p><w:pPr><w:pStyle w:val="Heading2"/><w:pBdr><w:bottom w:val="single" w:color="A8CCE8" w:sz="4" w:space="4"/></w:pBdr><w:spacing w:after="120" w:before="320"/></w:pPr><w:r><w:rPr><w:rFonts w:ascii="Arial" w:cs="Arial" w:eastAsia="Arial" w:hAnsi="Arial"/><w:b/><w:bCs/><w:color w:val="1A1A2E"/><w:sz w:val="28"/><w:szCs w:val="28"/></w:rPr><w:t xml:space="preserve">Non-Blocking — Resolve During Build</w:t></w:r></w:p><w:p><w:pPr><w:pStyle w:val="ListParagraph"/><w:numPr><w:ilvl w:val="0"/><w:numId w:val="2"/></w:numPr><w:spacing w:after="40" w:before="40"/></w:pPr><w:r><w:rPr><w:rFonts w:ascii="Arial" w:cs="Arial" w:eastAsia="Arial" w:hAnsi="Arial"/><w:sz w:val="22"/><w:szCs w:val="22"/></w:rPr><w:t xml:space="preserve">[Design] What is the right UX model for the journey tracker — linear progress bar, interactive timeline, or dashboard? Requires user research with 3–5 first-time buyers before design is finalised.</w:t></w:r></w:p><w:p><w:pPr><w:pStyle w:val="ListParagraph"/><w:numPr><w:ilvl w:val="0"/><w:numId w:val="2"/></w:numPr><w:spacing w:after="40" w:before="40"/></w:pPr><w:r><w:rPr><w:rFonts w:ascii="Arial" w:cs="Arial" w:eastAsia="Arial" w:hAnsi="Arial"/><w:sz w:val="22"/><w:szCs w:val="22"/></w:rPr><w:t xml:space="preserve">[Product] Should users be able to share their HomeReady dashboard with a partner or family member? If so, what is the collaboration model (view-only vs. edit)?</w:t></w:r></w:p><w:p><w:pPr><w:pStyle w:val="ListParagraph"/><w:numPr><w:ilvl w:val="0"/><w:numId w:val="2"/></w:numPr><w:spacing w:after="40" w:before="40"/></w:pPr><w:r><w:rPr><w:rFonts w:ascii="Arial" w:cs="Arial" w:eastAsia="Arial" w:hAnsi="Arial"/><w:sz w:val="22"/><w:szCs w:val="22"/></w:rPr><w:t xml:space="preserve">[Data] How do we handle the fact that users will be at different stages when they first sign up? The onboarding flow needs to accommodate entry points from Stage 1 through to Stage 4.</w:t></w:r></w:p><w:p><w:pPr><w:pStyle w:val="ListParagraph"/><w:numPr><w:ilvl w:val="0"/><w:numId w:val="2"/></w:numPr><w:spacing w:after="40" w:before="40"/></w:pPr><w:r><w:rPr><w:rFonts w:ascii="Arial" w:cs="Arial" w:eastAsia="Arial" w:hAnsi="Arial"/><w:sz w:val="22"/><w:szCs w:val="22"/></w:rPr><w:t xml:space="preserve">[Product] What is the monetisation model? Freemium with paywalled document analysis, one-time purchase, or subscription? This affects the v1 feature gate decisions.</w:t></w:r></w:p><w:p><w:pPr><w:spacing w:after="0" w:before="200"/></w:pPr><w:r><w:t xml:space="preserve"/></w:r></w:p><w:p><w:pPr><w:pStyle w:val="Heading1"/><w:spacing w:after="160" w:before="400"/></w:pPr><w:r><w:rPr><w:rFonts w:ascii="Arial" w:cs="Arial" w:eastAsia="Arial" w:hAnsi="Arial"/><w:b/><w:bCs/><w:color w:val="1A56A0"/><w:sz w:val="36"/><w:szCs w:val="36"/></w:rPr><w:t xml:space="preserve">9. Phasing &amp; Timeline</w:t></w:r></w:p><w:p><w:pPr><w:spacing w:after="0" w:before="80"/></w:pPr><w:r><w:t xml:space="preserve"/></w:r></w:p><w:p><w:pPr><w:pStyle w:val="Heading2"/><w:pBdr><w:bottom w:val="single" w:color="A8CCE8" w:sz="4" w:space="4"/></w:pBdr><w:spacing w:after="120" w:before="320"/></w:pPr><w:r><w:rPr><w:rFonts w:ascii="Arial" w:cs="Arial" w:eastAsia="Arial" w:hAnsi="Arial"/><w:b/><w:bCs/><w:color w:val="1A1A2E"/><w:sz w:val="28"/><w:szCs w:val="28"/></w:rPr><w:t xml:space="preserve">Phase 1 — MVP ✓ Complete (shipped June 2026)</w:t></w:r></w:p><w:p><w:pPr><w:spacing w:after="80" w:before="60"/></w:pPr><w:r><w:rPr><w:rFonts w:ascii="Arial" w:cs="Arial" w:eastAsia="Arial" w:hAnsi="Arial"/><w:sz w:val="22"/><w:szCs w:val="22"/></w:rPr><w:t xml:space="preserve">Deliver the core journey framework and the highest-value AI tools. Validate that users engage with the product end-to-end before investing in integrations.</w:t></w:r></w:p><w:p><w:pPr><w:spacing w:after="0" w:before="60"/></w:pPr><w:r><w:t xml:space="preserve"/></w:r></w:p><w:p><w:pPr><w:pStyle w:val="ListParagraph"/><w:numPr><w:ilvl w:val="0"/><w:numId w:val="2"/></w:numPr><w:spacing w:after="40" w:before="40"/></w:pPr><w:r><w:rPr><w:rFonts w:ascii="Arial" w:cs="Arial" w:eastAsia="Arial" w:hAnsi="Arial"/><w:sz w:val="22"/><w:szCs w:val="22"/></w:rPr><w:t xml:space="preserve">Journey tracker (R-04): visual stage timeline with user-controlled progress</w:t></w:r></w:p><w:p><w:pPr><w:pStyle w:val="ListParagraph"/><w:numPr><w:ilvl w:val="0"/><w:numId w:val="2"/></w:numPr><w:spacing w:after="40" w:before="40"/></w:pPr><w:r><w:rPr><w:rFonts w:ascii="Arial" w:cs="Arial" w:eastAsia="Arial" w:hAnsi="Arial"/><w:sz w:val="22"/><w:szCs w:val="22"/></w:rPr><w:t xml:space="preserve">Cost-to-buy calculator (R-01)</w:t></w:r></w:p><w:p><w:pPr><w:pStyle w:val="ListParagraph"/><w:numPr><w:ilvl w:val="0"/><w:numId w:val="2"/></w:numPr><w:spacing w:after="40" w:before="40"/></w:pPr><w:r><w:rPr><w:rFonts w:ascii="Arial" w:cs="Arial" w:eastAsia="Arial" w:hAnsi="Arial"/><w:sz w:val="22"/><w:szCs w:val="22"/></w:rPr><w:t xml:space="preserve">Listing decoder (R-02) + leasehold risk scanner (R-03)</w:t></w:r></w:p><w:p><w:pPr><w:pStyle w:val="ListParagraph"/><w:numPr><w:ilvl w:val="0"/><w:numId w:val="2"/></w:numPr><w:spacing w:after="40" w:before="40"/></w:pPr><w:r><w:rPr><w:rFonts w:ascii="Arial" w:cs="Arial" w:eastAsia="Arial" w:hAnsi="Arial"/><w:sz w:val="22"/><w:szCs w:val="22"/></w:rPr><w:t xml:space="preserve">Legal document explainer (R-05)</w:t></w:r></w:p><w:p><w:pPr><w:pStyle w:val="ListParagraph"/><w:numPr><w:ilvl w:val="0"/><w:numId w:val="2"/></w:numPr><w:spacing w:after="40" w:before="40"/></w:pPr><w:r><w:rPr><w:rFonts w:ascii="Arial" w:cs="Arial" w:eastAsia="Arial" w:hAnsi="Arial"/><w:sz w:val="22"/><w:szCs w:val="22"/></w:rPr><w:t xml:space="preserve">Post-completion checklist (R-07)</w:t></w:r></w:p><w:p><w:pPr><w:pStyle w:val="ListParagraph"/><w:numPr><w:ilvl w:val="0"/><w:numId w:val="2"/></w:numPr><w:spacing w:after="40" w:before="40"/></w:pPr><w:r><w:rPr><w:rFonts w:ascii="Arial" w:cs="Arial" w:eastAsia="Arial" w:hAnsi="Arial"/><w:sz w:val="22"/><w:szCs w:val="22"/></w:rPr><w:t xml:space="preserve">Neighbourhood Intelligence Agent (R-10)</w:t></w:r></w:p><w:p><w:pPr><w:numPr><w:ilvl w:val="0"/><w:numId w:val="1"/></w:numPr><w:spacing w:before="40" w:after="40"/></w:pPr><w:r><w:rPr><w:rFonts w:ascii="Arial" w:cs="Arial" w:eastAsia="Arial" w:hAnsi="Arial"/><w:sz w:val="22"/><w:szCs w:val="22"/></w:rPr><w:t>Basic user accounts (email signup, session persistence)</w:t></w:r></w:p><w:p><w:pPr><w:spacing w:after="0" w:before="120"/></w:pPr><w:r><w:t xml:space="preserve"/></w:r></w:p><w:p><w:pPr><w:pStyle w:val="Heading2"/><w:pBdr><w:bottom w:val="single" w:color="A8CCE8" w:sz="4" w:space="4"/></w:pBdr><w:spacing w:after="120" w:before="320"/></w:pPr><w:r><w:rPr><w:rFonts w:ascii="Arial" w:cs="Arial" w:eastAsia="Arial" w:hAnsi="Arial"/><w:b/><w:bCs/><w:color w:val="1A1A2E"/><w:sz w:val="28"/><w:szCs w:val="28"/></w:rPr><w:t xml:space="preserve">Phase 2 — v1.1 (In progress — started June 2026)</w:t></w:r></w:p><w:p><w:pPr><w:spacing w:after="80" w:before="60"/></w:pPr><w:r><w:rPr><w:rFonts w:ascii="Arial" w:cs="Arial" w:eastAsia="Arial" w:hAnsi="Arial"/><w:sz w:val="22"/><w:szCs w:val="22"/></w:rPr><w:t xml:space="preserve">Add the P1 capabilities that require data integrations and refine the experience based on early user feedback.</w:t></w:r></w:p><w:p><w:pPr><w:spacing w:after="0" w:before="60"/></w:pPr><w:r><w:t xml:space="preserve"/></w:r></w:p><w:p><w:pPr><w:pStyle w:val="ListParagraph"/><w:numPr><w:ilvl w:val="0"/><w:numId w:val="2"/></w:numPr><w:spacing w:after="40" w:before="40"/></w:pPr><w:r><w:rPr><w:rFonts w:ascii="Arial" w:cs="Arial" w:eastAsia="Arial" w:hAnsi="Arial"/><w:sz w:val="22"/><w:szCs w:val="22"/></w:rPr><w:t xml:space="preserve">Survey report interpreter (R-06) — critical gap confirmed by market research; no consumer product for this exists</w:t></w:r></w:p><w:p><w:pPr><w:pStyle w:val="ListParagraph"/><w:numPr><w:ilvl w:val="0"/><w:numId w:val="2"/></w:numPr><w:spacing w:after="40" w:before="40"/></w:pPr><w:r><w:rPr><w:rFonts w:ascii="Arial" w:cs="Arial" w:eastAsia="Arial" w:hAnsi="Arial"/><w:sz w:val="22"/><w:szCs w:val="22"/></w:rPr><w:t xml:space="preserve">Comparable price analysis (R-08) — adds plain-English “is this fair?” layer no portal currently provides</w:t></w:r></w:p><w:p><w:pPr><w:pStyle w:val="ListParagraph"/><w:numPr><w:ilvl w:val="0"/><w:numId w:val="2"/></w:numPr><w:spacing w:after="40" w:before="40"/></w:pPr><w:r><w:rPr><w:rFonts w:ascii="Arial" w:cs="Arial" w:eastAsia="Arial" w:hAnsi="Arial"/><w:sz w:val="22"/><w:szCs w:val="22"/></w:rPr><w:t xml:space="preserve">Neighbourhood agent streaming UI — address 8–15s latency risk flagged in market research; progressive tool-call display
Negotiation coach (R-09)</w:t></w:r></w:p><w:p><w:pPr><w:pStyle w:val="ListParagraph"/><w:numPr><w:ilvl w:val="0"/><w:numId w:val="2"/></w:numPr><w:spacing w:after="40" w:before="40"/></w:pPr><w:r><w:rPr><w:rFonts w:ascii="Arial" w:cs="Arial" w:eastAsia="Arial" w:hAnsi="Arial"/><w:sz w:val="22"/><w:szCs w:val="22"/></w:rPr><w:t xml:space="preserve">Viewing question generator (R-12) — validated by market research as unserved gap</w:t></w:r></w:p><w:p><w:pPr><w:spacing w:after="0" w:before="120"/></w:pPr><w:r><w:t xml:space="preserve"/></w:r></w:p><w:p><w:pPr><w:pStyle w:val="Heading2"/><w:pBdr><w:bottom w:val="single" w:color="A8CCE8" w:sz="4" w:space="4"/></w:pBdr><w:spacing w:after="120" w:before="320"/></w:pPr><w:r><w:rPr><w:rFonts w:ascii="Arial" w:cs="Arial" w:eastAsia="Arial" w:hAnsi="Arial"/><w:b/><w:bCs/><w:color w:val="1A1A2E"/><w:sz w:val="28"/><w:szCs w:val="28"/></w:rPr><w:t xml:space="preserve">Phase 3 — v2.0 (Target: 6 months post-launch)</w:t></w:r></w:p><w:p><w:pPr><w:spacing w:after="80" w:before="60"/></w:pPr><w:r><w:rPr><w:rFonts w:ascii="Arial" w:cs="Arial" w:eastAsia="Arial" w:hAnsi="Arial"/><w:sz w:val="22"/><w:szCs w:val="22"/></w:rPr><w:t xml:space="preserve">Expand based on retention data, user research, and validated monetisation model.</w:t></w:r></w:p><w:p><w:pPr><w:spacing w:after="0" w:before="60"/></w:pPr><w:r><w:t xml:space="preserve"/></w:r></w:p><w:p><w:pPr><w:pStyle w:val="ListParagraph"/><w:numPr><w:ilvl w:val="0"/><w:numId w:val="2"/></w:numPr><w:spacing w:after="40" w:before="40"/></w:pPr><w:r><w:rPr><w:rFonts w:ascii="Arial" w:cs="Arial" w:eastAsia="Arial" w:hAnsi="Arial"/><w:sz w:val="22"/><w:szCs w:val="22"/></w:rPr><w:t xml:space="preserve">Mortgage eligibility estimator (R-11) — pending legal review</w:t></w:r></w:p><w:p><w:pPr><w:pStyle w:val="ListParagraph"/><w:numPr><w:ilvl w:val="0"/><w:numId w:val="2"/></w:numPr><w:spacing w:after="40" w:before="40"/></w:pPr><w:r><w:rPr><w:rFonts w:ascii="Arial" w:cs="Arial" w:eastAsia="Arial" w:hAnsi="Arial"/><w:sz w:val="22"/><w:szCs w:val="22"/></w:rPr><w:t xml:space="preserve">Remortgage planner (R-13)</w:t></w:r></w:p><w:p><w:pPr><w:pStyle w:val="ListParagraph"/><w:numPr><w:ilvl w:val="0"/><w:numId w:val="2"/></w:numPr><w:spacing w:after="40" w:before="40"/></w:pPr><w:r><w:rPr><w:rFonts w:ascii="Arial" w:cs="Arial" w:eastAsia="Arial" w:hAnsi="Arial"/><w:sz w:val="22"/><w:szCs w:val="22"/></w:rPr><w:t xml:space="preserve">Property comparison tracker (R-14)</w:t></w:r></w:p><w:p><w:pPr><w:pStyle w:val="ListParagraph"/><w:numPr><w:ilvl w:val="0"/><w:numId w:val="2"/></w:numPr><w:spacing w:after="40" w:before="40"/></w:pPr><w:r><w:rPr><w:rFonts w:ascii="Arial" w:cs="Arial" w:eastAsia="Arial" w:hAnsi="Arial"/><w:sz w:val="22"/><w:szCs w:val="22"/></w:rPr><w:t xml:space="preserve">Mobile app (iOS/Android)</w:t></w:r></w:p><w:p><w:pPr><w:spacing w:after="0" w:before="200"/></w:pPr><w:r><w:t xml:space="preserve"/></w:r></w:p><w:p><w:pPr><w:pStyle w:val="Heading1"/><w:spacing w:after="160" w:before="400"/></w:pPr><w:r><w:rPr><w:rFonts w:ascii="Arial" w:cs="Arial" w:eastAsia="Arial" w:hAnsi="Arial"/><w:b/><w:bCs/><w:color w:val="1A56A0"/><w:sz w:val="36"/><w:szCs w:val="36"/></w:rPr><w:t xml:space="preserve">10. Suggested Technical Approach</w:t></w:r></w:p><w:p><w:pPr><w:spacing w:after="0" w:before="60"/></w:pPr><w:r><w:t xml:space="preserv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D6E8F7" w:val="clear"/><w:tcMar><w:top w:type="dxa" w:w="120"/><w:left w:type="dxa" w:w="180"/><w:bottom w:type="dxa" w:w="120"/><w:right w:type="dxa" w:w="180"/></w:tcMar></w:tcPr><w:p><w:pPr><w:spacing w:after="60" w:before="0"/></w:pPr><w:r><w:rPr><w:rFonts w:ascii="Arial" w:cs="Arial" w:eastAsia="Arial" w:hAnsi="Arial"/><w:b/><w:bCs/><w:color w:val="1A56A0"/><w:sz w:val="22"/><w:szCs w:val="22"/></w:rPr><w:t xml:space="preserve">Note for Reviewers</w:t></w:r></w:p><w:p><w:pPr><w:spacing w:after="0" w:before="0"/></w:pPr><w:r><w:rPr><w:rFonts w:ascii="Arial" w:cs="Arial" w:eastAsia="Arial" w:hAnsi="Arial"/><w:sz w:val="22"/><w:szCs w:val="22"/></w:rPr><w:t xml:space="preserve">This section reflects a portfolio project context. Stack choices prioritise speed to ship, demonstrability, and alignment with the author's existing skills (Python, AWS, Streamlit/React).</w:t></w:r></w:p></w:tc></w:tr></w:tbl><w:p><w:pPr><w:spacing w:after="0" w:before="120"/></w:pPr><w:r><w:t xml:space="preserve"/></w:r></w:p><w:p><w:pPr><w:pStyle w:val="ListParagraph"/><w:numPr><w:ilvl w:val="0"/><w:numId w:val="2"/></w:numPr><w:spacing w:after="40" w:before="40"/></w:pPr><w:r><w:rPr><w:rFonts w:ascii="Arial" w:cs="Arial" w:eastAsia="Arial" w:hAnsi="Arial"/><w:b/><w:bCs/><w:sz w:val="22"/><w:szCs w:val="22"/></w:rPr><w:t xml:space="preserve">AI Layer: </w:t></w:r><w:r><w:rPr><w:rFonts w:ascii="Arial" w:cs="Arial" w:eastAsia="Arial" w:hAnsi="Arial"/><w:sz w:val="22"/><w:szCs w:val="22"/></w:rPr><w:t xml:space="preserve">Frontend: React (Next.js) or Streamlit for rapid prototyping of the MVP. Next.js preferred for v1 given the need for server-side rendering and routing across journey stages.</w:t></w:r></w:p><w:p><w:pPr><w:pStyle w:val="ListParagraph"/><w:numPr><w:ilvl w:val="0"/><w:numId w:val="2"/></w:numPr><w:spacing w:after="40" w:before="40"/></w:pPr><w:r><w:rPr><w:rFonts w:ascii="Arial" w:cs="Arial" w:eastAsia="Arial" w:hAnsi="Arial"/><w:b/><w:bCs/><w:sz w:val="22"/><w:szCs w:val="22"/></w:rPr><w:t xml:space="preserve">AI Layer: </w:t></w:r><w:r><w:rPr><w:rFonts w:ascii="Arial" w:cs="Arial" w:eastAsia="Arial" w:hAnsi="Arial"/><w:sz w:val="22"/><w:szCs w:val="22"/></w:rPr><w:t xml:space="preserve">Claude API (Anthropic) for all document analysis, listing decoding, and conversational features. Claude's long context window is critical for full legal document ingestion. The Neighbourhood Intelligence Agent uses Claude's native tool-use capability — an agentic loop that autonomously calls live external APIs (TfL, Environment Agency, Ofsted, web search) and synthesises multi-source results into a structured briefing.</w:t></w:r></w:p><w:p><w:pPr><w:pStyle w:val="ListParagraph"/><w:numPr><w:ilvl w:val="0"/><w:numId w:val="2"/></w:numPr><w:spacing w:after="40" w:before="40"/></w:pPr><w:r><w:rPr><w:rFonts w:ascii="Arial" w:cs="Arial" w:eastAsia="Arial" w:hAnsi="Arial"/><w:b/><w:bCs/><w:sz w:val="22"/><w:szCs w:val="22"/></w:rPr><w:t xml:space="preserve">Backend: </w:t></w:r><w:r><w:rPr><w:rFonts w:ascii="Arial" w:cs="Arial" w:eastAsia="Arial" w:hAnsi="Arial"/><w:sz w:val="22"/><w:szCs w:val="22"/></w:rPr><w:t xml:space="preserve">Python (FastAPI) backend for document processing, Land Registry API calls, and user data persistence.</w:t></w:r></w:p><w:p><w:pPr><w:pStyle w:val="ListParagraph"/><w:numPr><w:ilvl w:val="0"/><w:numId w:val="2"/></w:numPr><w:spacing w:after="40" w:before="40"/></w:pPr><w:r><w:rPr><w:rFonts w:ascii="Arial" w:cs="Arial" w:eastAsia="Arial" w:hAnsi="Arial"/><w:b/><w:bCs/><w:sz w:val="22"/><w:szCs w:val="22"/></w:rPr><w:t xml:space="preserve">Data: </w:t></w:r><w:r><w:rPr><w:rFonts w:ascii="Arial" w:cs="Arial" w:eastAsia="Arial" w:hAnsi="Arial"/><w:sz w:val="22"/><w:szCs w:val="22"/></w:rPr><w:t xml:space="preserve">PostgreSQL (AWS RDS) for user accounts, journey state, and saved properties. S3 for uploaded document storage.</w:t></w:r></w:p><w:p><w:pPr><w:pStyle w:val="ListParagraph"/><w:numPr><w:ilvl w:val="0"/><w:numId w:val="2"/></w:numPr><w:spacing w:after="40" w:before="40"/></w:pPr><w:r><w:rPr><w:rFonts w:ascii="Arial" w:cs="Arial" w:eastAsia="Arial" w:hAnsi="Arial"/><w:b/><w:bCs/><w:sz w:val="22"/><w:szCs w:val="22"/></w:rPr><w:t xml:space="preserve">Infrastructure: </w:t></w:r><w:r><w:rPr><w:rFonts w:ascii="Arial" w:cs="Arial" w:eastAsia="Arial" w:hAnsi="Arial"/><w:sz w:val="22"/><w:szCs w:val="22"/></w:rPr><w:t xml:space="preserve">AWS Lambda for async document processing jobs to avoid blocking the UI during long AI inference calls.</w:t></w:r></w:p><w:p><w:pPr><w:pStyle w:val="ListParagraph"/><w:numPr><w:ilvl w:val="0"/><w:numId w:val="2"/></w:numPr><w:spacing w:after="40" w:before="40"/></w:pPr><w:r><w:rPr><w:rFonts w:ascii="Arial" w:cs="Arial" w:eastAsia="Arial" w:hAnsi="Arial"/><w:b/><w:bCs/><w:sz w:val="22"/><w:szCs w:val="22"/></w:rPr><w:t xml:space="preserve">Deployment: </w:t></w:r><w:r><w:rPr><w:rFonts w:ascii="Arial" w:cs="Arial" w:eastAsia="Arial" w:hAnsi="Arial"/><w:sz w:val="22"/><w:szCs w:val="22"/></w:rPr><w:t xml:space="preserve">Vercel or AWS Amplify for frontend deployment. Target sub-3s page load on all core flows.</w:t></w:r></w:p><w:p><w:pPr><w:spacing w:after="0" w:before="400"/></w:pPr><w:r><w:t xml:space="preserv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none" w:color="FFFFFF" w:sz="0"/><w:bottom w:val="none" w:color="FFFFFF" w:sz="0"/><w:right w:val="none" w:color="FFFFFF" w:sz="0"/></w:tcBorders><w:tcMar><w:top w:type="dxa" w:w="120"/><w:left w:type="dxa" w:w="0"/><w:bottom w:type="dxa" w:w="0"/><w:right w:type="dxa" w:w="0"/></w:tcMar></w:tcPr><w:p><w:r><w:rPr><w:rFonts w:ascii="Arial" w:cs="Arial" w:eastAsia="Arial" w:hAnsi="Arial"/><w:color w:val="888888"/><w:sz w:val="18"/><w:szCs w:val="18"/></w:rPr><w:t xml:space="preserve">HomeReady PRD v1.2  |  Confidential  |  Page </w:t></w:r></w:p></w:tc></w:tr></w:tbl><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A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56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2026-06-24T20:47:27.934Z</dcterms:created>
  <dcterms:modified xsi:type="dcterms:W3CDTF">2026-06-24T20:47:27.934Z</dcterms:modified>
</cp:coreProperties>
</file>

<file path=docProps/custom.xml><?xml version="1.0" encoding="utf-8"?>
<Properties xmlns="http://schemas.openxmlformats.org/officeDocument/2006/custom-properties" xmlns:vt="http://schemas.openxmlformats.org/officeDocument/2006/docPropsVTypes"/>
</file>