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AF286" w14:textId="6AD4E962" w:rsidR="00402A6F" w:rsidRDefault="00402A6F" w:rsidP="00402A6F">
      <w:r w:rsidRPr="00402A6F">
        <w:rPr>
          <w:b/>
          <w:bCs/>
        </w:rPr>
        <w:t>Keycloak</w:t>
      </w:r>
      <w:r>
        <w:t xml:space="preserve"> è rilasciato sotto la </w:t>
      </w:r>
      <w:r w:rsidRPr="00402A6F">
        <w:rPr>
          <w:b/>
          <w:bCs/>
        </w:rPr>
        <w:t>licenza Apache 2.0</w:t>
      </w:r>
      <w:r>
        <w:t>. Questa licenza open-source concede ampie autorizzazioni per l'utilizzo, la modifica e la distribuzione, sia per scopi personali che commerciali.</w:t>
      </w:r>
    </w:p>
    <w:p w14:paraId="0694F81A" w14:textId="77777777" w:rsidR="00402A6F" w:rsidRPr="00402A6F" w:rsidRDefault="00402A6F" w:rsidP="00402A6F">
      <w:pPr>
        <w:rPr>
          <w:b/>
          <w:bCs/>
        </w:rPr>
      </w:pPr>
      <w:r w:rsidRPr="00402A6F">
        <w:rPr>
          <w:b/>
          <w:bCs/>
        </w:rPr>
        <w:t>Cosa implica la Apache License 2.0?</w:t>
      </w:r>
    </w:p>
    <w:p w14:paraId="53FA32C2" w14:textId="6EBA928C" w:rsidR="00402A6F" w:rsidRDefault="00402A6F" w:rsidP="00402A6F">
      <w:r>
        <w:t>È una licenza molto permissiva e open source, che ti permette:</w:t>
      </w:r>
    </w:p>
    <w:p w14:paraId="407A1F02" w14:textId="77777777" w:rsidR="00402A6F" w:rsidRDefault="00402A6F" w:rsidP="00402A6F">
      <w:pPr>
        <w:pStyle w:val="Paragrafoelenco"/>
        <w:numPr>
          <w:ilvl w:val="0"/>
          <w:numId w:val="2"/>
        </w:numPr>
      </w:pPr>
      <w:r>
        <w:t>Usare liberamente il software, anche in ambito commerciale.</w:t>
      </w:r>
    </w:p>
    <w:p w14:paraId="28046419" w14:textId="77777777" w:rsidR="00402A6F" w:rsidRDefault="00402A6F" w:rsidP="00402A6F">
      <w:pPr>
        <w:pStyle w:val="Paragrafoelenco"/>
        <w:numPr>
          <w:ilvl w:val="0"/>
          <w:numId w:val="2"/>
        </w:numPr>
      </w:pPr>
      <w:r>
        <w:t>Modificare il codice sorgente.</w:t>
      </w:r>
    </w:p>
    <w:p w14:paraId="4B80DACA" w14:textId="616D9418" w:rsidR="00402A6F" w:rsidRDefault="00402A6F" w:rsidP="00402A6F">
      <w:pPr>
        <w:pStyle w:val="Paragrafoelenco"/>
        <w:numPr>
          <w:ilvl w:val="0"/>
          <w:numId w:val="2"/>
        </w:numPr>
      </w:pPr>
      <w:r>
        <w:t>Ridi</w:t>
      </w:r>
      <w:r>
        <w:t>s</w:t>
      </w:r>
      <w:r>
        <w:t>tribuire il software, sia in forma originale che modificata.</w:t>
      </w:r>
    </w:p>
    <w:p w14:paraId="29564AB4" w14:textId="77777777" w:rsidR="00402A6F" w:rsidRDefault="00402A6F" w:rsidP="00402A6F">
      <w:pPr>
        <w:pStyle w:val="Paragrafoelenco"/>
        <w:numPr>
          <w:ilvl w:val="0"/>
          <w:numId w:val="2"/>
        </w:numPr>
      </w:pPr>
      <w:r>
        <w:t>Includere il software all'interno di software proprietario (anche chiuso).</w:t>
      </w:r>
    </w:p>
    <w:p w14:paraId="6E7CB4A1" w14:textId="77777777" w:rsidR="00402A6F" w:rsidRPr="00402A6F" w:rsidRDefault="00402A6F" w:rsidP="00402A6F">
      <w:pPr>
        <w:rPr>
          <w:b/>
          <w:bCs/>
        </w:rPr>
      </w:pPr>
      <w:r w:rsidRPr="00402A6F">
        <w:rPr>
          <w:b/>
          <w:bCs/>
        </w:rPr>
        <w:t>Cosa devi fare in cambio?</w:t>
      </w:r>
    </w:p>
    <w:p w14:paraId="412A6B24" w14:textId="77777777" w:rsidR="00402A6F" w:rsidRDefault="00402A6F" w:rsidP="00402A6F">
      <w:pPr>
        <w:pStyle w:val="Paragrafoelenco"/>
        <w:numPr>
          <w:ilvl w:val="0"/>
          <w:numId w:val="3"/>
        </w:numPr>
      </w:pPr>
      <w:r>
        <w:t>Mantenere la nota di copyright originale.</w:t>
      </w:r>
    </w:p>
    <w:p w14:paraId="135D183A" w14:textId="77777777" w:rsidR="00402A6F" w:rsidRDefault="00402A6F" w:rsidP="00402A6F">
      <w:pPr>
        <w:pStyle w:val="Paragrafoelenco"/>
        <w:numPr>
          <w:ilvl w:val="0"/>
          <w:numId w:val="3"/>
        </w:numPr>
      </w:pPr>
      <w:r>
        <w:t>Includere una copia della licenza.</w:t>
      </w:r>
    </w:p>
    <w:p w14:paraId="75771BDE" w14:textId="77777777" w:rsidR="00402A6F" w:rsidRDefault="00402A6F" w:rsidP="00402A6F">
      <w:pPr>
        <w:pStyle w:val="Paragrafoelenco"/>
        <w:numPr>
          <w:ilvl w:val="0"/>
          <w:numId w:val="3"/>
        </w:numPr>
      </w:pPr>
      <w:r>
        <w:t>Se modifichi il codice, dichiarare che hai fatto modifiche.</w:t>
      </w:r>
    </w:p>
    <w:p w14:paraId="24EDA8F7" w14:textId="757519B1" w:rsidR="00402A6F" w:rsidRDefault="00402A6F" w:rsidP="000407AC">
      <w:pPr>
        <w:pStyle w:val="Paragrafoelenco"/>
        <w:numPr>
          <w:ilvl w:val="0"/>
          <w:numId w:val="3"/>
        </w:numPr>
      </w:pPr>
      <w:r>
        <w:t>Non puoi usare il nome "Keycloak" o dei suoi autori per promuovere il tuo prodotto derivato senza autorizzazione.</w:t>
      </w:r>
    </w:p>
    <w:p w14:paraId="143B24F9" w14:textId="77777777" w:rsidR="00402A6F" w:rsidRDefault="00402A6F" w:rsidP="00402A6F"/>
    <w:p w14:paraId="5274AA9D" w14:textId="77777777" w:rsidR="00402A6F" w:rsidRDefault="00402A6F" w:rsidP="00402A6F"/>
    <w:p w14:paraId="03654A4E" w14:textId="77777777" w:rsidR="00402A6F" w:rsidRDefault="00402A6F" w:rsidP="00402A6F"/>
    <w:p w14:paraId="39D4AEE2" w14:textId="2D92B6DB" w:rsidR="00402A6F" w:rsidRDefault="00402A6F" w:rsidP="00402A6F">
      <w:r w:rsidRPr="00402A6F">
        <w:rPr>
          <w:b/>
          <w:bCs/>
        </w:rPr>
        <w:t>Apache Kafka</w:t>
      </w:r>
      <w:r>
        <w:t xml:space="preserve"> in sé è una piattaforma di streaming di eventi distribuita, gratuita e open-source, con licenza </w:t>
      </w:r>
      <w:r w:rsidRPr="00402A6F">
        <w:rPr>
          <w:b/>
          <w:bCs/>
        </w:rPr>
        <w:t>Apache License 2.0.</w:t>
      </w:r>
      <w:r>
        <w:t xml:space="preserve"> Tuttavia, lo scenario delle licenze diventa </w:t>
      </w:r>
      <w:r>
        <w:t xml:space="preserve"> </w:t>
      </w:r>
      <w:r>
        <w:t xml:space="preserve">più complesso quando si considerano distribuzioni come </w:t>
      </w:r>
      <w:r w:rsidRPr="00402A6F">
        <w:rPr>
          <w:b/>
          <w:bCs/>
        </w:rPr>
        <w:t>Confluent Platform</w:t>
      </w:r>
      <w:r>
        <w:t xml:space="preserve"> e i suoi componenti, che possono includere funzionalità o connettori con licenze differenti.</w:t>
      </w:r>
      <w:r>
        <w:tab/>
      </w:r>
    </w:p>
    <w:p w14:paraId="5700031F" w14:textId="77777777" w:rsidR="00402A6F" w:rsidRPr="00402A6F" w:rsidRDefault="00402A6F" w:rsidP="00402A6F">
      <w:pPr>
        <w:rPr>
          <w:b/>
          <w:bCs/>
        </w:rPr>
      </w:pPr>
      <w:r w:rsidRPr="00402A6F">
        <w:rPr>
          <w:b/>
          <w:bCs/>
        </w:rPr>
        <w:t>Cosa implica la Apache License 2.0?</w:t>
      </w:r>
    </w:p>
    <w:p w14:paraId="3684B2E0" w14:textId="77777777" w:rsidR="00402A6F" w:rsidRDefault="00402A6F" w:rsidP="00402A6F">
      <w:r>
        <w:t>È una licenza molto permissiva e open source, che ti permette:</w:t>
      </w:r>
    </w:p>
    <w:p w14:paraId="1BCF0375" w14:textId="77777777" w:rsidR="00402A6F" w:rsidRDefault="00402A6F" w:rsidP="00402A6F">
      <w:pPr>
        <w:pStyle w:val="Paragrafoelenco"/>
        <w:numPr>
          <w:ilvl w:val="0"/>
          <w:numId w:val="1"/>
        </w:numPr>
      </w:pPr>
      <w:r>
        <w:t>Usare liberamente il software, anche in ambito commerciale.</w:t>
      </w:r>
    </w:p>
    <w:p w14:paraId="6FC46F4D" w14:textId="77777777" w:rsidR="00402A6F" w:rsidRDefault="00402A6F" w:rsidP="00402A6F">
      <w:pPr>
        <w:pStyle w:val="Paragrafoelenco"/>
        <w:numPr>
          <w:ilvl w:val="0"/>
          <w:numId w:val="1"/>
        </w:numPr>
      </w:pPr>
      <w:r>
        <w:t>Modificare il codice sorgente.</w:t>
      </w:r>
    </w:p>
    <w:p w14:paraId="5DEEC7F8" w14:textId="77777777" w:rsidR="00402A6F" w:rsidRDefault="00402A6F" w:rsidP="000407AC">
      <w:pPr>
        <w:pStyle w:val="Paragrafoelenco"/>
        <w:numPr>
          <w:ilvl w:val="0"/>
          <w:numId w:val="1"/>
        </w:numPr>
      </w:pPr>
      <w:r>
        <w:t>Riditribuire il software, sia in forma originale che modificata.</w:t>
      </w:r>
    </w:p>
    <w:p w14:paraId="2C7A5D9F" w14:textId="77777777" w:rsidR="00402A6F" w:rsidRDefault="00402A6F" w:rsidP="000407AC">
      <w:pPr>
        <w:pStyle w:val="Paragrafoelenco"/>
        <w:numPr>
          <w:ilvl w:val="0"/>
          <w:numId w:val="1"/>
        </w:numPr>
      </w:pPr>
      <w:r>
        <w:t>Includere il software all'interno di software proprietario (anche chiuso).</w:t>
      </w:r>
    </w:p>
    <w:p w14:paraId="6D665F25" w14:textId="77777777" w:rsidR="00402A6F" w:rsidRPr="00402A6F" w:rsidRDefault="00402A6F" w:rsidP="00402A6F">
      <w:pPr>
        <w:rPr>
          <w:b/>
          <w:bCs/>
        </w:rPr>
      </w:pPr>
      <w:r w:rsidRPr="00402A6F">
        <w:rPr>
          <w:b/>
          <w:bCs/>
        </w:rPr>
        <w:t>Cosa devi fare in cambio?</w:t>
      </w:r>
    </w:p>
    <w:p w14:paraId="0B5D0C1A" w14:textId="77777777" w:rsidR="00402A6F" w:rsidRDefault="00402A6F" w:rsidP="000407AC">
      <w:pPr>
        <w:pStyle w:val="Paragrafoelenco"/>
        <w:numPr>
          <w:ilvl w:val="0"/>
          <w:numId w:val="4"/>
        </w:numPr>
      </w:pPr>
      <w:r>
        <w:t>Mantenere la nota di copyright originale.</w:t>
      </w:r>
    </w:p>
    <w:p w14:paraId="0BA5E617" w14:textId="77777777" w:rsidR="00402A6F" w:rsidRDefault="00402A6F" w:rsidP="000407AC">
      <w:pPr>
        <w:pStyle w:val="Paragrafoelenco"/>
        <w:numPr>
          <w:ilvl w:val="0"/>
          <w:numId w:val="4"/>
        </w:numPr>
      </w:pPr>
      <w:r>
        <w:t>Includere una copia della licenza.</w:t>
      </w:r>
    </w:p>
    <w:p w14:paraId="7678AD02" w14:textId="77777777" w:rsidR="00402A6F" w:rsidRDefault="00402A6F" w:rsidP="000407AC">
      <w:pPr>
        <w:pStyle w:val="Paragrafoelenco"/>
        <w:numPr>
          <w:ilvl w:val="0"/>
          <w:numId w:val="4"/>
        </w:numPr>
      </w:pPr>
      <w:r>
        <w:t>Se modifichi il codice, dichiarare che hai fatto modifiche.</w:t>
      </w:r>
    </w:p>
    <w:p w14:paraId="590A5929" w14:textId="148128E0" w:rsidR="00402A6F" w:rsidRDefault="00402A6F" w:rsidP="000407AC">
      <w:pPr>
        <w:pStyle w:val="Paragrafoelenco"/>
        <w:numPr>
          <w:ilvl w:val="0"/>
          <w:numId w:val="4"/>
        </w:numPr>
      </w:pPr>
      <w:r>
        <w:t>Non puoi usare il nome "</w:t>
      </w:r>
      <w:r>
        <w:t>Kafka</w:t>
      </w:r>
      <w:r>
        <w:t>" o dei suoi autori per promuovere il tuo prodotto derivato senza autorizzazione.</w:t>
      </w:r>
    </w:p>
    <w:p w14:paraId="3B5153EE" w14:textId="0455577F" w:rsidR="00402A6F" w:rsidRPr="00402A6F" w:rsidRDefault="00402A6F" w:rsidP="00402A6F">
      <w:pPr>
        <w:rPr>
          <w:b/>
          <w:bCs/>
        </w:rPr>
      </w:pPr>
      <w:r w:rsidRPr="00402A6F">
        <w:rPr>
          <w:b/>
          <w:bCs/>
        </w:rPr>
        <w:t>Confluent Platform:</w:t>
      </w:r>
    </w:p>
    <w:p w14:paraId="3A0D9772" w14:textId="77777777" w:rsidR="00402A6F" w:rsidRDefault="00402A6F" w:rsidP="00402A6F">
      <w:r>
        <w:t>È una distribuzione commerciale di Kafka, creata dalla società Confluent (fondata da alcuni creatori di Kafka).</w:t>
      </w:r>
    </w:p>
    <w:p w14:paraId="3677BCEB" w14:textId="77777777" w:rsidR="00402A6F" w:rsidRDefault="00402A6F" w:rsidP="00402A6F">
      <w:r>
        <w:t>Include Apache Kafka + componenti aggiuntivi (come Confluent Control Center, ksqlDB, connector premium, schema registry, ecc.).</w:t>
      </w:r>
    </w:p>
    <w:p w14:paraId="08BDB660" w14:textId="3661876D" w:rsidR="00402A6F" w:rsidRDefault="00402A6F" w:rsidP="00402A6F">
      <w:r>
        <w:lastRenderedPageBreak/>
        <w:t xml:space="preserve">Alcuni di questi componenti non sono open-source, oppure sono rilasciati con licenze diverse (es. Confluent Community License, </w:t>
      </w:r>
      <w:r>
        <w:t xml:space="preserve"> </w:t>
      </w:r>
      <w:r>
        <w:t>che vieta l’uso commerciale di alcune funzionalità avanzate senza una licenza a pagamento).</w:t>
      </w:r>
    </w:p>
    <w:p w14:paraId="710A32C6" w14:textId="77777777" w:rsidR="00402A6F" w:rsidRDefault="00402A6F" w:rsidP="00402A6F">
      <w:r>
        <w:t>Implicazioni pratiche:</w:t>
      </w:r>
    </w:p>
    <w:p w14:paraId="2F4AD516" w14:textId="77777777" w:rsidR="00402A6F" w:rsidRDefault="00402A6F" w:rsidP="000407AC">
      <w:r>
        <w:t>Se usi solo Apache Kafka (versione ufficiale open-source), non hai vincoli.</w:t>
      </w:r>
    </w:p>
    <w:p w14:paraId="64DD69E8" w14:textId="77777777" w:rsidR="00402A6F" w:rsidRDefault="00402A6F" w:rsidP="00402A6F">
      <w:r>
        <w:t>Se usi Confluent Platform, devi verificare le licenze di ciascun componente:</w:t>
      </w:r>
    </w:p>
    <w:p w14:paraId="1D34DCF9" w14:textId="77777777" w:rsidR="00402A6F" w:rsidRDefault="00402A6F" w:rsidP="000407AC">
      <w:pPr>
        <w:pStyle w:val="Paragrafoelenco"/>
        <w:numPr>
          <w:ilvl w:val="0"/>
          <w:numId w:val="6"/>
        </w:numPr>
      </w:pPr>
      <w:r>
        <w:t>Alcuni sono liberi anche per uso commerciale.</w:t>
      </w:r>
    </w:p>
    <w:p w14:paraId="4B4A70B6" w14:textId="100E0152" w:rsidR="00402A6F" w:rsidRDefault="00402A6F" w:rsidP="000407AC">
      <w:pPr>
        <w:pStyle w:val="Paragrafoelenco"/>
        <w:numPr>
          <w:ilvl w:val="0"/>
          <w:numId w:val="6"/>
        </w:numPr>
      </w:pPr>
      <w:r>
        <w:t>Altri richiedono una licenza commerciale o impongono limitazioni sull’uso.</w:t>
      </w:r>
    </w:p>
    <w:p w14:paraId="361DAA4B" w14:textId="77777777" w:rsidR="00402A6F" w:rsidRDefault="00402A6F" w:rsidP="00402A6F"/>
    <w:p w14:paraId="1406B58B" w14:textId="77777777" w:rsidR="000407AC" w:rsidRDefault="000407AC" w:rsidP="00402A6F"/>
    <w:p w14:paraId="2915A135" w14:textId="77777777" w:rsidR="000407AC" w:rsidRDefault="000407AC" w:rsidP="00402A6F"/>
    <w:p w14:paraId="32424E68" w14:textId="77777777" w:rsidR="00402A6F" w:rsidRDefault="00402A6F" w:rsidP="00402A6F"/>
    <w:p w14:paraId="3BD3E308" w14:textId="58B70B38" w:rsidR="00402A6F" w:rsidRPr="00402A6F" w:rsidRDefault="00402A6F" w:rsidP="00402A6F">
      <w:pPr>
        <w:rPr>
          <w:b/>
          <w:bCs/>
        </w:rPr>
      </w:pPr>
      <w:r w:rsidRPr="00402A6F">
        <w:rPr>
          <w:b/>
          <w:bCs/>
        </w:rPr>
        <w:t>pgAdmin 4</w:t>
      </w:r>
    </w:p>
    <w:p w14:paraId="4AF17D32" w14:textId="26482A3F" w:rsidR="00402A6F" w:rsidRDefault="00402A6F" w:rsidP="00402A6F">
      <w:r w:rsidRPr="00402A6F">
        <w:t>è rilasciato con la</w:t>
      </w:r>
      <w:r w:rsidRPr="000407AC">
        <w:rPr>
          <w:b/>
          <w:bCs/>
        </w:rPr>
        <w:t xml:space="preserve"> licenza PostgreSQL</w:t>
      </w:r>
      <w:r w:rsidR="006111C9">
        <w:rPr>
          <w:b/>
          <w:bCs/>
        </w:rPr>
        <w:t xml:space="preserve">, </w:t>
      </w:r>
      <w:r w:rsidR="006111C9">
        <w:t>simile alla licenza MIT o alla Apache License 2.0</w:t>
      </w:r>
      <w:r w:rsidRPr="00402A6F">
        <w:t>. Il copyright per pgAdmin è detenuto dal team di sviluppo di pgAdmin, dal 2013 al 2025.</w:t>
      </w:r>
    </w:p>
    <w:p w14:paraId="17970007" w14:textId="77777777" w:rsidR="00402A6F" w:rsidRPr="00402A6F" w:rsidRDefault="00402A6F" w:rsidP="00402A6F">
      <w:pPr>
        <w:rPr>
          <w:b/>
          <w:bCs/>
        </w:rPr>
      </w:pPr>
      <w:r w:rsidRPr="00402A6F">
        <w:rPr>
          <w:b/>
          <w:bCs/>
        </w:rPr>
        <w:t>Cosa implica la PostgreSQL License?</w:t>
      </w:r>
    </w:p>
    <w:p w14:paraId="16E8D048" w14:textId="77777777" w:rsidR="00402A6F" w:rsidRDefault="00402A6F" w:rsidP="00402A6F">
      <w:r>
        <w:t>È una licenza libera e permissiva.</w:t>
      </w:r>
    </w:p>
    <w:p w14:paraId="7C8B156C" w14:textId="77777777" w:rsidR="00402A6F" w:rsidRDefault="00402A6F" w:rsidP="00402A6F">
      <w:r>
        <w:t>Ti consente di:</w:t>
      </w:r>
    </w:p>
    <w:p w14:paraId="7EC1C412" w14:textId="77777777" w:rsidR="00402A6F" w:rsidRDefault="00402A6F" w:rsidP="000407AC">
      <w:pPr>
        <w:pStyle w:val="Paragrafoelenco"/>
        <w:numPr>
          <w:ilvl w:val="0"/>
          <w:numId w:val="7"/>
        </w:numPr>
      </w:pPr>
      <w:r>
        <w:t>Usare il software liberamente (anche in contesti commerciali).</w:t>
      </w:r>
    </w:p>
    <w:p w14:paraId="6A8BDFD8" w14:textId="77777777" w:rsidR="00402A6F" w:rsidRDefault="00402A6F" w:rsidP="000407AC">
      <w:pPr>
        <w:pStyle w:val="Paragrafoelenco"/>
        <w:numPr>
          <w:ilvl w:val="0"/>
          <w:numId w:val="7"/>
        </w:numPr>
      </w:pPr>
      <w:r>
        <w:t>Modificare il codice sorgente.</w:t>
      </w:r>
    </w:p>
    <w:p w14:paraId="131764AC" w14:textId="77777777" w:rsidR="00402A6F" w:rsidRDefault="00402A6F" w:rsidP="000407AC">
      <w:pPr>
        <w:pStyle w:val="Paragrafoelenco"/>
        <w:numPr>
          <w:ilvl w:val="0"/>
          <w:numId w:val="7"/>
        </w:numPr>
      </w:pPr>
      <w:r>
        <w:t>Ridistribuire il software, originale o modificato.</w:t>
      </w:r>
    </w:p>
    <w:p w14:paraId="037DCFFD" w14:textId="77777777" w:rsidR="00402A6F" w:rsidRDefault="00402A6F" w:rsidP="000407AC">
      <w:pPr>
        <w:pStyle w:val="Paragrafoelenco"/>
        <w:numPr>
          <w:ilvl w:val="0"/>
          <w:numId w:val="7"/>
        </w:numPr>
      </w:pPr>
      <w:r>
        <w:t>Integrare il software in altri prodotti, anche proprietari o chiusi.</w:t>
      </w:r>
    </w:p>
    <w:p w14:paraId="0CA0C48D" w14:textId="77777777" w:rsidR="00402A6F" w:rsidRDefault="00402A6F" w:rsidP="00402A6F">
      <w:r>
        <w:t>Requisiti:</w:t>
      </w:r>
    </w:p>
    <w:p w14:paraId="0EA10C13" w14:textId="77777777" w:rsidR="00402A6F" w:rsidRDefault="00402A6F" w:rsidP="000407AC">
      <w:pPr>
        <w:pStyle w:val="Paragrafoelenco"/>
        <w:numPr>
          <w:ilvl w:val="0"/>
          <w:numId w:val="8"/>
        </w:numPr>
      </w:pPr>
      <w:r>
        <w:t>Devi mantenere le informazioni di copyright originali.</w:t>
      </w:r>
    </w:p>
    <w:p w14:paraId="2657C99C" w14:textId="5358E6E1" w:rsidR="00402A6F" w:rsidRDefault="00402A6F" w:rsidP="000407AC">
      <w:pPr>
        <w:pStyle w:val="Paragrafoelenco"/>
        <w:numPr>
          <w:ilvl w:val="0"/>
          <w:numId w:val="8"/>
        </w:numPr>
      </w:pPr>
      <w:r>
        <w:t>Devi includere la licenza PostgreSQL nel tuo progetto, se redistribuisci.</w:t>
      </w:r>
    </w:p>
    <w:p w14:paraId="354383C9" w14:textId="77777777" w:rsidR="00402A6F" w:rsidRDefault="00402A6F" w:rsidP="00402A6F"/>
    <w:p w14:paraId="2C99DE40" w14:textId="77777777" w:rsidR="000407AC" w:rsidRDefault="000407AC" w:rsidP="00402A6F"/>
    <w:p w14:paraId="022F1305" w14:textId="77777777" w:rsidR="000407AC" w:rsidRDefault="000407AC" w:rsidP="00402A6F"/>
    <w:p w14:paraId="37281D0E" w14:textId="77777777" w:rsidR="000407AC" w:rsidRDefault="000407AC" w:rsidP="00402A6F"/>
    <w:p w14:paraId="34559D15" w14:textId="6793A804" w:rsidR="000407AC" w:rsidRPr="000407AC" w:rsidRDefault="000407AC" w:rsidP="00402A6F">
      <w:pPr>
        <w:rPr>
          <w:b/>
          <w:bCs/>
        </w:rPr>
      </w:pPr>
      <w:r w:rsidRPr="000407AC">
        <w:rPr>
          <w:b/>
          <w:bCs/>
        </w:rPr>
        <w:t>Kafka Streams</w:t>
      </w:r>
    </w:p>
    <w:p w14:paraId="0F109902" w14:textId="4A4F875B" w:rsidR="000407AC" w:rsidRDefault="000407AC" w:rsidP="00402A6F">
      <w:r>
        <w:t xml:space="preserve">Kafka Streams, in quanto libreria client per creare applicazioni e microservizi che interagiscono con Apache Kafka, è distribuita con </w:t>
      </w:r>
      <w:r w:rsidRPr="000407AC">
        <w:rPr>
          <w:b/>
          <w:bCs/>
        </w:rPr>
        <w:t>licenza Apache License 2.0</w:t>
      </w:r>
      <w:r>
        <w:t xml:space="preserve">. </w:t>
      </w:r>
      <w:r>
        <w:t>(vedi Apache Kafka)</w:t>
      </w:r>
    </w:p>
    <w:p w14:paraId="05BFF054" w14:textId="77777777" w:rsidR="000407AC" w:rsidRDefault="000407AC" w:rsidP="00402A6F"/>
    <w:p w14:paraId="282D4CEE" w14:textId="77777777" w:rsidR="000407AC" w:rsidRDefault="000407AC" w:rsidP="00402A6F">
      <w:pPr>
        <w:rPr>
          <w:b/>
          <w:bCs/>
        </w:rPr>
      </w:pPr>
    </w:p>
    <w:p w14:paraId="45FA794B" w14:textId="77777777" w:rsidR="000407AC" w:rsidRDefault="000407AC" w:rsidP="00402A6F">
      <w:pPr>
        <w:rPr>
          <w:b/>
          <w:bCs/>
        </w:rPr>
      </w:pPr>
    </w:p>
    <w:p w14:paraId="7A304D0F" w14:textId="7777B227" w:rsidR="000407AC" w:rsidRPr="000407AC" w:rsidRDefault="000407AC" w:rsidP="00402A6F">
      <w:pPr>
        <w:rPr>
          <w:b/>
          <w:bCs/>
        </w:rPr>
      </w:pPr>
      <w:r w:rsidRPr="000407AC">
        <w:rPr>
          <w:b/>
          <w:bCs/>
        </w:rPr>
        <w:lastRenderedPageBreak/>
        <w:t>MongoDB</w:t>
      </w:r>
      <w:r w:rsidRPr="000407AC">
        <w:rPr>
          <w:b/>
          <w:bCs/>
        </w:rPr>
        <w:t xml:space="preserve"> 4.4</w:t>
      </w:r>
    </w:p>
    <w:p w14:paraId="3B1D7B0A" w14:textId="39EA981F" w:rsidR="000407AC" w:rsidRDefault="000407AC" w:rsidP="00402A6F">
      <w:r w:rsidRPr="000407AC">
        <w:t xml:space="preserve">La licenza di MongoDB 4.4 è la </w:t>
      </w:r>
      <w:r w:rsidRPr="000407AC">
        <w:rPr>
          <w:b/>
          <w:bCs/>
        </w:rPr>
        <w:t>Server Side Public License (SSPL) v1</w:t>
      </w:r>
      <w:r w:rsidRPr="000407AC">
        <w:t>, introdotta da MongoDB Inc. nel 2018.</w:t>
      </w:r>
    </w:p>
    <w:p w14:paraId="52AAC4BC" w14:textId="77777777" w:rsidR="000407AC" w:rsidRPr="000407AC" w:rsidRDefault="000407AC" w:rsidP="000407AC">
      <w:pPr>
        <w:rPr>
          <w:b/>
          <w:bCs/>
        </w:rPr>
      </w:pPr>
      <w:r w:rsidRPr="000407AC">
        <w:rPr>
          <w:b/>
          <w:bCs/>
        </w:rPr>
        <w:t>Cos’è la SSPL?</w:t>
      </w:r>
    </w:p>
    <w:p w14:paraId="7C4A3E8E" w14:textId="77777777" w:rsidR="000407AC" w:rsidRDefault="000407AC" w:rsidP="000407AC">
      <w:r>
        <w:t xml:space="preserve">La </w:t>
      </w:r>
      <w:r w:rsidRPr="000407AC">
        <w:rPr>
          <w:b/>
          <w:bCs/>
        </w:rPr>
        <w:t>Server Side Public License</w:t>
      </w:r>
      <w:r>
        <w:t xml:space="preserve"> è una licenza open source, basata sulla </w:t>
      </w:r>
      <w:r w:rsidRPr="000407AC">
        <w:rPr>
          <w:b/>
          <w:bCs/>
        </w:rPr>
        <w:t>AGPLv3</w:t>
      </w:r>
      <w:r>
        <w:t>, ma con una clausola aggiuntiva:</w:t>
      </w:r>
    </w:p>
    <w:p w14:paraId="18D07D4E" w14:textId="474EBAC2" w:rsidR="000407AC" w:rsidRDefault="000407AC" w:rsidP="000407AC">
      <w:r>
        <w:t>Se usi MongoDB come servizio accessibile da remoto (es. SaaS) e non solo localmente, devi rendere open source anche l’intero codice del servizio che lo utilizza, inclusi strumenti, script, UI, API, ecc.</w:t>
      </w:r>
    </w:p>
    <w:p w14:paraId="408DEBBA" w14:textId="77777777" w:rsidR="003C76A4" w:rsidRDefault="0089336E" w:rsidP="003C76A4">
      <w:r w:rsidRPr="0089336E">
        <w:t xml:space="preserve">La </w:t>
      </w:r>
      <w:r w:rsidRPr="00B741B6">
        <w:rPr>
          <w:b/>
          <w:bCs/>
        </w:rPr>
        <w:t>AGPLv3</w:t>
      </w:r>
      <w:r w:rsidRPr="0089336E">
        <w:t xml:space="preserve"> (GNU Affero General Public License v3) è una licenza open source sviluppata dalla Free Software Foundation, ed è una variante della GPLv3 con una clausola aggiuntiva specifica per le applicazioni web o accessibili via rete.</w:t>
      </w:r>
      <w:r w:rsidR="00B741B6">
        <w:t xml:space="preserve"> </w:t>
      </w:r>
    </w:p>
    <w:p w14:paraId="1CDC35EF" w14:textId="092A8DC8" w:rsidR="00B741B6" w:rsidRPr="003C76A4" w:rsidRDefault="00B741B6" w:rsidP="003C76A4">
      <w:r w:rsidRPr="003C76A4">
        <w:t>Come altre licenze libere:</w:t>
      </w:r>
    </w:p>
    <w:p w14:paraId="470DE239" w14:textId="77777777" w:rsidR="00B741B6" w:rsidRPr="003C76A4" w:rsidRDefault="00B741B6" w:rsidP="00B741B6">
      <w:pPr>
        <w:pStyle w:val="NormaleWeb"/>
        <w:numPr>
          <w:ilvl w:val="0"/>
          <w:numId w:val="9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3C76A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Puoi </w:t>
      </w:r>
      <w:r w:rsidRPr="003C76A4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usare</w:t>
      </w:r>
      <w:r w:rsidRPr="003C76A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il software anche per fini commerciali.</w:t>
      </w:r>
    </w:p>
    <w:p w14:paraId="7AAC7AB9" w14:textId="77777777" w:rsidR="00B741B6" w:rsidRPr="003C76A4" w:rsidRDefault="00B741B6" w:rsidP="00B741B6">
      <w:pPr>
        <w:pStyle w:val="NormaleWeb"/>
        <w:numPr>
          <w:ilvl w:val="0"/>
          <w:numId w:val="9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3C76A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Puoi </w:t>
      </w:r>
      <w:r w:rsidRPr="003C76A4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studiare e modificare</w:t>
      </w:r>
      <w:r w:rsidRPr="003C76A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il codice sorgente.</w:t>
      </w:r>
    </w:p>
    <w:p w14:paraId="3B3C0E20" w14:textId="13E3F4C6" w:rsidR="00B741B6" w:rsidRDefault="00B741B6" w:rsidP="000407AC">
      <w:pPr>
        <w:pStyle w:val="NormaleWeb"/>
        <w:numPr>
          <w:ilvl w:val="0"/>
          <w:numId w:val="9"/>
        </w:numPr>
      </w:pPr>
      <w:r w:rsidRPr="003C76A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Puoi </w:t>
      </w:r>
      <w:r w:rsidRPr="003C76A4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ridistribuire</w:t>
      </w:r>
      <w:r w:rsidRPr="003C76A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il software (modificato o no), a patto di rispettare la licenza</w:t>
      </w:r>
      <w:r>
        <w:t>.</w:t>
      </w:r>
    </w:p>
    <w:p w14:paraId="0FD5BCC5" w14:textId="550521C9" w:rsidR="008C651A" w:rsidRPr="008C651A" w:rsidRDefault="00FD3CB0" w:rsidP="008C651A">
      <w:pPr>
        <w:pStyle w:val="Normale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8C651A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Se usi il software </w:t>
      </w:r>
      <w:r w:rsidRPr="000567FE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AGPLv3</w:t>
      </w:r>
      <w:r w:rsidRPr="008C651A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per fornire un servizio via rete (es. API, web app, SaaS), devi rendere disponibile il codice sorgente completo, incluse le modifiche.</w:t>
      </w:r>
      <w:r w:rsidR="008C651A" w:rsidRPr="008C651A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8C651A" w:rsidRPr="008C651A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Anche se non stai distribuendo fisicamente il software (come accade nei classici software SaaS), sei comunque obbligato a condividere il codice, proprio perché stai fornendo un servizio al pubblico.</w:t>
      </w:r>
    </w:p>
    <w:p w14:paraId="39A8BB30" w14:textId="15B77AEE" w:rsidR="00FD3CB0" w:rsidRPr="008C651A" w:rsidRDefault="00FD3CB0" w:rsidP="00FD3CB0">
      <w:pPr>
        <w:pStyle w:val="Normale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5E28CE74" w14:textId="77777777" w:rsidR="000407AC" w:rsidRDefault="000407AC" w:rsidP="000407AC"/>
    <w:p w14:paraId="334F9C87" w14:textId="591791A3" w:rsidR="000407AC" w:rsidRDefault="006111C9" w:rsidP="000407AC">
      <w:r w:rsidRPr="006111C9">
        <w:rPr>
          <w:highlight w:val="yellow"/>
        </w:rPr>
        <w:t>Da Verificare</w:t>
      </w:r>
    </w:p>
    <w:p w14:paraId="25530639" w14:textId="466A9291" w:rsidR="006111C9" w:rsidRPr="006111C9" w:rsidRDefault="006111C9" w:rsidP="000407AC">
      <w:pPr>
        <w:rPr>
          <w:b/>
          <w:bCs/>
        </w:rPr>
      </w:pPr>
      <w:r w:rsidRPr="006111C9">
        <w:rPr>
          <w:b/>
          <w:bCs/>
        </w:rPr>
        <w:t>Docker Engine (runtime open-source)</w:t>
      </w:r>
    </w:p>
    <w:p w14:paraId="3D209A31" w14:textId="1E417448" w:rsidR="006111C9" w:rsidRDefault="006111C9" w:rsidP="000407AC">
      <w:r w:rsidRPr="006111C9">
        <w:t>Licenza: Apache License 2.0</w:t>
      </w:r>
    </w:p>
    <w:p w14:paraId="7544AC0D" w14:textId="77777777" w:rsidR="006111C9" w:rsidRDefault="006111C9" w:rsidP="000407AC"/>
    <w:p w14:paraId="65686F21" w14:textId="18462ED3" w:rsidR="006111C9" w:rsidRPr="006111C9" w:rsidRDefault="006111C9" w:rsidP="000407AC">
      <w:pPr>
        <w:rPr>
          <w:b/>
          <w:bCs/>
        </w:rPr>
      </w:pPr>
      <w:r w:rsidRPr="006111C9">
        <w:rPr>
          <w:b/>
          <w:bCs/>
        </w:rPr>
        <w:t>Docker CLI/Compose</w:t>
      </w:r>
    </w:p>
    <w:p w14:paraId="0C921724" w14:textId="77777777" w:rsidR="006111C9" w:rsidRDefault="006111C9" w:rsidP="006111C9">
      <w:r w:rsidRPr="006111C9">
        <w:t>Licenza: Apache License 2.0</w:t>
      </w:r>
    </w:p>
    <w:p w14:paraId="00DD3851" w14:textId="77777777" w:rsidR="006111C9" w:rsidRDefault="006111C9" w:rsidP="000407AC"/>
    <w:p w14:paraId="6AD427A8" w14:textId="7B902C01" w:rsidR="006111C9" w:rsidRPr="006111C9" w:rsidRDefault="006111C9" w:rsidP="000407AC">
      <w:pPr>
        <w:rPr>
          <w:b/>
          <w:bCs/>
        </w:rPr>
      </w:pPr>
      <w:r w:rsidRPr="006111C9">
        <w:rPr>
          <w:b/>
          <w:bCs/>
        </w:rPr>
        <w:t>Docker Hub</w:t>
      </w:r>
    </w:p>
    <w:p w14:paraId="41434DEA" w14:textId="620A8A82" w:rsidR="006111C9" w:rsidRDefault="006111C9" w:rsidP="000407AC">
      <w:r w:rsidRPr="006111C9">
        <w:t>Licenza: Termini di servizio Docker Hub (non open source</w:t>
      </w:r>
      <w:r w:rsidR="00EF222A">
        <w:t xml:space="preserve"> ma proprietaria</w:t>
      </w:r>
      <w:r w:rsidRPr="006111C9">
        <w:t>)</w:t>
      </w:r>
    </w:p>
    <w:p w14:paraId="7EBF08DD" w14:textId="6697E5E9" w:rsidR="00EF222A" w:rsidRDefault="00EF222A" w:rsidP="000407AC">
      <w:r w:rsidRPr="00EF222A">
        <w:t>Puoi usare il Docker Hub per scaricare immagini pubbliche o caricare le tue. Ma c'è un limite al numero di pull anonimi.</w:t>
      </w:r>
    </w:p>
    <w:p w14:paraId="6D9AADD3" w14:textId="68B7CFB5" w:rsidR="006111C9" w:rsidRDefault="006111C9" w:rsidP="000407AC"/>
    <w:sectPr w:rsidR="006111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E37A1"/>
    <w:multiLevelType w:val="hybridMultilevel"/>
    <w:tmpl w:val="6D806A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4658E"/>
    <w:multiLevelType w:val="hybridMultilevel"/>
    <w:tmpl w:val="7C1E1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C4D0B"/>
    <w:multiLevelType w:val="hybridMultilevel"/>
    <w:tmpl w:val="08F63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27515"/>
    <w:multiLevelType w:val="hybridMultilevel"/>
    <w:tmpl w:val="51440A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27C7B"/>
    <w:multiLevelType w:val="hybridMultilevel"/>
    <w:tmpl w:val="76F87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45C2F"/>
    <w:multiLevelType w:val="multilevel"/>
    <w:tmpl w:val="A49E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622208"/>
    <w:multiLevelType w:val="hybridMultilevel"/>
    <w:tmpl w:val="2AFC78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86A38"/>
    <w:multiLevelType w:val="hybridMultilevel"/>
    <w:tmpl w:val="898054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10907"/>
    <w:multiLevelType w:val="hybridMultilevel"/>
    <w:tmpl w:val="294233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609719">
    <w:abstractNumId w:val="3"/>
  </w:num>
  <w:num w:numId="2" w16cid:durableId="1068264546">
    <w:abstractNumId w:val="7"/>
  </w:num>
  <w:num w:numId="3" w16cid:durableId="218589027">
    <w:abstractNumId w:val="1"/>
  </w:num>
  <w:num w:numId="4" w16cid:durableId="168956456">
    <w:abstractNumId w:val="6"/>
  </w:num>
  <w:num w:numId="5" w16cid:durableId="1467968437">
    <w:abstractNumId w:val="4"/>
  </w:num>
  <w:num w:numId="6" w16cid:durableId="217283729">
    <w:abstractNumId w:val="0"/>
  </w:num>
  <w:num w:numId="7" w16cid:durableId="1135173603">
    <w:abstractNumId w:val="8"/>
  </w:num>
  <w:num w:numId="8" w16cid:durableId="1024672643">
    <w:abstractNumId w:val="2"/>
  </w:num>
  <w:num w:numId="9" w16cid:durableId="16142423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OwNDYxMTAwMTI1NTdT0lEKTi0uzszPAykwrAUAGk7bTywAAAA="/>
  </w:docVars>
  <w:rsids>
    <w:rsidRoot w:val="00402A6F"/>
    <w:rsid w:val="000407AC"/>
    <w:rsid w:val="000567FE"/>
    <w:rsid w:val="00217C99"/>
    <w:rsid w:val="003C76A4"/>
    <w:rsid w:val="00402A6F"/>
    <w:rsid w:val="006111C9"/>
    <w:rsid w:val="0072097B"/>
    <w:rsid w:val="00803E69"/>
    <w:rsid w:val="0089336E"/>
    <w:rsid w:val="008C651A"/>
    <w:rsid w:val="00B741B6"/>
    <w:rsid w:val="00C070C8"/>
    <w:rsid w:val="00DB481B"/>
    <w:rsid w:val="00EF222A"/>
    <w:rsid w:val="00FD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F2B1E"/>
  <w15:chartTrackingRefBased/>
  <w15:docId w15:val="{4EB69969-5B47-4985-BF61-6D09FC7B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2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02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02A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02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02A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02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02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02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02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2A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02A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02A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02A6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02A6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02A6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02A6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02A6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02A6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02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02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02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02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02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02A6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02A6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02A6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02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02A6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02A6F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unhideWhenUsed/>
    <w:rsid w:val="00B74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B741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6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Nocerino, Giuseppe</dc:creator>
  <cp:keywords/>
  <dc:description/>
  <cp:lastModifiedBy>Nocerino, Giuseppe</cp:lastModifiedBy>
  <cp:revision>9</cp:revision>
  <dcterms:created xsi:type="dcterms:W3CDTF">2025-07-04T09:03:00Z</dcterms:created>
  <dcterms:modified xsi:type="dcterms:W3CDTF">2025-07-04T09:44:00Z</dcterms:modified>
</cp:coreProperties>
</file>