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1FF2B" w14:textId="47C8D5FF" w:rsidR="005A413D" w:rsidRPr="00EC5590" w:rsidRDefault="003E1799" w:rsidP="00EC559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55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Does </w:t>
      </w:r>
      <w:r w:rsidR="00914E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 empty stomach influence </w:t>
      </w:r>
      <w:r w:rsidR="00A02E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="00914EEC">
        <w:rPr>
          <w:rFonts w:ascii="Times New Roman" w:hAnsi="Times New Roman" w:cs="Times New Roman"/>
          <w:b/>
          <w:sz w:val="24"/>
          <w:szCs w:val="24"/>
          <w:lang w:val="en-US"/>
        </w:rPr>
        <w:t>brain</w:t>
      </w:r>
      <w:r w:rsidR="00A02E89">
        <w:rPr>
          <w:rFonts w:ascii="Times New Roman" w:hAnsi="Times New Roman" w:cs="Times New Roman"/>
          <w:b/>
          <w:sz w:val="24"/>
          <w:szCs w:val="24"/>
          <w:lang w:val="en-US"/>
        </w:rPr>
        <w:t>’s response to</w:t>
      </w:r>
      <w:r w:rsidR="00914E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social </w:t>
      </w:r>
      <w:r w:rsidR="00272FB4">
        <w:rPr>
          <w:rFonts w:ascii="Times New Roman" w:hAnsi="Times New Roman" w:cs="Times New Roman"/>
          <w:b/>
          <w:sz w:val="24"/>
          <w:szCs w:val="24"/>
          <w:lang w:val="en-US"/>
        </w:rPr>
        <w:t>recognition</w:t>
      </w:r>
      <w:r w:rsidR="00914EEC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14:paraId="4C56F175" w14:textId="0563D554" w:rsidR="003E1799" w:rsidRPr="00EC5590" w:rsidRDefault="00914EEC" w:rsidP="00EC559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C5590">
        <w:rPr>
          <w:rFonts w:ascii="Times New Roman" w:hAnsi="Times New Roman" w:cs="Times New Roman"/>
          <w:sz w:val="24"/>
          <w:szCs w:val="24"/>
          <w:lang w:val="es-ES"/>
        </w:rPr>
        <w:t>Uta Sailer</w:t>
      </w:r>
      <w:r w:rsidRPr="00EC5590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3E1799" w:rsidRPr="00EC5590">
        <w:rPr>
          <w:rFonts w:ascii="Times New Roman" w:hAnsi="Times New Roman" w:cs="Times New Roman"/>
          <w:sz w:val="24"/>
          <w:szCs w:val="24"/>
          <w:lang w:val="es-ES"/>
        </w:rPr>
        <w:t>Federica Riva</w:t>
      </w:r>
      <w:r w:rsidR="003E1799" w:rsidRPr="00EC5590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1</w:t>
      </w:r>
      <w:r w:rsidR="00EC5590" w:rsidRPr="00EC5590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EC5590">
        <w:rPr>
          <w:rFonts w:ascii="Times New Roman" w:hAnsi="Times New Roman" w:cs="Times New Roman"/>
          <w:sz w:val="24"/>
          <w:szCs w:val="24"/>
          <w:lang w:val="es-ES"/>
        </w:rPr>
        <w:t>Daniela Pfabigan</w:t>
      </w:r>
      <w:r w:rsidRPr="00EC5590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1,2</w:t>
      </w:r>
    </w:p>
    <w:p w14:paraId="3E79F15E" w14:textId="30207BBC" w:rsidR="003E1799" w:rsidRPr="00EC5590" w:rsidRDefault="003E1799" w:rsidP="00EC5590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5590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 w:rsidR="008D1970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 </w:t>
      </w:r>
      <w:bookmarkStart w:id="0" w:name="_GoBack"/>
      <w:bookmarkEnd w:id="0"/>
      <w:r w:rsidRPr="00EC55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Department of </w:t>
      </w:r>
      <w:proofErr w:type="spellStart"/>
      <w:r w:rsidRPr="00EC5590">
        <w:rPr>
          <w:rFonts w:ascii="Times New Roman" w:hAnsi="Times New Roman" w:cs="Times New Roman"/>
          <w:bCs/>
          <w:sz w:val="24"/>
          <w:szCs w:val="24"/>
          <w:lang w:val="en-US"/>
        </w:rPr>
        <w:t>Behavioural</w:t>
      </w:r>
      <w:proofErr w:type="spellEnd"/>
      <w:r w:rsidRPr="00EC55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Medicine, University of Oslo, Oslo, Norway.</w:t>
      </w:r>
    </w:p>
    <w:p w14:paraId="672D7126" w14:textId="77777777" w:rsidR="00CA3B6D" w:rsidRPr="00EC5590" w:rsidRDefault="00CA3B6D" w:rsidP="00EC5590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C5590">
        <w:rPr>
          <w:rFonts w:ascii="Times New Roman" w:hAnsi="Times New Roman" w:cs="Times New Roman"/>
          <w:bCs/>
          <w:sz w:val="24"/>
          <w:szCs w:val="24"/>
          <w:vertAlign w:val="superscript"/>
          <w:lang w:val="da-DK"/>
        </w:rPr>
        <w:t>2</w:t>
      </w:r>
      <w:r w:rsidRPr="00EC5590">
        <w:rPr>
          <w:rFonts w:ascii="Times New Roman" w:hAnsi="Times New Roman" w:cs="Times New Roman"/>
          <w:bCs/>
          <w:sz w:val="24"/>
          <w:szCs w:val="24"/>
          <w:lang w:val="da-DK"/>
        </w:rPr>
        <w:t xml:space="preserve"> Department of </w:t>
      </w:r>
      <w:proofErr w:type="spellStart"/>
      <w:r w:rsidRPr="00EC5590">
        <w:rPr>
          <w:rFonts w:ascii="Times New Roman" w:hAnsi="Times New Roman" w:cs="Times New Roman"/>
          <w:bCs/>
          <w:sz w:val="24"/>
          <w:szCs w:val="24"/>
          <w:lang w:val="da-DK"/>
        </w:rPr>
        <w:t>Medicine</w:t>
      </w:r>
      <w:proofErr w:type="spellEnd"/>
      <w:r w:rsidRPr="00EC5590">
        <w:rPr>
          <w:rFonts w:ascii="Times New Roman" w:hAnsi="Times New Roman" w:cs="Times New Roman"/>
          <w:bCs/>
          <w:sz w:val="24"/>
          <w:szCs w:val="24"/>
          <w:lang w:val="da-DK"/>
        </w:rPr>
        <w:t xml:space="preserve">, </w:t>
      </w:r>
      <w:proofErr w:type="spellStart"/>
      <w:r w:rsidRPr="00EC5590">
        <w:rPr>
          <w:rFonts w:ascii="Times New Roman" w:hAnsi="Times New Roman" w:cs="Times New Roman"/>
          <w:bCs/>
          <w:sz w:val="24"/>
          <w:szCs w:val="24"/>
          <w:lang w:val="da-DK"/>
        </w:rPr>
        <w:t>Vestfold</w:t>
      </w:r>
      <w:proofErr w:type="spellEnd"/>
      <w:r w:rsidRPr="00EC5590">
        <w:rPr>
          <w:rFonts w:ascii="Times New Roman" w:hAnsi="Times New Roman" w:cs="Times New Roman"/>
          <w:bCs/>
          <w:sz w:val="24"/>
          <w:szCs w:val="24"/>
          <w:lang w:val="da-DK"/>
        </w:rPr>
        <w:t xml:space="preserve"> Hospital Trust, Tønsberg, Norwa</w:t>
      </w:r>
      <w:r w:rsidR="00EC5590" w:rsidRPr="00EC5590">
        <w:rPr>
          <w:rFonts w:ascii="Times New Roman" w:hAnsi="Times New Roman" w:cs="Times New Roman"/>
          <w:bCs/>
          <w:sz w:val="24"/>
          <w:szCs w:val="24"/>
          <w:lang w:val="da-DK"/>
        </w:rPr>
        <w:t>y</w:t>
      </w:r>
    </w:p>
    <w:p w14:paraId="555A9C04" w14:textId="77777777" w:rsidR="003E1799" w:rsidRPr="00EC5590" w:rsidRDefault="003E1799" w:rsidP="00EC5590">
      <w:pPr>
        <w:jc w:val="both"/>
        <w:rPr>
          <w:rFonts w:ascii="Times New Roman" w:hAnsi="Times New Roman" w:cs="Times New Roman"/>
          <w:bCs/>
          <w:lang w:val="en-US"/>
        </w:rPr>
      </w:pPr>
    </w:p>
    <w:p w14:paraId="10201DCC" w14:textId="77777777" w:rsidR="003E1799" w:rsidRPr="00EC5590" w:rsidRDefault="003E1799" w:rsidP="00EC5590">
      <w:pPr>
        <w:jc w:val="both"/>
        <w:rPr>
          <w:rFonts w:ascii="Times New Roman" w:hAnsi="Times New Roman" w:cs="Times New Roman"/>
          <w:bCs/>
          <w:lang w:val="en-US"/>
        </w:rPr>
      </w:pPr>
    </w:p>
    <w:p w14:paraId="510D9CE0" w14:textId="1EE4FC85" w:rsidR="00CD65DA" w:rsidRDefault="003E1799" w:rsidP="00EC5590">
      <w:pPr>
        <w:spacing w:line="360" w:lineRule="auto"/>
        <w:jc w:val="both"/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</w:pPr>
      <w:r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Animal research has shown that </w:t>
      </w:r>
      <w:r w:rsidR="003E3359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social interaction is increased by administrating ghrelin, an appetite-stimulating hormone</w:t>
      </w:r>
      <w:r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.</w:t>
      </w:r>
      <w:r w:rsidR="00C73FC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These findings have </w:t>
      </w:r>
      <w:r w:rsidR="006A424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inspired</w:t>
      </w:r>
      <w:r w:rsidR="00C73FC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the </w:t>
      </w:r>
      <w:r w:rsidR="006A424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idea</w:t>
      </w:r>
      <w:r w:rsidR="00C73FC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</w:t>
      </w:r>
      <w:r w:rsidR="006A424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of</w:t>
      </w:r>
      <w:r w:rsidR="00C73FC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ghrelin</w:t>
      </w:r>
      <w:r w:rsidR="006A424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’s involvement in </w:t>
      </w:r>
      <w:r w:rsidR="00C73FC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the </w:t>
      </w:r>
      <w:r w:rsidR="006A424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valuation</w:t>
      </w:r>
      <w:r w:rsidR="00C73FC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of </w:t>
      </w:r>
      <w:r w:rsidR="006A424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many types of rewards, not only food</w:t>
      </w:r>
      <w:r w:rsidR="00607EAC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. Hence, t</w:t>
      </w:r>
      <w:r w:rsidR="007B4B1E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he aim of t</w:t>
      </w:r>
      <w:r w:rsidR="00EE2533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his pre-registered </w:t>
      </w:r>
      <w:r w:rsid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functional imaging (fMRI)</w:t>
      </w:r>
      <w:r w:rsidR="00EC5590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</w:t>
      </w:r>
      <w:r w:rsidR="007B4B1E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study was to investigate how </w:t>
      </w:r>
      <w:r w:rsid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variation in</w:t>
      </w:r>
      <w:r w:rsidR="007B4B1E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ghrelin </w:t>
      </w:r>
      <w:r w:rsid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levels </w:t>
      </w:r>
      <w:r w:rsidR="007B4B1E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influence</w:t>
      </w:r>
      <w:r w:rsid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s</w:t>
      </w:r>
      <w:r w:rsidR="007B4B1E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</w:t>
      </w:r>
      <w:r w:rsidR="008C4FCE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neural processing</w:t>
      </w:r>
      <w:r w:rsidR="00EE2533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</w:t>
      </w:r>
      <w:r w:rsidR="00EE2533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of </w:t>
      </w:r>
      <w:r w:rsidR="007F4AF7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recognition</w:t>
      </w:r>
      <w:r w:rsidR="007F4AF7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</w:t>
      </w:r>
      <w:r w:rsidR="000C21A4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by others </w:t>
      </w:r>
      <w:r w:rsidR="007F4AF7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as </w:t>
      </w:r>
      <w:r w:rsidR="000C21A4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a </w:t>
      </w:r>
      <w:r w:rsidR="007F4AF7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social reward </w:t>
      </w:r>
      <w:r w:rsidR="006A424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in humans</w:t>
      </w:r>
      <w:r w:rsidR="007B4B1E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. </w:t>
      </w:r>
    </w:p>
    <w:p w14:paraId="27AF1B3C" w14:textId="0C648141" w:rsidR="00CD65DA" w:rsidRDefault="007B4B1E" w:rsidP="00EC5590">
      <w:pPr>
        <w:spacing w:line="360" w:lineRule="auto"/>
        <w:jc w:val="both"/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</w:pPr>
      <w:r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In a within-group design consisting of two sessions </w:t>
      </w:r>
      <w:r w:rsidR="00BE6907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inducing</w:t>
      </w:r>
      <w:r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high (</w:t>
      </w:r>
      <w:r w:rsid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no-meal</w:t>
      </w:r>
      <w:r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) vs. low (</w:t>
      </w:r>
      <w:r w:rsid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liquid-meal</w:t>
      </w:r>
      <w:r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) levels of ghrelin, 48 </w:t>
      </w:r>
      <w:r w:rsid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healthy volunteers</w:t>
      </w:r>
      <w:r w:rsidR="00EC5590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</w:t>
      </w:r>
      <w:r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performed a </w:t>
      </w:r>
      <w:r w:rsidR="00C73FC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reward </w:t>
      </w:r>
      <w:r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task</w:t>
      </w:r>
      <w:r w:rsidR="00C73FC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. Participants could receive s</w:t>
      </w:r>
      <w:r w:rsidR="00CD65DA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ocial reward </w:t>
      </w:r>
      <w:r w:rsidR="00C73FC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when their music choice was </w:t>
      </w:r>
      <w:r w:rsidR="00CD65DA" w:rsidRPr="00CD65DA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confirm</w:t>
      </w:r>
      <w:r w:rsidR="00C73FC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ed by an expert, or</w:t>
      </w:r>
      <w:r w:rsidR="00CD65DA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</w:t>
      </w:r>
      <w:r w:rsidR="00914EEC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non-social</w:t>
      </w:r>
      <w:r w:rsidR="00CD65DA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reward </w:t>
      </w:r>
      <w:r w:rsidR="00C73FC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when their music choice was </w:t>
      </w:r>
      <w:r w:rsidR="00C05D3A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rewarded by a computer algorithm</w:t>
      </w:r>
      <w:r w:rsidR="004F363F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with 1 point</w:t>
      </w:r>
      <w:r w:rsidR="00C05D3A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.</w:t>
      </w:r>
      <w:r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</w:t>
      </w:r>
    </w:p>
    <w:p w14:paraId="70BE854D" w14:textId="088AD40B" w:rsidR="0058288F" w:rsidRDefault="00607EAC" w:rsidP="00EC5590">
      <w:pPr>
        <w:spacing w:line="360" w:lineRule="auto"/>
        <w:jc w:val="both"/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</w:pPr>
      <w:r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A</w:t>
      </w:r>
      <w:r w:rsidR="00BE6907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regression analysis </w:t>
      </w:r>
      <w:r w:rsidR="0058288F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was conducted</w:t>
      </w:r>
      <w:r w:rsidR="0058288F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</w:t>
      </w:r>
      <w:r w:rsid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with </w:t>
      </w:r>
      <w:r w:rsidR="00C73FC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BOLD </w:t>
      </w:r>
      <w:r w:rsid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difference val</w:t>
      </w:r>
      <w:r w:rsidR="00EE2533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u</w:t>
      </w:r>
      <w:r w:rsid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es </w:t>
      </w:r>
      <w:r w:rsidR="00EE2533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of liquid-meal minus</w:t>
      </w:r>
      <w:r w:rsid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no-meal conditions</w:t>
      </w:r>
      <w:r w:rsidR="00C73FC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. G</w:t>
      </w:r>
      <w:r w:rsidR="00BE6907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hrelin levels </w:t>
      </w:r>
      <w:r w:rsidR="00C73FC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served </w:t>
      </w:r>
      <w:r w:rsidR="00BE6907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as </w:t>
      </w:r>
      <w:r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predictor and mean activity of three</w:t>
      </w:r>
      <w:r w:rsidR="00BE6907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ROIs </w:t>
      </w:r>
      <w:r w:rsidR="00C73FCB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previously found to be implicated in social reward</w:t>
      </w:r>
      <w:r w:rsidR="00C73FC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were the </w:t>
      </w:r>
      <w:r w:rsidR="007F4AF7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outcome</w:t>
      </w:r>
      <w:r w:rsidR="007F4AF7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</w:t>
      </w:r>
      <w:r w:rsidR="003A6E5B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variable</w:t>
      </w:r>
      <w:r w:rsidR="003A6E5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s</w:t>
      </w:r>
      <w:r w:rsidR="00C73FC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:</w:t>
      </w:r>
      <w:r w:rsidR="003A6E5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</w:t>
      </w:r>
      <w:r w:rsid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left and right ventral striatum, </w:t>
      </w:r>
      <w:r w:rsidR="008D197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and </w:t>
      </w:r>
      <w:r w:rsid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ventromedial prefrontal cortex</w:t>
      </w:r>
      <w:r w:rsidR="00BE6907"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. </w:t>
      </w:r>
    </w:p>
    <w:p w14:paraId="3B23D481" w14:textId="48DFABA6" w:rsidR="00607EAC" w:rsidRPr="00EC5590" w:rsidRDefault="00BE6907" w:rsidP="00EC5590">
      <w:pPr>
        <w:spacing w:line="360" w:lineRule="auto"/>
        <w:jc w:val="both"/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</w:pPr>
      <w:r w:rsidRPr="00EC5590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Contrary to our hypothesis, </w:t>
      </w:r>
      <w:r w:rsidR="00EE2533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ghrelin levels </w:t>
      </w:r>
      <w:r w:rsidR="00C73FC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were not associated with</w:t>
      </w:r>
      <w:r w:rsidR="00EE2533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</w:t>
      </w:r>
      <w:r w:rsidR="00C05D3A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ROI </w:t>
      </w:r>
      <w:r w:rsidR="00EE2533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brain activation</w:t>
      </w:r>
      <w:r w:rsidR="009C40BF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</w:t>
      </w:r>
      <w:r w:rsidR="00EE2533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to </w:t>
      </w:r>
      <w:proofErr w:type="gramStart"/>
      <w:r w:rsidR="00EE2533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social</w:t>
      </w:r>
      <w:proofErr w:type="gramEnd"/>
      <w:r w:rsidR="00EE2533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reward. </w:t>
      </w:r>
      <w:r w:rsidR="007F4AF7" w:rsidRPr="007F4AF7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GB"/>
        </w:rPr>
        <w:t>Thus, either ghrelin’s effects do not extend to social recognition</w:t>
      </w:r>
      <w:r w:rsidR="000C21A4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GB"/>
        </w:rPr>
        <w:t xml:space="preserve"> as reward</w:t>
      </w:r>
      <w:r w:rsidR="007F4AF7" w:rsidRPr="007F4AF7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GB"/>
        </w:rPr>
        <w:t>, or naturally varying ghrelin levels are not strong enough to induc</w:t>
      </w:r>
      <w:r w:rsidR="007F4AF7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GB"/>
        </w:rPr>
        <w:t>e a clear effect. Alternatively</w:t>
      </w:r>
      <w:r w:rsidR="00FA1E91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, the endorsements by </w:t>
      </w:r>
      <w:r w:rsidR="007F4AF7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putative </w:t>
      </w:r>
      <w:r w:rsidR="00FA1E91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experts might not have been </w:t>
      </w:r>
      <w:r w:rsidR="0058288F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perceived </w:t>
      </w:r>
      <w:r w:rsidR="008C4FCE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as </w:t>
      </w:r>
      <w:r w:rsidR="0058288F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sufficiently </w:t>
      </w:r>
      <w:r w:rsidR="008C4FCE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>rewarding.</w:t>
      </w:r>
      <w:r w:rsidR="00061C6B">
        <w:rPr>
          <w:rFonts w:ascii="Times New Roman" w:hAnsi="Times New Roman" w:cs="Times New Roman"/>
          <w:color w:val="212121"/>
          <w:sz w:val="24"/>
          <w:szCs w:val="20"/>
          <w:shd w:val="clear" w:color="auto" w:fill="FFFFFF"/>
          <w:lang w:val="en-US"/>
        </w:rPr>
        <w:t xml:space="preserve"> </w:t>
      </w:r>
    </w:p>
    <w:p w14:paraId="689C37F2" w14:textId="77777777" w:rsidR="00BE6907" w:rsidRPr="00EC5590" w:rsidRDefault="00BE6907" w:rsidP="00EC5590">
      <w:pPr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4C1B2C02" w14:textId="77777777" w:rsidR="007360D3" w:rsidRPr="00EC5590" w:rsidRDefault="007360D3" w:rsidP="00EC5590">
      <w:pPr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4974348C" w14:textId="77777777" w:rsidR="007360D3" w:rsidRPr="00EC5590" w:rsidRDefault="007360D3" w:rsidP="00EC5590">
      <w:pPr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0A10C750" w14:textId="77777777" w:rsidR="007360D3" w:rsidRPr="00EC5590" w:rsidRDefault="007360D3" w:rsidP="00EC5590">
      <w:pPr>
        <w:jc w:val="bot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4391D5A4" w14:textId="77777777" w:rsidR="003E1799" w:rsidRPr="00EC5590" w:rsidRDefault="003E1799" w:rsidP="00EC5590">
      <w:pPr>
        <w:jc w:val="both"/>
        <w:rPr>
          <w:rFonts w:ascii="Times New Roman" w:hAnsi="Times New Roman" w:cs="Times New Roman"/>
          <w:lang w:val="es-ES"/>
        </w:rPr>
      </w:pPr>
    </w:p>
    <w:sectPr w:rsidR="003E1799" w:rsidRPr="00EC5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14DFB"/>
    <w:multiLevelType w:val="hybridMultilevel"/>
    <w:tmpl w:val="99143160"/>
    <w:lvl w:ilvl="0" w:tplc="AFE0B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D0A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47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CF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08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C7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8A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83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A3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da-DK" w:vendorID="64" w:dllVersion="131078" w:nlCheck="1" w:checkStyle="0"/>
  <w:activeWritingStyle w:appName="MSWord" w:lang="nb-NO" w:vendorID="64" w:dllVersion="131078" w:nlCheck="1" w:checkStyle="0"/>
  <w:activeWritingStyle w:appName="MSWord" w:lang="en-GB" w:vendorID="64" w:dllVersion="131078" w:nlCheck="1" w:checkStyle="1"/>
  <w:activeWritingStyle w:appName="MSWord" w:lang="de-A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76"/>
    <w:rsid w:val="0005394B"/>
    <w:rsid w:val="00061C6B"/>
    <w:rsid w:val="000C21A4"/>
    <w:rsid w:val="00272FB4"/>
    <w:rsid w:val="003A6E5B"/>
    <w:rsid w:val="003E1799"/>
    <w:rsid w:val="003E3310"/>
    <w:rsid w:val="003E3359"/>
    <w:rsid w:val="004F363F"/>
    <w:rsid w:val="00545D1C"/>
    <w:rsid w:val="0058288F"/>
    <w:rsid w:val="005A413D"/>
    <w:rsid w:val="00607EAC"/>
    <w:rsid w:val="006A424B"/>
    <w:rsid w:val="007360D3"/>
    <w:rsid w:val="007B4B1E"/>
    <w:rsid w:val="007F4AF7"/>
    <w:rsid w:val="00867094"/>
    <w:rsid w:val="008B6DDE"/>
    <w:rsid w:val="008C3630"/>
    <w:rsid w:val="008C4FCE"/>
    <w:rsid w:val="008D1970"/>
    <w:rsid w:val="00912BE4"/>
    <w:rsid w:val="00914EEC"/>
    <w:rsid w:val="0096372D"/>
    <w:rsid w:val="009C40BF"/>
    <w:rsid w:val="009C59D2"/>
    <w:rsid w:val="009F2FF4"/>
    <w:rsid w:val="00A02E89"/>
    <w:rsid w:val="00A32400"/>
    <w:rsid w:val="00A42D25"/>
    <w:rsid w:val="00A82F76"/>
    <w:rsid w:val="00AC7618"/>
    <w:rsid w:val="00B971E7"/>
    <w:rsid w:val="00BE6907"/>
    <w:rsid w:val="00C05D3A"/>
    <w:rsid w:val="00C73FCB"/>
    <w:rsid w:val="00CA3B6D"/>
    <w:rsid w:val="00CD65DA"/>
    <w:rsid w:val="00E70976"/>
    <w:rsid w:val="00EC5590"/>
    <w:rsid w:val="00EE2533"/>
    <w:rsid w:val="00F664D5"/>
    <w:rsid w:val="00F95D13"/>
    <w:rsid w:val="00FA1E91"/>
    <w:rsid w:val="00FC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81B3"/>
  <w15:chartTrackingRefBased/>
  <w15:docId w15:val="{53E2A21E-9774-4D5C-AB43-8477458E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17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59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6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5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USIT</dc:creator>
  <cp:keywords/>
  <dc:description/>
  <cp:lastModifiedBy>Daniela M. Pfabigan</cp:lastModifiedBy>
  <cp:revision>4</cp:revision>
  <dcterms:created xsi:type="dcterms:W3CDTF">2022-03-24T09:39:00Z</dcterms:created>
  <dcterms:modified xsi:type="dcterms:W3CDTF">2022-03-24T12:38:00Z</dcterms:modified>
</cp:coreProperties>
</file>