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7D14" w14:textId="77777777" w:rsidR="0016571E" w:rsidRPr="00481107" w:rsidRDefault="00000000" w:rsidP="00AF1EFF">
      <w:pPr>
        <w:pStyle w:val="Ttulo1"/>
        <w:jc w:val="center"/>
        <w:rPr>
          <w:rFonts w:ascii="Courier New" w:hAnsi="Courier New" w:cs="Courier New"/>
          <w:b/>
          <w:bCs/>
          <w:color w:val="auto"/>
          <w:sz w:val="22"/>
          <w:szCs w:val="22"/>
          <w:u w:val="single"/>
        </w:rPr>
      </w:pPr>
      <w:bookmarkStart w:id="0" w:name="conclusiones-y-recomendaciones"/>
      <w:r w:rsidRPr="00481107">
        <w:rPr>
          <w:rFonts w:ascii="Courier New" w:hAnsi="Courier New" w:cs="Courier New"/>
          <w:b/>
          <w:bCs/>
          <w:color w:val="auto"/>
          <w:sz w:val="22"/>
          <w:szCs w:val="22"/>
          <w:u w:val="single"/>
        </w:rPr>
        <w:t>Conclusiones y Recomendaciones</w:t>
      </w:r>
    </w:p>
    <w:p w14:paraId="445EEBA3" w14:textId="77777777" w:rsidR="00AF1EFF" w:rsidRDefault="00AF1EFF">
      <w:pPr>
        <w:pStyle w:val="Ttulo2"/>
        <w:rPr>
          <w:rFonts w:ascii="Courier New" w:hAnsi="Courier New" w:cs="Courier New"/>
          <w:color w:val="auto"/>
          <w:sz w:val="22"/>
          <w:szCs w:val="22"/>
        </w:rPr>
      </w:pPr>
      <w:bookmarkStart w:id="1" w:name="conclusiones-generales"/>
    </w:p>
    <w:p w14:paraId="1AFC3D9D" w14:textId="1C6406A0" w:rsidR="0016571E" w:rsidRPr="00AF1EFF" w:rsidRDefault="00000000">
      <w:pPr>
        <w:pStyle w:val="Ttulo2"/>
        <w:rPr>
          <w:rFonts w:ascii="Courier New" w:hAnsi="Courier New" w:cs="Courier New"/>
          <w:b/>
          <w:bCs/>
          <w:color w:val="auto"/>
          <w:sz w:val="22"/>
          <w:szCs w:val="22"/>
        </w:rPr>
      </w:pPr>
      <w:r w:rsidRPr="00AF1EFF">
        <w:rPr>
          <w:rFonts w:ascii="Courier New" w:hAnsi="Courier New" w:cs="Courier New"/>
          <w:b/>
          <w:bCs/>
          <w:color w:val="auto"/>
          <w:sz w:val="22"/>
          <w:szCs w:val="22"/>
        </w:rPr>
        <w:t>1. Conclusiones Generales</w:t>
      </w:r>
    </w:p>
    <w:p w14:paraId="59D45F3D" w14:textId="77777777" w:rsidR="0016571E" w:rsidRPr="00AF1EFF" w:rsidRDefault="00000000">
      <w:pPr>
        <w:pStyle w:val="FirstParagraph"/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A partir del desarrollo integral del proyecto de Business Intelligence para TechCore, se logró transformar un conjunto de datos de ventas crudos y desestructurados en un sistema analítico confiable, escalable y orientado a la toma de decisiones.</w:t>
      </w:r>
    </w:p>
    <w:p w14:paraId="435691A2" w14:textId="77777777" w:rsidR="0016571E" w:rsidRPr="00AF1EFF" w:rsidRDefault="00000000">
      <w:pPr>
        <w:pStyle w:val="Textoindependiente"/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El proceso permitió demostrar la importancia de una correcta preparación de datos, ya que las etapas de limpieza, normalización y modelado relacional resultaron clave para garantizar la coherencia de los análisis posteriores y la correcta interpretación de los indicadores de negocio.</w:t>
      </w:r>
    </w:p>
    <w:p w14:paraId="6B1DD1F6" w14:textId="77777777" w:rsidR="0016571E" w:rsidRPr="00AF1EFF" w:rsidRDefault="00000000">
      <w:pPr>
        <w:pStyle w:val="Textoindependiente"/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El dashboard final desarrollado en Power BI ofrece una visión clara y dinámica del desempeño comercial de la compañía, permitiendo analizar las ventas desde múltiples perspectivas: geográfica, temporal, por producto y por marca. Asimismo, la implementación de segmentadores y jerarquías facilita la exploración interactiva de la información por parte de distintos perfiles de usuario.</w:t>
      </w:r>
    </w:p>
    <w:p w14:paraId="720CA999" w14:textId="77777777" w:rsidR="0016571E" w:rsidRPr="00AF1EFF" w:rsidRDefault="00000000">
      <w:pPr>
        <w:pStyle w:val="Textoindependiente"/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La incorporación de seguridad a nivel de fila (Row-Level Security) agrega una capa adicional de realismo al proyecto, simulando un entorno corporativo en el que el acceso a la información se encuentra restringido según el rol y la responsabilidad del usuario.</w:t>
      </w:r>
    </w:p>
    <w:p w14:paraId="6AD34DB0" w14:textId="088298F2" w:rsidR="0016571E" w:rsidRPr="00AF1EFF" w:rsidRDefault="0016571E">
      <w:pPr>
        <w:rPr>
          <w:rFonts w:ascii="Courier New" w:hAnsi="Courier New" w:cs="Courier New"/>
          <w:sz w:val="22"/>
          <w:szCs w:val="22"/>
        </w:rPr>
      </w:pPr>
    </w:p>
    <w:p w14:paraId="4758438F" w14:textId="77777777" w:rsidR="0016571E" w:rsidRPr="00AF1EFF" w:rsidRDefault="00000000">
      <w:pPr>
        <w:pStyle w:val="Ttulo2"/>
        <w:rPr>
          <w:rFonts w:ascii="Courier New" w:hAnsi="Courier New" w:cs="Courier New"/>
          <w:b/>
          <w:bCs/>
          <w:color w:val="auto"/>
          <w:sz w:val="22"/>
          <w:szCs w:val="22"/>
        </w:rPr>
      </w:pPr>
      <w:bookmarkStart w:id="2" w:name="principales-insights-obtenidos"/>
      <w:bookmarkEnd w:id="1"/>
      <w:r w:rsidRPr="00AF1EFF">
        <w:rPr>
          <w:rFonts w:ascii="Courier New" w:hAnsi="Courier New" w:cs="Courier New"/>
          <w:b/>
          <w:bCs/>
          <w:color w:val="auto"/>
          <w:sz w:val="22"/>
          <w:szCs w:val="22"/>
        </w:rPr>
        <w:t>2. Principales Insights Obtenidos</w:t>
      </w:r>
    </w:p>
    <w:p w14:paraId="2024B113" w14:textId="77777777" w:rsidR="0016571E" w:rsidRPr="00AF1EFF" w:rsidRDefault="00000000">
      <w:pPr>
        <w:pStyle w:val="FirstParagraph"/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Del análisis de los datos y de las visualizaciones construidas, se destacan los siguientes hallazgos:</w:t>
      </w:r>
    </w:p>
    <w:p w14:paraId="3AA9DD80" w14:textId="77777777" w:rsidR="0016571E" w:rsidRPr="00AF1EFF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Existen diferencias significativas en el volumen de ventas entre ciudades y sucursales, lo que sugiere oportunidades de mejora en regiones con menor desempeño.</w:t>
      </w:r>
    </w:p>
    <w:p w14:paraId="21A348CD" w14:textId="77777777" w:rsidR="0016571E" w:rsidRPr="00AF1EFF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Determinadas marcas concentran una proporción relevante de las ventas totales, evidenciando la importancia de una correcta gestión del portafolio de productos.</w:t>
      </w:r>
    </w:p>
    <w:p w14:paraId="102C9706" w14:textId="77777777" w:rsidR="0016571E" w:rsidRPr="00AF1EFF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La evolución temporal de las ventas permite identificar períodos de mayor y menor demanda, lo cual puede ser utilizado para planificar campañas comerciales y estrategias promocionales.</w:t>
      </w:r>
    </w:p>
    <w:p w14:paraId="19AA7DA6" w14:textId="77777777" w:rsidR="0016571E" w:rsidRPr="00AF1EFF" w:rsidRDefault="00000000">
      <w:pPr>
        <w:pStyle w:val="Compact"/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El ticket promedio varía según la combinación de productos vendidos, lo que abre la posibilidad de diseñar estrategias de cross-selling y bundles.</w:t>
      </w:r>
    </w:p>
    <w:p w14:paraId="3CA3132F" w14:textId="15322F65" w:rsidR="0016571E" w:rsidRPr="00AF1EFF" w:rsidRDefault="0016571E">
      <w:pPr>
        <w:rPr>
          <w:rFonts w:ascii="Courier New" w:hAnsi="Courier New" w:cs="Courier New"/>
          <w:sz w:val="22"/>
          <w:szCs w:val="22"/>
        </w:rPr>
      </w:pPr>
    </w:p>
    <w:p w14:paraId="5723CFA9" w14:textId="77777777" w:rsidR="0016571E" w:rsidRPr="00AF1EFF" w:rsidRDefault="00000000">
      <w:pPr>
        <w:pStyle w:val="Ttulo2"/>
        <w:rPr>
          <w:rFonts w:ascii="Courier New" w:hAnsi="Courier New" w:cs="Courier New"/>
          <w:b/>
          <w:bCs/>
          <w:color w:val="auto"/>
          <w:sz w:val="22"/>
          <w:szCs w:val="22"/>
        </w:rPr>
      </w:pPr>
      <w:bookmarkStart w:id="3" w:name="recomendaciones-estratégicas"/>
      <w:bookmarkEnd w:id="2"/>
      <w:r w:rsidRPr="00AF1EFF">
        <w:rPr>
          <w:rFonts w:ascii="Courier New" w:hAnsi="Courier New" w:cs="Courier New"/>
          <w:b/>
          <w:bCs/>
          <w:color w:val="auto"/>
          <w:sz w:val="22"/>
          <w:szCs w:val="22"/>
        </w:rPr>
        <w:lastRenderedPageBreak/>
        <w:t>3. Recomendaciones Estratégicas</w:t>
      </w:r>
    </w:p>
    <w:p w14:paraId="13E25B37" w14:textId="53E0F70E" w:rsidR="0016571E" w:rsidRPr="00AF1EFF" w:rsidRDefault="00AF1EFF">
      <w:pPr>
        <w:pStyle w:val="FirstParagrap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Con</w:t>
      </w:r>
      <w:r w:rsidRPr="00AF1EFF">
        <w:rPr>
          <w:rFonts w:ascii="Courier New" w:hAnsi="Courier New" w:cs="Courier New"/>
          <w:sz w:val="22"/>
          <w:szCs w:val="22"/>
        </w:rPr>
        <w:t xml:space="preserve"> base </w:t>
      </w:r>
      <w:r>
        <w:rPr>
          <w:rFonts w:ascii="Courier New" w:hAnsi="Courier New" w:cs="Courier New"/>
          <w:sz w:val="22"/>
          <w:szCs w:val="22"/>
        </w:rPr>
        <w:t>en</w:t>
      </w:r>
      <w:r w:rsidRPr="00AF1EFF">
        <w:rPr>
          <w:rFonts w:ascii="Courier New" w:hAnsi="Courier New" w:cs="Courier New"/>
          <w:sz w:val="22"/>
          <w:szCs w:val="22"/>
        </w:rPr>
        <w:t xml:space="preserve"> los insights obtenidos, se proponen las siguientes recomendaciones:</w:t>
      </w:r>
    </w:p>
    <w:p w14:paraId="6DD21822" w14:textId="77777777" w:rsidR="0016571E" w:rsidRPr="00AF1EFF" w:rsidRDefault="00000000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b/>
          <w:bCs/>
          <w:sz w:val="22"/>
          <w:szCs w:val="22"/>
        </w:rPr>
        <w:t>Optimización regional</w:t>
      </w:r>
      <w:r w:rsidRPr="00AF1EFF">
        <w:rPr>
          <w:rFonts w:ascii="Courier New" w:hAnsi="Courier New" w:cs="Courier New"/>
          <w:sz w:val="22"/>
          <w:szCs w:val="22"/>
        </w:rPr>
        <w:t>: profundizar el análisis en ciudades y sucursales con menor rendimiento para identificar causas específicas (mix de productos, estrategias comerciales, estacionalidad).</w:t>
      </w:r>
    </w:p>
    <w:p w14:paraId="2FF4B14F" w14:textId="77777777" w:rsidR="0016571E" w:rsidRPr="00AF1EFF" w:rsidRDefault="00000000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b/>
          <w:bCs/>
          <w:sz w:val="22"/>
          <w:szCs w:val="22"/>
        </w:rPr>
        <w:t>Gestión de marcas y productos</w:t>
      </w:r>
      <w:r w:rsidRPr="00AF1EFF">
        <w:rPr>
          <w:rFonts w:ascii="Courier New" w:hAnsi="Courier New" w:cs="Courier New"/>
          <w:sz w:val="22"/>
          <w:szCs w:val="22"/>
        </w:rPr>
        <w:t>: reforzar la disponibilidad y promoción de las marcas con mayor contribución a las ventas, sin descuidar la diversificación del catálogo.</w:t>
      </w:r>
    </w:p>
    <w:p w14:paraId="5942FF56" w14:textId="77777777" w:rsidR="0016571E" w:rsidRPr="00AF1EFF" w:rsidRDefault="00000000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b/>
          <w:bCs/>
          <w:sz w:val="22"/>
          <w:szCs w:val="22"/>
        </w:rPr>
        <w:t>Estrategias comerciales basadas en datos</w:t>
      </w:r>
      <w:r w:rsidRPr="00AF1EFF">
        <w:rPr>
          <w:rFonts w:ascii="Courier New" w:hAnsi="Courier New" w:cs="Courier New"/>
          <w:sz w:val="22"/>
          <w:szCs w:val="22"/>
        </w:rPr>
        <w:t>: utilizar la evolución temporal de las ventas para planificar promociones en períodos de menor demanda y maximizar ingresos en picos de venta.</w:t>
      </w:r>
    </w:p>
    <w:p w14:paraId="7A4A65B3" w14:textId="77777777" w:rsidR="0016571E" w:rsidRPr="00AF1EFF" w:rsidRDefault="00000000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b/>
          <w:bCs/>
          <w:sz w:val="22"/>
          <w:szCs w:val="22"/>
        </w:rPr>
        <w:t>Segmentación de clientes</w:t>
      </w:r>
      <w:r w:rsidRPr="00AF1EFF">
        <w:rPr>
          <w:rFonts w:ascii="Courier New" w:hAnsi="Courier New" w:cs="Courier New"/>
          <w:sz w:val="22"/>
          <w:szCs w:val="22"/>
        </w:rPr>
        <w:t>: complementar el análisis con segmentaciones por edad, género o comportamiento de compra para diseñar campañas más personalizadas.</w:t>
      </w:r>
    </w:p>
    <w:p w14:paraId="132C6D9B" w14:textId="77777777" w:rsidR="0016571E" w:rsidRPr="00AF1EFF" w:rsidRDefault="00000000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b/>
          <w:bCs/>
          <w:sz w:val="22"/>
          <w:szCs w:val="22"/>
        </w:rPr>
        <w:t>Escalabilidad del modelo</w:t>
      </w:r>
      <w:r w:rsidRPr="00AF1EFF">
        <w:rPr>
          <w:rFonts w:ascii="Courier New" w:hAnsi="Courier New" w:cs="Courier New"/>
          <w:sz w:val="22"/>
          <w:szCs w:val="22"/>
        </w:rPr>
        <w:t>: el modelo relacional y el dashboard permiten incorporar nuevas fuentes de datos (costos, inventario, devoluciones) para enriquecer futuros análisis.</w:t>
      </w:r>
    </w:p>
    <w:p w14:paraId="2A75843D" w14:textId="4150E100" w:rsidR="0016571E" w:rsidRPr="00AF1EFF" w:rsidRDefault="0016571E">
      <w:pPr>
        <w:rPr>
          <w:rFonts w:ascii="Courier New" w:hAnsi="Courier New" w:cs="Courier New"/>
          <w:sz w:val="22"/>
          <w:szCs w:val="22"/>
        </w:rPr>
      </w:pPr>
    </w:p>
    <w:p w14:paraId="795EE316" w14:textId="77777777" w:rsidR="0016571E" w:rsidRPr="00AF1EFF" w:rsidRDefault="00000000">
      <w:pPr>
        <w:pStyle w:val="Ttulo2"/>
        <w:rPr>
          <w:rFonts w:ascii="Courier New" w:hAnsi="Courier New" w:cs="Courier New"/>
          <w:b/>
          <w:bCs/>
          <w:color w:val="auto"/>
          <w:sz w:val="22"/>
          <w:szCs w:val="22"/>
        </w:rPr>
      </w:pPr>
      <w:bookmarkStart w:id="4" w:name="valor-del-proyecto"/>
      <w:bookmarkEnd w:id="3"/>
      <w:r w:rsidRPr="00AF1EFF">
        <w:rPr>
          <w:rFonts w:ascii="Courier New" w:hAnsi="Courier New" w:cs="Courier New"/>
          <w:b/>
          <w:bCs/>
          <w:color w:val="auto"/>
          <w:sz w:val="22"/>
          <w:szCs w:val="22"/>
        </w:rPr>
        <w:t>4. Valor del Proyecto</w:t>
      </w:r>
    </w:p>
    <w:p w14:paraId="483AB568" w14:textId="77777777" w:rsidR="0016571E" w:rsidRPr="00AF1EFF" w:rsidRDefault="00000000">
      <w:pPr>
        <w:pStyle w:val="FirstParagraph"/>
        <w:rPr>
          <w:rFonts w:ascii="Courier New" w:hAnsi="Courier New" w:cs="Courier New"/>
          <w:sz w:val="22"/>
          <w:szCs w:val="22"/>
        </w:rPr>
      </w:pPr>
      <w:r w:rsidRPr="00AF1EFF">
        <w:rPr>
          <w:rFonts w:ascii="Courier New" w:hAnsi="Courier New" w:cs="Courier New"/>
          <w:sz w:val="22"/>
          <w:szCs w:val="22"/>
        </w:rPr>
        <w:t>El proyecto cumple con los objetivos planteados y demuestra la capacidad de integrar herramientas de análisis de datos, modelado relacional y visualización para generar información accionable. El enfoque adoptado refleja un flujo de trabajo alineado con prácticas reales de Business Intelligence en entornos corporativos, aportando valor tanto técnico como estratégico.</w:t>
      </w:r>
      <w:bookmarkEnd w:id="0"/>
      <w:bookmarkEnd w:id="4"/>
    </w:p>
    <w:sectPr w:rsidR="0016571E" w:rsidRPr="00AF1EFF">
      <w:head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1D482" w14:textId="77777777" w:rsidR="009B2475" w:rsidRDefault="009B2475" w:rsidP="00AF1EFF">
      <w:pPr>
        <w:spacing w:after="0"/>
      </w:pPr>
      <w:r>
        <w:separator/>
      </w:r>
    </w:p>
  </w:endnote>
  <w:endnote w:type="continuationSeparator" w:id="0">
    <w:p w14:paraId="157C3BA5" w14:textId="77777777" w:rsidR="009B2475" w:rsidRDefault="009B2475" w:rsidP="00AF1E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E07D" w14:textId="77777777" w:rsidR="009B2475" w:rsidRDefault="009B2475" w:rsidP="00AF1EFF">
      <w:pPr>
        <w:spacing w:after="0"/>
      </w:pPr>
      <w:r>
        <w:separator/>
      </w:r>
    </w:p>
  </w:footnote>
  <w:footnote w:type="continuationSeparator" w:id="0">
    <w:p w14:paraId="0336A1F7" w14:textId="77777777" w:rsidR="009B2475" w:rsidRDefault="009B2475" w:rsidP="00AF1E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5269" w14:textId="043EEB41" w:rsidR="00AF1EFF" w:rsidRPr="00AF1EFF" w:rsidRDefault="00AF1EFF">
    <w:pPr>
      <w:pStyle w:val="Encabezado"/>
      <w:rPr>
        <w:sz w:val="18"/>
        <w:szCs w:val="18"/>
        <w:lang w:val="es-AR"/>
      </w:rPr>
    </w:pPr>
    <w:r w:rsidRPr="00AF1EFF">
      <w:rPr>
        <w:sz w:val="18"/>
        <w:szCs w:val="18"/>
        <w:lang w:val="es-AR"/>
      </w:rPr>
      <w:t>Federico Ceballos Torres</w:t>
    </w:r>
    <w:r w:rsidRPr="00AF1EFF">
      <w:rPr>
        <w:sz w:val="18"/>
        <w:szCs w:val="18"/>
        <w:lang w:val="es-AR"/>
      </w:rPr>
      <w:br/>
      <w:t>M3 – DS - SoyHenry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FE7F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E0C0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F88D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80045142">
    <w:abstractNumId w:val="0"/>
  </w:num>
  <w:num w:numId="2" w16cid:durableId="1181091386">
    <w:abstractNumId w:val="1"/>
  </w:num>
  <w:num w:numId="3" w16cid:durableId="1014381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571E"/>
    <w:rsid w:val="000B523E"/>
    <w:rsid w:val="0016571E"/>
    <w:rsid w:val="00395D78"/>
    <w:rsid w:val="00481107"/>
    <w:rsid w:val="008411E9"/>
    <w:rsid w:val="0092071B"/>
    <w:rsid w:val="009B2475"/>
    <w:rsid w:val="00AF1EFF"/>
    <w:rsid w:val="00BB268E"/>
    <w:rsid w:val="00D8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F14D0"/>
  <w15:docId w15:val="{FEABE2BF-FED3-4D97-9E2A-336E0AFF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AF1EF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AF1EFF"/>
  </w:style>
  <w:style w:type="paragraph" w:styleId="Piedepgina">
    <w:name w:val="footer"/>
    <w:basedOn w:val="Normal"/>
    <w:link w:val="PiedepginaCar"/>
    <w:rsid w:val="00AF1EF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AF1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523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Federico Ceballos Torres</cp:lastModifiedBy>
  <cp:revision>4</cp:revision>
  <dcterms:created xsi:type="dcterms:W3CDTF">2025-12-14T20:34:00Z</dcterms:created>
  <dcterms:modified xsi:type="dcterms:W3CDTF">2025-12-19T20:14:00Z</dcterms:modified>
</cp:coreProperties>
</file>