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439" w:rsidRPr="00D71439" w:rsidRDefault="00D71439" w:rsidP="00D71439">
      <w:pPr>
        <w:rPr>
          <w:sz w:val="28"/>
          <w:szCs w:val="28"/>
        </w:rPr>
      </w:pPr>
      <w:r w:rsidRPr="00D71439">
        <w:rPr>
          <w:sz w:val="28"/>
          <w:szCs w:val="28"/>
        </w:rPr>
        <w:t>Trabajo Integrador Domiciliario de matemática 2°</w:t>
      </w:r>
      <w:r w:rsidR="00E11243">
        <w:rPr>
          <w:sz w:val="28"/>
          <w:szCs w:val="28"/>
        </w:rPr>
        <w:t xml:space="preserve">  </w:t>
      </w:r>
      <w:r w:rsidR="00E11243" w:rsidRPr="00E11243">
        <w:rPr>
          <w:sz w:val="28"/>
          <w:szCs w:val="28"/>
          <w:highlight w:val="magenta"/>
        </w:rPr>
        <w:t>CAPOVILA VICTORIA</w:t>
      </w:r>
      <w:r w:rsidR="00E11243">
        <w:rPr>
          <w:sz w:val="28"/>
          <w:szCs w:val="28"/>
        </w:rPr>
        <w:t xml:space="preserve"> </w:t>
      </w:r>
    </w:p>
    <w:p w:rsidR="00D71439" w:rsidRPr="009E3893" w:rsidRDefault="009E3893" w:rsidP="00D71439">
      <w:pPr>
        <w:rPr>
          <w:b/>
          <w:color w:val="FF0000"/>
          <w:sz w:val="32"/>
          <w:szCs w:val="28"/>
        </w:rPr>
      </w:pPr>
      <w:r w:rsidRPr="009E3893">
        <w:rPr>
          <w:b/>
          <w:color w:val="FF0000"/>
          <w:sz w:val="32"/>
          <w:szCs w:val="28"/>
        </w:rPr>
        <w:t>Nota: 5,75</w:t>
      </w:r>
    </w:p>
    <w:p w:rsidR="00D71439" w:rsidRPr="00D71439" w:rsidRDefault="00D71439" w:rsidP="00D71439">
      <w:pPr>
        <w:rPr>
          <w:sz w:val="28"/>
          <w:szCs w:val="28"/>
        </w:rPr>
      </w:pPr>
      <w:r w:rsidRPr="00D71439">
        <w:rPr>
          <w:sz w:val="28"/>
          <w:szCs w:val="28"/>
        </w:rPr>
        <w:t>Criterios de evaluación</w:t>
      </w:r>
    </w:p>
    <w:p w:rsidR="00D71439" w:rsidRPr="00D71439" w:rsidRDefault="00D71439" w:rsidP="00D71439">
      <w:pPr>
        <w:rPr>
          <w:sz w:val="28"/>
          <w:szCs w:val="28"/>
        </w:rPr>
      </w:pPr>
      <w:r w:rsidRPr="00D71439">
        <w:rPr>
          <w:sz w:val="28"/>
          <w:szCs w:val="28"/>
        </w:rPr>
        <w:t> Interpretación de consignas</w:t>
      </w:r>
    </w:p>
    <w:p w:rsidR="00D71439" w:rsidRPr="00D71439" w:rsidRDefault="00D71439" w:rsidP="00D71439">
      <w:pPr>
        <w:rPr>
          <w:sz w:val="28"/>
          <w:szCs w:val="28"/>
        </w:rPr>
      </w:pPr>
      <w:r w:rsidRPr="00D71439">
        <w:rPr>
          <w:sz w:val="28"/>
          <w:szCs w:val="28"/>
        </w:rPr>
        <w:t> Estrategias de resolución</w:t>
      </w:r>
    </w:p>
    <w:p w:rsidR="00D71439" w:rsidRPr="00D71439" w:rsidRDefault="00D71439" w:rsidP="00D71439">
      <w:pPr>
        <w:rPr>
          <w:sz w:val="28"/>
          <w:szCs w:val="28"/>
        </w:rPr>
      </w:pPr>
      <w:r w:rsidRPr="00D71439">
        <w:rPr>
          <w:sz w:val="28"/>
          <w:szCs w:val="28"/>
        </w:rPr>
        <w:t> Lenguaje matemático adecuado en las justificaciones</w:t>
      </w:r>
      <w:bookmarkStart w:id="0" w:name="_GoBack"/>
      <w:bookmarkEnd w:id="0"/>
    </w:p>
    <w:p w:rsidR="00D71439" w:rsidRPr="00D71439" w:rsidRDefault="00D71439" w:rsidP="00D71439">
      <w:pPr>
        <w:rPr>
          <w:sz w:val="28"/>
          <w:szCs w:val="28"/>
        </w:rPr>
      </w:pPr>
      <w:r w:rsidRPr="00D71439">
        <w:rPr>
          <w:sz w:val="28"/>
          <w:szCs w:val="28"/>
        </w:rPr>
        <w:t> Procedimientos elegidos</w:t>
      </w:r>
    </w:p>
    <w:p w:rsidR="00D71439" w:rsidRPr="00D71439" w:rsidRDefault="00D71439" w:rsidP="00D71439">
      <w:pPr>
        <w:rPr>
          <w:sz w:val="28"/>
          <w:szCs w:val="28"/>
        </w:rPr>
      </w:pPr>
      <w:r w:rsidRPr="00D71439">
        <w:rPr>
          <w:sz w:val="28"/>
          <w:szCs w:val="28"/>
        </w:rPr>
        <w:t> Uso de conocimientos previos</w:t>
      </w:r>
    </w:p>
    <w:p w:rsidR="00D71439" w:rsidRPr="00D71439" w:rsidRDefault="00D71439" w:rsidP="00D71439">
      <w:pPr>
        <w:rPr>
          <w:sz w:val="28"/>
          <w:szCs w:val="28"/>
        </w:rPr>
      </w:pPr>
    </w:p>
    <w:p w:rsidR="00D71439" w:rsidRPr="00D71439" w:rsidRDefault="00D71439" w:rsidP="00D71439">
      <w:pPr>
        <w:rPr>
          <w:sz w:val="28"/>
          <w:szCs w:val="28"/>
        </w:rPr>
      </w:pPr>
      <w:r w:rsidRPr="00D71439">
        <w:rPr>
          <w:sz w:val="28"/>
          <w:szCs w:val="28"/>
        </w:rPr>
        <w:t>Consignas (cada ítem vale 2 puntos)</w:t>
      </w:r>
    </w:p>
    <w:p w:rsidR="00D71439" w:rsidRPr="00D71439" w:rsidRDefault="00D71439" w:rsidP="00D71439">
      <w:pPr>
        <w:rPr>
          <w:sz w:val="28"/>
          <w:szCs w:val="28"/>
        </w:rPr>
      </w:pPr>
      <w:r w:rsidRPr="00D71439">
        <w:rPr>
          <w:sz w:val="28"/>
          <w:szCs w:val="28"/>
        </w:rPr>
        <w:t>1. Hallar el área sombreada</w:t>
      </w:r>
      <w:r w:rsidR="009E3893">
        <w:rPr>
          <w:sz w:val="28"/>
          <w:szCs w:val="28"/>
        </w:rPr>
        <w:t xml:space="preserve"> </w:t>
      </w:r>
      <w:r w:rsidR="009E3893" w:rsidRPr="009E3893">
        <w:rPr>
          <w:color w:val="FF0000"/>
          <w:sz w:val="28"/>
          <w:szCs w:val="28"/>
        </w:rPr>
        <w:t>bien, pero debías entregarlo en Word (1,75 puntos)</w:t>
      </w:r>
    </w:p>
    <w:p w:rsidR="00D71439" w:rsidRPr="00D71439" w:rsidRDefault="00D71439" w:rsidP="00D71439">
      <w:pPr>
        <w:rPr>
          <w:sz w:val="28"/>
          <w:szCs w:val="28"/>
        </w:rPr>
      </w:pPr>
    </w:p>
    <w:p w:rsidR="00D71439" w:rsidRDefault="00D71439" w:rsidP="00D71439">
      <w:pPr>
        <w:rPr>
          <w:sz w:val="28"/>
          <w:szCs w:val="28"/>
        </w:rPr>
      </w:pPr>
      <w:r w:rsidRPr="00D71439">
        <w:rPr>
          <w:sz w:val="28"/>
          <w:szCs w:val="28"/>
        </w:rPr>
        <w:t>2. Explicar por qué la frase es falsa. “Para calcular el área sombreada, siempre tengo que tener</w:t>
      </w:r>
      <w:r w:rsidR="00C7439A">
        <w:rPr>
          <w:sz w:val="28"/>
          <w:szCs w:val="28"/>
        </w:rPr>
        <w:t xml:space="preserve"> </w:t>
      </w:r>
      <w:r w:rsidRPr="00D71439">
        <w:rPr>
          <w:sz w:val="28"/>
          <w:szCs w:val="28"/>
        </w:rPr>
        <w:t>dos figuras (una blanca y otro de color), cuyas áreas se restan”</w:t>
      </w:r>
    </w:p>
    <w:p w:rsidR="00C7439A" w:rsidRPr="00D71439" w:rsidRDefault="00C7439A" w:rsidP="00D71439">
      <w:pPr>
        <w:rPr>
          <w:sz w:val="28"/>
          <w:szCs w:val="28"/>
        </w:rPr>
      </w:pPr>
      <w:r>
        <w:rPr>
          <w:sz w:val="28"/>
          <w:szCs w:val="28"/>
        </w:rPr>
        <w:t xml:space="preserve">La frase es falsa ya que podes tener </w:t>
      </w:r>
      <w:proofErr w:type="gramStart"/>
      <w:r>
        <w:rPr>
          <w:sz w:val="28"/>
          <w:szCs w:val="28"/>
        </w:rPr>
        <w:t>mas</w:t>
      </w:r>
      <w:proofErr w:type="gramEnd"/>
      <w:r>
        <w:rPr>
          <w:sz w:val="28"/>
          <w:szCs w:val="28"/>
        </w:rPr>
        <w:t xml:space="preserve"> de una figura dentro de otra y así restarle sus áreas. </w:t>
      </w:r>
      <w:r w:rsidR="009E3893" w:rsidRPr="009E3893">
        <w:rPr>
          <w:color w:val="FF0000"/>
          <w:sz w:val="28"/>
          <w:szCs w:val="28"/>
        </w:rPr>
        <w:t>Bien (2 puntos)</w:t>
      </w:r>
    </w:p>
    <w:p w:rsidR="00E837A2" w:rsidRDefault="00D71439" w:rsidP="00D71439">
      <w:pPr>
        <w:rPr>
          <w:sz w:val="28"/>
          <w:szCs w:val="28"/>
        </w:rPr>
      </w:pPr>
      <w:r w:rsidRPr="00D71439">
        <w:rPr>
          <w:sz w:val="28"/>
          <w:szCs w:val="28"/>
        </w:rPr>
        <w:t>3. Hallar el área blan</w:t>
      </w:r>
      <w:r w:rsidR="00E837A2">
        <w:rPr>
          <w:sz w:val="28"/>
          <w:szCs w:val="28"/>
        </w:rPr>
        <w:t>ca.</w:t>
      </w:r>
    </w:p>
    <w:p w:rsidR="00E837A2" w:rsidRPr="00D71439" w:rsidRDefault="009E3893" w:rsidP="00D71439">
      <w:pPr>
        <w:rPr>
          <w:sz w:val="28"/>
          <w:szCs w:val="28"/>
        </w:rPr>
      </w:pPr>
      <w:r w:rsidRPr="009E3893">
        <w:rPr>
          <w:color w:val="FF0000"/>
          <w:sz w:val="28"/>
          <w:szCs w:val="28"/>
        </w:rPr>
        <w:t>Mal. Tenías que sumar las áreas del rectángulo y la circunferencia y restarle el rombo (0 puntos)</w:t>
      </w:r>
    </w:p>
    <w:p w:rsidR="00D71439" w:rsidRDefault="00D71439" w:rsidP="00D71439">
      <w:pPr>
        <w:rPr>
          <w:sz w:val="28"/>
          <w:szCs w:val="28"/>
        </w:rPr>
      </w:pPr>
      <w:r w:rsidRPr="00D71439">
        <w:rPr>
          <w:sz w:val="28"/>
          <w:szCs w:val="28"/>
        </w:rPr>
        <w:t>4. Pensar y responder: El área sombreada puede calcularse con cualquier tipo de figura</w:t>
      </w:r>
      <w:proofErr w:type="gramStart"/>
      <w:r w:rsidRPr="00D71439">
        <w:rPr>
          <w:sz w:val="28"/>
          <w:szCs w:val="28"/>
        </w:rPr>
        <w:t>?</w:t>
      </w:r>
      <w:proofErr w:type="gramEnd"/>
      <w:r w:rsidR="00E77C3F">
        <w:rPr>
          <w:sz w:val="28"/>
          <w:szCs w:val="28"/>
        </w:rPr>
        <w:t xml:space="preserve"> </w:t>
      </w:r>
      <w:r w:rsidRPr="00D71439">
        <w:rPr>
          <w:sz w:val="28"/>
          <w:szCs w:val="28"/>
        </w:rPr>
        <w:t>Justifica</w:t>
      </w:r>
      <w:r w:rsidR="00E77C3F">
        <w:rPr>
          <w:sz w:val="28"/>
          <w:szCs w:val="28"/>
        </w:rPr>
        <w:t xml:space="preserve"> </w:t>
      </w:r>
    </w:p>
    <w:p w:rsidR="00E77C3F" w:rsidRPr="009E3893" w:rsidRDefault="00E77C3F" w:rsidP="00D71439">
      <w:pPr>
        <w:rPr>
          <w:color w:val="FF0000"/>
          <w:sz w:val="28"/>
          <w:szCs w:val="28"/>
        </w:rPr>
      </w:pPr>
      <w:r>
        <w:rPr>
          <w:sz w:val="28"/>
          <w:szCs w:val="28"/>
        </w:rPr>
        <w:t>Si se puede hacer con cualquier figura ya que toda figura tiene su propia área</w:t>
      </w:r>
      <w:r w:rsidR="006A4FCF">
        <w:rPr>
          <w:sz w:val="28"/>
          <w:szCs w:val="28"/>
        </w:rPr>
        <w:t xml:space="preserve">. </w:t>
      </w:r>
      <w:r w:rsidR="009E3893" w:rsidRPr="009E3893">
        <w:rPr>
          <w:color w:val="FF0000"/>
          <w:sz w:val="28"/>
          <w:szCs w:val="28"/>
        </w:rPr>
        <w:t>Bien (2 puntos)</w:t>
      </w:r>
    </w:p>
    <w:p w:rsidR="005868B4" w:rsidRDefault="00D71439" w:rsidP="00D71439">
      <w:pPr>
        <w:rPr>
          <w:sz w:val="28"/>
          <w:szCs w:val="28"/>
        </w:rPr>
      </w:pPr>
      <w:r w:rsidRPr="00D71439">
        <w:rPr>
          <w:sz w:val="28"/>
          <w:szCs w:val="28"/>
        </w:rPr>
        <w:t>5. Pensar y responder: Con qué campo numérico (de los trabajados) puedo abordar el tema de</w:t>
      </w:r>
      <w:r w:rsidR="006A4FCF">
        <w:rPr>
          <w:sz w:val="28"/>
          <w:szCs w:val="28"/>
        </w:rPr>
        <w:t xml:space="preserve"> </w:t>
      </w:r>
      <w:r w:rsidRPr="00D71439">
        <w:rPr>
          <w:sz w:val="28"/>
          <w:szCs w:val="28"/>
        </w:rPr>
        <w:t>área sombreada</w:t>
      </w:r>
      <w:proofErr w:type="gramStart"/>
      <w:r w:rsidRPr="00D71439">
        <w:rPr>
          <w:sz w:val="28"/>
          <w:szCs w:val="28"/>
        </w:rPr>
        <w:t>?</w:t>
      </w:r>
      <w:proofErr w:type="gramEnd"/>
      <w:r w:rsidRPr="00D71439">
        <w:rPr>
          <w:sz w:val="28"/>
          <w:szCs w:val="28"/>
        </w:rPr>
        <w:t xml:space="preserve"> Justifica</w:t>
      </w:r>
      <w:r>
        <w:rPr>
          <w:sz w:val="28"/>
          <w:szCs w:val="28"/>
        </w:rPr>
        <w:t>0</w:t>
      </w:r>
    </w:p>
    <w:p w:rsidR="006A4FCF" w:rsidRPr="00D71439" w:rsidRDefault="006A4FCF" w:rsidP="00D71439">
      <w:pPr>
        <w:rPr>
          <w:sz w:val="28"/>
          <w:szCs w:val="28"/>
        </w:rPr>
      </w:pPr>
      <w:r>
        <w:rPr>
          <w:sz w:val="28"/>
          <w:szCs w:val="28"/>
        </w:rPr>
        <w:t xml:space="preserve">El </w:t>
      </w:r>
      <w:r w:rsidR="00483B6E">
        <w:rPr>
          <w:sz w:val="28"/>
          <w:szCs w:val="28"/>
        </w:rPr>
        <w:t xml:space="preserve">área sombreada aborda el tema de perímetro y área. Ya que en </w:t>
      </w:r>
      <w:r w:rsidR="00E837A2">
        <w:rPr>
          <w:sz w:val="28"/>
          <w:szCs w:val="28"/>
        </w:rPr>
        <w:t xml:space="preserve">perímetro y área se calcula el área de las figuras. </w:t>
      </w:r>
      <w:r w:rsidR="009E3893" w:rsidRPr="009E3893">
        <w:rPr>
          <w:color w:val="FF0000"/>
          <w:sz w:val="28"/>
          <w:szCs w:val="28"/>
        </w:rPr>
        <w:t xml:space="preserve">No responde, pedía campo numérico (reales, naturales, </w:t>
      </w:r>
      <w:proofErr w:type="spellStart"/>
      <w:r w:rsidR="009E3893" w:rsidRPr="009E3893">
        <w:rPr>
          <w:color w:val="FF0000"/>
          <w:sz w:val="28"/>
          <w:szCs w:val="28"/>
        </w:rPr>
        <w:t>etc</w:t>
      </w:r>
      <w:proofErr w:type="spellEnd"/>
      <w:r w:rsidR="009E3893" w:rsidRPr="009E3893">
        <w:rPr>
          <w:color w:val="FF0000"/>
          <w:sz w:val="28"/>
          <w:szCs w:val="28"/>
        </w:rPr>
        <w:t>) (0 punto)</w:t>
      </w:r>
    </w:p>
    <w:sectPr w:rsidR="006A4FCF" w:rsidRPr="00D714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439"/>
    <w:rsid w:val="00483B6E"/>
    <w:rsid w:val="005868B4"/>
    <w:rsid w:val="006A4FCF"/>
    <w:rsid w:val="009E3893"/>
    <w:rsid w:val="00C7439A"/>
    <w:rsid w:val="00D71439"/>
    <w:rsid w:val="00E11243"/>
    <w:rsid w:val="00E77C3F"/>
    <w:rsid w:val="00E8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F68DBD-A380-4CD4-AD1D-4A21A3B00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digige541@gmail.com</dc:creator>
  <cp:keywords/>
  <dc:description/>
  <cp:lastModifiedBy>federico linari</cp:lastModifiedBy>
  <cp:revision>2</cp:revision>
  <dcterms:created xsi:type="dcterms:W3CDTF">2020-05-02T07:43:00Z</dcterms:created>
  <dcterms:modified xsi:type="dcterms:W3CDTF">2020-05-02T07:43:00Z</dcterms:modified>
</cp:coreProperties>
</file>