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lan-de-labor-de-la-tesis"/>
    <w:p>
      <w:pPr>
        <w:pStyle w:val="Heading1"/>
      </w:pPr>
      <w:r>
        <w:t xml:space="preserve">Plan de labor de la tesis</w:t>
      </w:r>
    </w:p>
    <w:p>
      <w:pPr>
        <w:pStyle w:val="FirstParagraph"/>
      </w:pPr>
      <w:r>
        <w:t xml:space="preserve">Documento de trabajo del grupo. Última actualización: 11 de octubre de 2026.</w:t>
      </w:r>
    </w:p>
    <w:bookmarkStart w:id="9" w:name="para-qué-sirve-este-documento"/>
    <w:p>
      <w:pPr>
        <w:pStyle w:val="Heading2"/>
      </w:pPr>
      <w:r>
        <w:t xml:space="preserve">1. Para qué sirve este documento</w:t>
      </w:r>
    </w:p>
    <w:p>
      <w:pPr>
        <w:pStyle w:val="FirstParagraph"/>
      </w:pPr>
      <w:r>
        <w:t xml:space="preserve">Ordena qué está hecho, qué se decidió y qué falta, paso a paso, para que todos trabajemos sobre</w:t>
      </w:r>
      <w:r>
        <w:t xml:space="preserve"> </w:t>
      </w:r>
      <w:r>
        <w:t xml:space="preserve">la misma base. Cada decisión tiene su justificación. Cada número viene de un archivo del</w:t>
      </w:r>
      <w:r>
        <w:t xml:space="preserve"> </w:t>
      </w:r>
      <w:r>
        <w:t xml:space="preserve">repositorio o de una fuente citada. Lo que todavía no está verificado aparece marcado como</w:t>
      </w:r>
      <w:r>
        <w:t xml:space="preserve"> </w:t>
      </w:r>
      <w:r>
        <w:t xml:space="preserve">pendiente.</w:t>
      </w:r>
    </w:p>
    <w:bookmarkEnd w:id="9"/>
    <w:bookmarkStart w:id="10" w:name="de-dónde-partimos"/>
    <w:p>
      <w:pPr>
        <w:pStyle w:val="Heading2"/>
      </w:pPr>
      <w:r>
        <w:t xml:space="preserve">2. De dónde partimos</w:t>
      </w:r>
    </w:p>
    <w:p>
      <w:pPr>
        <w:pStyle w:val="FirstParagraph"/>
      </w:pPr>
      <w:r>
        <w:rPr>
          <w:b/>
          <w:bCs/>
        </w:rPr>
        <w:t xml:space="preserve">Lo que ya existe en el repositorio:</w:t>
      </w:r>
    </w:p>
    <w:p>
      <w:pPr>
        <w:pStyle w:val="Compact"/>
        <w:numPr>
          <w:ilvl w:val="0"/>
          <w:numId w:val="1001"/>
        </w:numPr>
      </w:pPr>
      <w:r>
        <w:t xml:space="preserve">Una base trimestral 1996-2025 (120 trimestres) con deuda/PIB, resultado primario/PIB, PIB</w:t>
      </w:r>
      <w:r>
        <w:t xml:space="preserve"> </w:t>
      </w:r>
      <w:r>
        <w:t xml:space="preserve">real, tipo de cambio real multilateral (TCRM), EMBI+ y VIX.</w:t>
      </w:r>
    </w:p>
    <w:p>
      <w:pPr>
        <w:pStyle w:val="Compact"/>
        <w:numPr>
          <w:ilvl w:val="0"/>
          <w:numId w:val="1001"/>
        </w:numPr>
      </w:pPr>
      <w:r>
        <w:t xml:space="preserve">Un modelo SVAR restringido estimado sobre esa base. Su descomposición de varianza a 20</w:t>
      </w:r>
      <w:r>
        <w:t xml:space="preserve"> </w:t>
      </w:r>
      <w:r>
        <w:t xml:space="preserve">trimestres atribuye la variabilidad de la deuda/PIB así: 54,2% a la inercia propia de la</w:t>
      </w:r>
      <w:r>
        <w:t xml:space="preserve"> </w:t>
      </w:r>
      <w:r>
        <w:t xml:space="preserve">deuda, 25,8% a los canales cambiario y de riesgo soberano y 20,0% a los canales fiscal y de</w:t>
      </w:r>
      <w:r>
        <w:t xml:space="preserve"> </w:t>
      </w:r>
      <w:r>
        <w:t xml:space="preserve">actividad.</w:t>
      </w:r>
    </w:p>
    <w:p>
      <w:pPr>
        <w:pStyle w:val="Compact"/>
        <w:numPr>
          <w:ilvl w:val="0"/>
          <w:numId w:val="1001"/>
        </w:numPr>
      </w:pPr>
      <w:r>
        <w:t xml:space="preserve">Un VECM que no encuentra reacción del resultado primario ante la deuda (p = 0,996).</w:t>
      </w:r>
    </w:p>
    <w:p>
      <w:pPr>
        <w:pStyle w:val="Compact"/>
        <w:numPr>
          <w:ilvl w:val="0"/>
          <w:numId w:val="1001"/>
        </w:numPr>
      </w:pPr>
      <w:r>
        <w:t xml:space="preserve">Una simulación de Monte Carlo de 1.000 trayectorias para 2026-2035, que ya separa la deuda en</w:t>
      </w:r>
      <w:r>
        <w:t xml:space="preserve"> </w:t>
      </w:r>
      <w:r>
        <w:t xml:space="preserve">pesos de la deuda en dólares.</w:t>
      </w:r>
    </w:p>
    <w:p>
      <w:pPr>
        <w:pStyle w:val="Compact"/>
        <w:numPr>
          <w:ilvl w:val="0"/>
          <w:numId w:val="1001"/>
        </w:numPr>
      </w:pPr>
      <w:r>
        <w:t xml:space="preserve">Una tesis en LaTeX de 81 páginas, que hay que reorganizar según las decisiones de este</w:t>
      </w:r>
      <w:r>
        <w:t xml:space="preserve"> </w:t>
      </w:r>
      <w:r>
        <w:t xml:space="preserve">documento.</w:t>
      </w:r>
    </w:p>
    <w:p>
      <w:pPr>
        <w:pStyle w:val="FirstParagraph"/>
      </w:pPr>
      <w:r>
        <w:rPr>
          <w:b/>
          <w:bCs/>
        </w:rPr>
        <w:t xml:space="preserve">Lo que aportó Santiago (archivos del 26 de septiembre y del 7 de octubre de 2026):</w:t>
      </w:r>
    </w:p>
    <w:p>
      <w:pPr>
        <w:pStyle w:val="Compact"/>
        <w:numPr>
          <w:ilvl w:val="0"/>
          <w:numId w:val="1002"/>
        </w:numPr>
      </w:pPr>
      <w:r>
        <w:t xml:space="preserve">Una Introducción con pregunta, objetivos e hipótesis nuevos.</w:t>
      </w:r>
    </w:p>
    <w:p>
      <w:pPr>
        <w:pStyle w:val="Compact"/>
        <w:numPr>
          <w:ilvl w:val="0"/>
          <w:numId w:val="1002"/>
        </w:numPr>
      </w:pPr>
      <w:r>
        <w:t xml:space="preserve">El shock de la tasa de la FED como pregunta específica.</w:t>
      </w:r>
    </w:p>
    <w:p>
      <w:pPr>
        <w:pStyle w:val="Compact"/>
        <w:numPr>
          <w:ilvl w:val="0"/>
          <w:numId w:val="1002"/>
        </w:numPr>
      </w:pPr>
      <w:r>
        <w:t xml:space="preserve">El perímetro consolidado SPNF y BCRA.</w:t>
      </w:r>
    </w:p>
    <w:p>
      <w:pPr>
        <w:pStyle w:val="Compact"/>
        <w:numPr>
          <w:ilvl w:val="0"/>
          <w:numId w:val="1002"/>
        </w:numPr>
      </w:pPr>
      <w:r>
        <w:t xml:space="preserve">Notas de metodología.</w:t>
      </w:r>
    </w:p>
    <w:bookmarkEnd w:id="10"/>
    <w:bookmarkStart w:id="14" w:name="Xd89659cf47934cd7c8c10f214dc174c1c6038dd"/>
    <w:p>
      <w:pPr>
        <w:pStyle w:val="Heading2"/>
      </w:pPr>
      <w:r>
        <w:t xml:space="preserve">2b. Inventario técnico: qué tenemos y qué se hace con cada cosa</w:t>
      </w:r>
    </w:p>
    <w:p>
      <w:pPr>
        <w:pStyle w:val="FirstParagraph"/>
      </w:pPr>
      <w:r>
        <w:t xml:space="preserve">Hay mucho hecho. La mayor parte se reutiliza; lo que falta son cuatro piezas.</w:t>
      </w:r>
    </w:p>
    <w:bookmarkStart w:id="11" w:name="datos"/>
    <w:p>
      <w:pPr>
        <w:pStyle w:val="Heading3"/>
      </w:pPr>
      <w:r>
        <w:t xml:space="preserve">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Base 1996-2025 (120 trimestres): deuda/PIB del SPNF, resultado primario/PIB, PIB real, brecha del producto, TCRM, EMBI+, VIX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datos/dataset_consolidado_1996_2025.csv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Hay que sumarle la deuda consolidada y la tasa de la FED.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Empalmes pre-2004 (deuda, resultado primario y PIB real, por el método de Denton) y TCRM de 1996 extrapolado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codigo/ingesta_datos/empalme_*.py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construir_dataset_1996_2025.py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Pasivos remunerados del BCRA, 2004-2025, de la API del BCRA (LEBAC/NOBAC, Leliq/Notaliq, pases)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codigo/ingesta_datos/ingesta_bcra_pasivos.py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datos/procesados/bcra_pasivos_trimestral.csv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adapta: hay que llevarla a 1996 y revisar el denominador (ver abajo).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VIX y volatilidad del Bovespa, 1996-2025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ingesta_instrumentos_1996_2025.py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VIX se reutiliza como variable exógena.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Spread soberano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fase22_*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Problema detectado con los pasivos del BCRA.</w:t>
      </w:r>
      <w:r>
        <w:t xml:space="preserve"> </w:t>
      </w:r>
      <w:r>
        <w:t xml:space="preserve">Nuestra serie da 9,5% del PIB en 2022-2023.</w:t>
      </w:r>
      <w:r>
        <w:t xml:space="preserve"> </w:t>
      </w:r>
      <w:r>
        <w:t xml:space="preserve">El FMI da 18,4% en 2023 (16,2% solo en pesos) sobre el PIB promedio del año, y 11,0% sobre el PIB</w:t>
      </w:r>
      <w:r>
        <w:t xml:space="preserve"> </w:t>
      </w:r>
      <w:r>
        <w:t xml:space="preserve">anualizado del cuarto trimestre (FMI, 2025, anexo II). La diferencia viene del denominador, que</w:t>
      </w:r>
      <w:r>
        <w:t xml:space="preserve"> </w:t>
      </w:r>
      <w:r>
        <w:t xml:space="preserve">pesa mucho con inflación alta. Hay que elegir uno, justificarlo y usar el mismo para la deuda del</w:t>
      </w:r>
      <w:r>
        <w:t xml:space="preserve"> </w:t>
      </w:r>
      <w:r>
        <w:t xml:space="preserve">SPNF y para la del BCRA.</w:t>
      </w:r>
    </w:p>
    <w:bookmarkEnd w:id="11"/>
    <w:bookmarkStart w:id="12" w:name="modelos"/>
    <w:p>
      <w:pPr>
        <w:pStyle w:val="Heading3"/>
      </w:pPr>
      <w:r>
        <w:t xml:space="preserve">Modelos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Pruebas de raíz unitaria (ADF, KPSS, DF-GLS) y de quiebre único (Zivot-Andrews)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fase1_estacionariedad.py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y se corre sobre la deuda consolidada.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Quiebres múltiples de Bai-Perron, con implementación propia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fase9_bai_perron.py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bai_perron.py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Los quiebres pasan a ser dummies del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Johansen y VECM (versión anterior)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fase3b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Reemplazados por la ecuación fiscal del SVARX (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fase24</w:t>
            </w:r>
            <w:r>
              <w:rPr>
                <w:rFonts w:ascii="Calibri" w:hAnsi="Calibri"/>
                <w:sz w:val="20"/>
              </w:rPr>
              <w:t xml:space="preserve">), estimada sobre la deuda consolidada con datos reales. Su reacción fiscal da 0,019 (p = 0,005), significativa, a diferencia del VECM anterior.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SVAR restringido: brecha del producto, resultado primario, EMBI+, TCRM y deuda, con elasticidad cíclica de 0,25 citada 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1.000 réplicas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fase19_var_restringido_macro.py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fase23_reestimacion_1996_2025.py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núcleo. Se extiende a SVARX: el VAR de statsmodels ya admite variables exógenas, y la identificación se aplica igual sobre los residuos.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Selección de rezagos, multicolinealidad y diagnósticos de residuos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para validar 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Grados de libertad de la t de Student, estimados por momentos (nu = 4,8)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fase17_calibracion_nu_dsa.py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Umbral de Hansen y TVECM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fase5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como resultado complementario de H1a.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Simulación (DSA)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fase6_sostenibilidad_deuda.py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b/>
                <w:bCs/>
                <w:sz w:val="20"/>
              </w:rPr>
              <w:t xml:space="preserve">Se rehace en buena parte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(ver abajo). Se reutilizan la identidad con separación de monedas, la t de Student y los gráficos.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DOLS, variables instrumentales, CIR, DCC-GARCH, dependencia de colas,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fase11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Quedan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hay que rehacer la simulación.</w:t>
      </w:r>
      <w:r>
        <w:t xml:space="preserve"> </w:t>
      </w:r>
      <w:r>
        <w:t xml:space="preserve">Revisada con el criterio de que todo número tiene que</w:t>
      </w:r>
      <w:r>
        <w:t xml:space="preserve"> </w:t>
      </w:r>
      <w:r>
        <w:t xml:space="preserve">estar justificado, tiene cuatro problemas:</w:t>
      </w:r>
    </w:p>
    <w:p>
      <w:pPr>
        <w:pStyle w:val="Compact"/>
        <w:numPr>
          <w:ilvl w:val="0"/>
          <w:numId w:val="1003"/>
        </w:numPr>
      </w:pPr>
      <w:r>
        <w:t xml:space="preserve">Los desvíos de los shocks (1,5%, 4%, 5%, 2% y 15%) están</w:t>
      </w:r>
      <w:r>
        <w:t xml:space="preserve"> </w:t>
      </w:r>
      <w:r>
        <w:t xml:space="preserve">“calibrados a mano”</w:t>
      </w:r>
      <w:r>
        <w:t xml:space="preserve">, según el propio</w:t>
      </w:r>
      <w:r>
        <w:t xml:space="preserve"> </w:t>
      </w:r>
      <w:r>
        <w:t xml:space="preserve">código.</w:t>
      </w:r>
    </w:p>
    <w:p>
      <w:pPr>
        <w:pStyle w:val="Compact"/>
        <w:numPr>
          <w:ilvl w:val="0"/>
          <w:numId w:val="1003"/>
        </w:numPr>
      </w:pPr>
      <w:r>
        <w:t xml:space="preserve">Los parámetros del escenario base (resultado primario 1,5%, crecimiento 3,5%, tasa en pesos 6%,</w:t>
      </w:r>
      <w:r>
        <w:t xml:space="preserve"> </w:t>
      </w:r>
      <w:r>
        <w:t xml:space="preserve">tasa en dólares 7,5%) no tienen fuente.</w:t>
      </w:r>
    </w:p>
    <w:p>
      <w:pPr>
        <w:pStyle w:val="Compact"/>
        <w:numPr>
          <w:ilvl w:val="0"/>
          <w:numId w:val="1003"/>
        </w:numPr>
      </w:pPr>
      <w:r>
        <w:t xml:space="preserve">Los shocks son independientes año a año: el SVAR solo aporta las correlaciones, no su</w:t>
      </w:r>
      <w:r>
        <w:t xml:space="preserve"> </w:t>
      </w:r>
      <w:r>
        <w:t xml:space="preserve">dinámica. Así no hay efectos conjuntos, que es lo que pide la pregunta.</w:t>
      </w:r>
    </w:p>
    <w:p>
      <w:pPr>
        <w:pStyle w:val="Compact"/>
        <w:numPr>
          <w:ilvl w:val="0"/>
          <w:numId w:val="1003"/>
        </w:numPr>
      </w:pPr>
      <w:r>
        <w:t xml:space="preserve">Usa el criterio de 100% del PIB, que salió de las hipótesis.</w:t>
      </w:r>
    </w:p>
    <w:p>
      <w:pPr>
        <w:pStyle w:val="FirstParagraph"/>
      </w:pPr>
      <w:r>
        <w:t xml:space="preserve">La versión nueva simula directamente desde el SVARX estimado (remuestreo de residuos, con sus</w:t>
      </w:r>
      <w:r>
        <w:t xml:space="preserve"> </w:t>
      </w:r>
      <w:r>
        <w:t xml:space="preserve">rezagos), acumula la deuda con la identidad y calcula las métricas del FMI. Para el escenario base</w:t>
      </w:r>
      <w:r>
        <w:t xml:space="preserve"> </w:t>
      </w:r>
      <w:r>
        <w:t xml:space="preserve">hay que adoptar un sendero con fuente, por ejemplo el del propio FMI (2025), lo que además permite</w:t>
      </w:r>
      <w:r>
        <w:t xml:space="preserve"> </w:t>
      </w:r>
      <w:r>
        <w:t xml:space="preserve">comparar con su resultado.</w:t>
      </w:r>
    </w:p>
    <w:bookmarkEnd w:id="12"/>
    <w:bookmarkStart w:id="13" w:name="las-cuatro-piezas-que-faltaban-hechas"/>
    <w:p>
      <w:pPr>
        <w:pStyle w:val="Heading3"/>
      </w:pPr>
      <w:r>
        <w:t xml:space="preserve">Las cuatro piezas que faltaban (hechas)</w:t>
      </w:r>
    </w:p>
    <w:p>
      <w:pPr>
        <w:pStyle w:val="Compact"/>
        <w:numPr>
          <w:ilvl w:val="0"/>
          <w:numId w:val="1004"/>
        </w:numPr>
      </w:pPr>
      <w:r>
        <w:t xml:space="preserve">Deuda consolidada 1996-2025 con un denominador coherente: bruta, neta a valor libros y neta con las Letras Intransferibles a valor nominal (la principal).</w:t>
      </w:r>
    </w:p>
    <w:p>
      <w:pPr>
        <w:pStyle w:val="Compact"/>
        <w:numPr>
          <w:ilvl w:val="0"/>
          <w:numId w:val="1004"/>
        </w:numPr>
      </w:pPr>
      <w:r>
        <w:t xml:space="preserve">Tasa de la FED y tasa sombra de Wu y Xia, trimestrales.</w:t>
      </w:r>
    </w:p>
    <w:p>
      <w:pPr>
        <w:pStyle w:val="Compact"/>
        <w:numPr>
          <w:ilvl w:val="0"/>
          <w:numId w:val="1004"/>
        </w:numPr>
      </w:pPr>
      <w:r>
        <w:t xml:space="preserve">SVARX nuevo (</w:t>
      </w:r>
      <w:r>
        <w:rPr>
          <w:rStyle w:val="VerbatimChar"/>
        </w:rPr>
        <w:t xml:space="preserve">fase24_svarx_1996_2025.py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Simulación desde el SVARX con la métrica del FMI (</w:t>
      </w:r>
      <w:r>
        <w:rPr>
          <w:rStyle w:val="VerbatimChar"/>
        </w:rPr>
        <w:t xml:space="preserve">fase25_simulacion_dsa_svarx.py</w:t>
      </w:r>
      <w:r>
        <w:t xml:space="preserve">), más la variante con shocks a la manera del FMI y su diagnóstico (</w:t>
      </w:r>
      <w:r>
        <w:rPr>
          <w:rStyle w:val="VerbatimChar"/>
        </w:rPr>
        <w:t xml:space="preserve">fase25b_diagnostico_abanico_fmi.py</w:t>
      </w:r>
      <w:r>
        <w:t xml:space="preserve">).</w:t>
      </w:r>
    </w:p>
    <w:bookmarkEnd w:id="13"/>
    <w:bookmarkEnd w:id="14"/>
    <w:bookmarkStart w:id="15" w:name="decisiones-tomadas"/>
    <w:p>
      <w:pPr>
        <w:pStyle w:val="Heading2"/>
      </w:pPr>
      <w:r>
        <w:t xml:space="preserve">3. Decisiones tomadas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N.°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Introducción de Santiago del 7/10 es la base, completada con la Justificación y los objetivos específicos del texto LaTeX.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versión más reciente y ya fue revisada.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el trabajo empírico (modelo y simulación) se hace sobre la deuda consolidada SPNF y BCRA.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perímetro que plantea la pregunta de investigación, y el FMI considera deuda pública a los pasivos del banco central cuando pueden financiar al Tesoro o implican riesgo fiscal (FMI, 2021, anexo II).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modelo es un SVARX: la deuda consolidada es una variable más del sistema, con la tasa de la FED y la volatilidad global como variables exógenas.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Permite efectos conjuntos: la deuda responde a los shocks y a su vez los afecta. Es lo que hace falta para medir cómo un shock de la FED vuelve sobre la deuda a través del riesgo país y del tipo de cambio.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identificación principal es el SVAR restringido por teoría que ya existe. El ordenamiento de Cholesky queda solo como prueba de robustez.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razón teórica para ordenar el EMBI+ y el TCRM entre sí, y esa justificación ya fue aprobada por el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contrasta si nuestra probabilidad de no estabilización supera la del FMI (alrededor de 3%), con el escenario base del FMI.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métrica del FMI (FMI, 2021, párr. 53) y el umbral es su propio diagnóstico (FMI, 2025, anexo II). Mide si el perímetro consolidado y los shocks identificados cambian ese diagnóstico, que es la vacancia. Se contrasta con el intervalo de 90%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(unilateral al 5%).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criterio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“deuda mayor a 100% del PIB”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sale de las hipótesis.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tiene fuente que lo justifique.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área de vacancia se reformula.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marco del FMI sí admite incluir los pasivos del banco central (FMI, 2021, anexo II), pero en su análisis de Argentina corre las herramientas sobre la deuda federal bruta y muestra la consolidada solo como cuadro (FMI, 2025, anexo II, cuadro 2). La vacancia pasa a ser la combinación de tres aspectos: identificación estructural, un shock externo identificado y la estimación sobre el perímetro consolidado.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canal cuasifiscal del shock de la FED se redacta en pasado.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Los pasivos remunerados del BCRA se redujeron a niveles mínimos desde 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módulo de balanza de pagos (exportaciones, importaciones, inversión extranjera directa, fuga de capitales, renovación de vencimientos, necesidades de financiamiento) queda fuera y pasa a investigación futura.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está especificado, y su tamaño es el de otra tesis.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umbral, corte o tamaño de shock tiene que tener una justificación escrita, propia o citada.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Criterio del grupo.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Una sola muestra de estimación: todas las especificaciones se estiman sobre la misma muestra efectiva, 1998T2-2025T4, y los primeros trimestres de 1996-1998 se usan como condiciones iniciales de los rezagos.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Los criterios de información solo se pueden comparar entre órdenes sobre un mismo período (Lütkepohl, 2005, sec. 4.3), y así la deuda neta, la neta en libros y la bruta se estiman sobre los mismos trimestres.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se contrasta a cinco años (2030), el horizonte de la métrica del FMI, y a diez años (2035).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3% del FMI se mide a cinco años; 2035 es el final del horizonte de la tesis.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shock de la FED se mide de dos maneras: un desvío estándar (0,50 puntos) y el ciclo de 2022-2023 (5,25 puntos).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Convención de la literatura de VAR y episodio histórico reciente.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especificación principal es el SVARX; los shocks a la manera del FMI se informan como comparación. La elección se fijó antes de ver los resultados.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Solo los shocks identificados permiten contrastar H1a (bloques de shocks) y H2 (shock externo).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canal de tasas en pesos se informa como variante: el riesgo país también reprecia la deuda en pesos.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Tasa de interés del país (Neumeyer y Perri, 2005; Uribe y Yue, 2006). No hay una tasa en pesos homogénea para 1996-2025 que permita sumarla al VAR.</w:t>
            </w:r>
          </w:p>
        </w:tc>
      </w:tr>
    </w:tbl>
    <w:bookmarkEnd w:id="15"/>
    <w:bookmarkStart w:id="24" w:name="etapas"/>
    <w:p>
      <w:pPr>
        <w:pStyle w:val="Heading2"/>
      </w:pPr>
      <w:r>
        <w:t xml:space="preserve">4. Etapas</w:t>
      </w:r>
    </w:p>
    <w:p>
      <w:pPr>
        <w:pStyle w:val="FirstParagraph"/>
      </w:pPr>
      <w:r>
        <w:t xml:space="preserve">Estado:</w:t>
      </w:r>
      <w:r>
        <w:t xml:space="preserve"> </w:t>
      </w:r>
      <w:r>
        <w:rPr>
          <w:b/>
          <w:bCs/>
        </w:rPr>
        <w:t xml:space="preserve">hecho</w:t>
      </w:r>
      <w:r>
        <w:t xml:space="preserve">,</w:t>
      </w:r>
      <w:r>
        <w:t xml:space="preserve"> </w:t>
      </w:r>
      <w:r>
        <w:rPr>
          <w:b/>
          <w:bCs/>
        </w:rPr>
        <w:t xml:space="preserve">en curso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pendiente</w:t>
      </w:r>
      <w:r>
        <w:t xml:space="preserve">.</w:t>
      </w:r>
    </w:p>
    <w:bookmarkStart w:id="16" w:name="X8e6682cd329c11d0be0fd84830bfe77f1960cf0"/>
    <w:p>
      <w:pPr>
        <w:pStyle w:val="Heading3"/>
      </w:pPr>
      <w:r>
        <w:t xml:space="preserve">Etapa 1. Introducción (hecha; en revisión del grupo)</w:t>
      </w:r>
    </w:p>
    <w:p>
      <w:pPr>
        <w:pStyle w:val="Compact"/>
        <w:numPr>
          <w:ilvl w:val="0"/>
          <w:numId w:val="1005"/>
        </w:numPr>
      </w:pPr>
      <w:r>
        <w:t xml:space="preserve">Borrador corregido, con la H1a de Santiago, H1b a cinco y diez años y el tamaño del shock de la FED definido.</w:t>
      </w:r>
    </w:p>
    <w:bookmarkEnd w:id="16"/>
    <w:bookmarkStart w:id="17" w:name="X21d30eca0d7e3f1d214a006535a93fa47abd3ed"/>
    <w:p>
      <w:pPr>
        <w:pStyle w:val="Heading3"/>
      </w:pPr>
      <w:r>
        <w:t xml:space="preserve">Etapa 2. Antecedentes y área de vacancia (hecha; en revisión del grupo)</w:t>
      </w:r>
    </w:p>
    <w:p>
      <w:pPr>
        <w:pStyle w:val="Compact"/>
        <w:numPr>
          <w:ilvl w:val="0"/>
          <w:numId w:val="1006"/>
        </w:numPr>
      </w:pPr>
      <w:r>
        <w:t xml:space="preserve">Ocho ejes y la vacancia en tres partes, con el perímetro del FMI verificado en su informe de 2025.</w:t>
      </w:r>
    </w:p>
    <w:bookmarkEnd w:id="17"/>
    <w:bookmarkStart w:id="18" w:name="etapa-3.-datos-hecha"/>
    <w:p>
      <w:pPr>
        <w:pStyle w:val="Heading3"/>
      </w:pPr>
      <w:r>
        <w:t xml:space="preserve">Etapa 3. Datos (hecha)</w:t>
      </w:r>
    </w:p>
    <w:p>
      <w:pPr>
        <w:pStyle w:val="Compact"/>
        <w:numPr>
          <w:ilvl w:val="0"/>
          <w:numId w:val="1007"/>
        </w:numPr>
      </w:pPr>
      <w:r>
        <w:t xml:space="preserve">Series construidas desde fuentes primarias (MECON, BCRA, INDEC, FRED) y controladas contra el FMI (Capítulo 5).</w:t>
      </w:r>
    </w:p>
    <w:bookmarkEnd w:id="18"/>
    <w:bookmarkStart w:id="19" w:name="etapa-4.-metodología-hecha"/>
    <w:p>
      <w:pPr>
        <w:pStyle w:val="Heading3"/>
      </w:pPr>
      <w:r>
        <w:t xml:space="preserve">Etapa 4. Metodología (hecha)</w:t>
      </w:r>
    </w:p>
    <w:p>
      <w:pPr>
        <w:pStyle w:val="Compact"/>
        <w:numPr>
          <w:ilvl w:val="0"/>
          <w:numId w:val="1008"/>
        </w:numPr>
      </w:pPr>
      <w:r>
        <w:t xml:space="preserve">SVARX, identificación, muestra de estimación común, rezagos con regla AIC más estabilidad, canales de la FED, variantes y criterios de contraste (Capítulo 4).</w:t>
      </w:r>
    </w:p>
    <w:bookmarkEnd w:id="19"/>
    <w:bookmarkStart w:id="20" w:name="etapa-5.-estimación-hecha"/>
    <w:p>
      <w:pPr>
        <w:pStyle w:val="Heading3"/>
      </w:pPr>
      <w:r>
        <w:t xml:space="preserve">Etapa 5. Estimación (hecha)</w:t>
      </w:r>
    </w:p>
    <w:p>
      <w:pPr>
        <w:pStyle w:val="Compact"/>
        <w:numPr>
          <w:ilvl w:val="0"/>
          <w:numId w:val="1009"/>
        </w:numPr>
      </w:pPr>
      <w:r>
        <w:t xml:space="preserve">Reacción fiscal 0,051 [0,020; 0,082]; respuestas a la FED no significativas por separado; diagnósticos informados (Capítulo 6).</w:t>
      </w:r>
    </w:p>
    <w:bookmarkEnd w:id="20"/>
    <w:bookmarkStart w:id="21" w:name="etapa-6.-simulación-hecha"/>
    <w:p>
      <w:pPr>
        <w:pStyle w:val="Heading3"/>
      </w:pPr>
      <w:r>
        <w:t xml:space="preserve">Etapa 6. Simulación (hecha)</w:t>
      </w:r>
    </w:p>
    <w:p>
      <w:pPr>
        <w:pStyle w:val="Compact"/>
        <w:numPr>
          <w:ilvl w:val="0"/>
          <w:numId w:val="1010"/>
        </w:numPr>
      </w:pPr>
      <w:r>
        <w:t xml:space="preserve">Escenario base y dos escenarios de la FED, robustez por perímetro, canal de tasas en pesos y shocks a la manera del FMI.</w:t>
      </w:r>
    </w:p>
    <w:bookmarkEnd w:id="21"/>
    <w:bookmarkStart w:id="22" w:name="Xc907a071765566996626b616efabd2797d61fd7"/>
    <w:p>
      <w:pPr>
        <w:pStyle w:val="Heading3"/>
      </w:pPr>
      <w:r>
        <w:t xml:space="preserve">Etapa 7. Resultados, discusión y conclusiones (borrador listo para revisión del grupo)</w:t>
      </w:r>
    </w:p>
    <w:p>
      <w:pPr>
        <w:pStyle w:val="Compact"/>
        <w:numPr>
          <w:ilvl w:val="0"/>
          <w:numId w:val="1011"/>
        </w:numPr>
      </w:pPr>
      <w:r>
        <w:t xml:space="preserve">H1a respaldada. H1b respaldada a cinco años (11,8% contra 3%); a diez años, 6,0% con el límite inferior en el umbral. H2 respaldada para un ciclo como el de 2022-2023, no para un shock de medio punto.</w:t>
      </w:r>
    </w:p>
    <w:bookmarkEnd w:id="22"/>
    <w:bookmarkStart w:id="23" w:name="etapa-8.-entrega-pendiente"/>
    <w:p>
      <w:pPr>
        <w:pStyle w:val="Heading3"/>
      </w:pPr>
      <w:r>
        <w:t xml:space="preserve">Etapa 8. Entrega (pendiente)</w:t>
      </w:r>
    </w:p>
    <w:p>
      <w:pPr>
        <w:pStyle w:val="Compact"/>
        <w:numPr>
          <w:ilvl w:val="0"/>
          <w:numId w:val="1012"/>
        </w:numPr>
      </w:pPr>
      <w:r>
        <w:t xml:space="preserve">Revisión del grupo y del director, y pasaje al formato final.</w:t>
      </w:r>
    </w:p>
    <w:bookmarkEnd w:id="23"/>
    <w:bookmarkEnd w:id="24"/>
    <w:bookmarkStart w:id="29" w:name="Xa8e40bf0238b7256ac06a4dd328c61f94733314"/>
    <w:p>
      <w:pPr>
        <w:pStyle w:val="Heading2"/>
      </w:pPr>
      <w:r>
        <w:t xml:space="preserve">5. Qué falta: tareas, verificaciones y decisiones (actualizado el 11/10/2026)</w:t>
      </w:r>
    </w:p>
    <w:bookmarkStart w:id="25" w:name="datos-que-hay-que-bajar-o-confirmar"/>
    <w:p>
      <w:pPr>
        <w:pStyle w:val="Heading3"/>
      </w:pPr>
      <w:r>
        <w:t xml:space="preserve">5.1 Datos que hay que bajar o confirmar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Por qué importa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Cómo se resuelve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Títulos públicos en cartera del FGS (ANSES), 2008-2025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deuda neta no descuenta la deuda del Tesoro en manos del FGS. Por eso queda unos 8 a 10 puntos del PIB por encima de la consolidada del FMI (119,0 contra 110,8 en 2023; 61,1 contra 51,5 en 2024). Según una nota de prensa no verificada, la cartera de títulos del FGS rondaba los USD 44.000 millones en octubre de 2024 (cerca de 7,7% del PIB): del orden de la brecha.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ANSES bloquea la descarga automática (protección anti-bots); hay que bajar los PDF a mano desde el navegador y guardarlos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 Archivos: Informe Estadístico Mensual de enero de 2026 (https://www.anses.gob.ar/sites/default/files/archivo/2026-03/IEM-FGS-2026-01.pdf), Anuario 2024 (https://www.anses.gob.ar/sites/default/files/inline-files/Anuario%202024.pdf), Consejo del FGS de diciembre de 2025 (https://www.anses.gob.ar/sites/default/files/archivo/2026-02/Consejo%20FGS-Diciembre-2025.pdf) y, para años anteriores, los anuarios e informes de la página del FGS (https://www.anses.gob.ar/fgs-fondo-de-garantia-de-sustentabilidad). De cada uno se toma la fila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“Títulos Públicos Nacionales”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al cierre de cada año o trimestre. El script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codigo/ingesta_datos/construir_tenencias_fgs.py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ya está listo para leerlos.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Pendiente: bajar a mano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Deuda en manos de Agencias del Sector Público (Secretaría de Finanzas)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Sirve como dato descriptivo de la deuda intra-sector público. No se usa para restar, porque incluye otras entidades y duplicaría parte de lo que ya se consolida.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Ya está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datos/procesados/tenencias_fgs_1996_2025.csv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(trimestral 2021-2025; anual en % del PIB 2004-2025), con los PDF de Finanzas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Hecho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LEFI entre julio de 2024 y julio de 2025 (11,1 billones de pesos en diciembre de 2024, según el BCRA)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serie de pasivos del BCRA no las incluye. Si tampoco están en la deuda del Tesoro que usamos, faltan en la consolidada esos trimestres, unos 2 puntos del PIB a fines de 2024. No afectan el punto de partida de diciembre de 2025, porque para entonces estaban en cero.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Revisar en los informes trimestrales de la Secretaría de Finanzas si las LEFI se cuentan como deuda bruta de la Administración Central. Si no, sumarlas a los pasivos consolidados de esos trimestres y reestimar.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Pendiente</w:t>
            </w:r>
          </w:p>
        </w:tc>
      </w:tr>
    </w:tbl>
    <w:bookmarkEnd w:id="25"/>
    <w:bookmarkStart w:id="26" w:name="verificaciones-de-citas"/>
    <w:p>
      <w:pPr>
        <w:pStyle w:val="Heading3"/>
      </w:pPr>
      <w:r>
        <w:t xml:space="preserve">5.2 Verificaciones de citas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Braun y Joy (1968), restricción externa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copia abierta (Oxford y JSTOR). Si alguien tiene acceso por la facultad, se verifica contra el original; si no, se cita a través de la fuente secundaria (Katz y Kosacoff, CEPAL) indicándolo.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Adler, Djigbenou y Sosa (2016)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verificó sobre el documento de trabajo del FMI (WP/14/60), no sobre la versión de la revista. Conviene leer la versión publicada si el tribunal lo exige.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Las otras siete citas del marco teórico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Verificadas contra el texto completo, con página (ver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verificacion_citas_marco.md</w:t>
            </w:r>
            <w:r>
              <w:rPr>
                <w:rFonts w:ascii="Calibri" w:hAnsi="Calibri"/>
                <w:sz w:val="20"/>
              </w:rPr>
              <w:t xml:space="preserve">).</w:t>
            </w:r>
          </w:p>
        </w:tc>
      </w:tr>
    </w:tbl>
    <w:bookmarkEnd w:id="26"/>
    <w:bookmarkStart w:id="27" w:name="decisiones-abiertas-para-el-grupo"/>
    <w:p>
      <w:pPr>
        <w:pStyle w:val="Heading3"/>
      </w:pPr>
      <w:r>
        <w:t xml:space="preserve">5.3 Decisiones abiertas para el grupo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Robustez de H1a a la identificación.</w:t>
      </w:r>
      <w:r>
        <w:t xml:space="preserve"> </w:t>
      </w:r>
      <w:r>
        <w:t xml:space="preserve">Con la identificación principal (Blanchard y Perotti para el shock fiscal), los shocks no fiscales superan al fiscal en el 99% de las réplicas, con un intervalo de 90% de [17,5; 93,0]. Con una identificación de Cholesky que ordena el shock fiscal primero, se le atribuye a lo fiscal toda la covarianza contemporánea con las demás variables; es el ordenamiento más favorable a lo fiscal. Con ese ordenamiento, la participación fiscal sube a 33%, la cambiaria y de riesgo queda en 59%, y lo no fiscal supera a lo fiscal en el 78% de las réplicas. Pero el intervalo de la diferencia, [-43; 87], incluye el cero. H1b y H2 no cambian. Con el orden de Cholesky que propuso Santiago en su metodología (crecimiento, TCRM, EMBI+, resultado primario), H1a queda más respaldada: 79 puntos de diferencia, con un intervalo de [38; 96]. Hay que decidir cómo se presenta: la propuesta es informarlo en la sección de robustez y en las limitaciones, y decir que H1a depende de identificar el shock fiscal con la elasticidad de Blanchard y Perotti, que es la que justifica la sección 4.4. No se escribió todavía en la tesis.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Deuda neta con o sin FGS.</w:t>
      </w:r>
      <w:r>
        <w:t xml:space="preserve"> </w:t>
      </w:r>
      <w:r>
        <w:t xml:space="preserve">Cuando esté la serie del FGS, hay que definir si la deuda neta sin el FGS pasa a ser la especificación principal, porque es la más parecida a la del FMI, o si queda como robustez. En los dos casos hay que reestimar y volver a simular.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Propuestas del grupo ya incorporadas el 11/10.</w:t>
      </w:r>
      <w:r>
        <w:t xml:space="preserve"> </w:t>
      </w:r>
      <w:r>
        <w:t xml:space="preserve">Por un lado, la retroalimentación entre la deuda y las variables (arquitectura B de Santiago): un punto más de deuda sube el EMBI+ 22 puntos básicos [11; 41], y está en la sección 6.1. Por otro, el contraste sin retroalimentación (arquitectura A), en la sección 6.6. Se repuso además en las líneas futuras el panel Argentina-Chile (decisión del 17/9), y se sumaron los shocks de la FED de alta frecuencia y los términos de intercambio que proponía Santiago.</w:t>
      </w:r>
    </w:p>
    <w:bookmarkEnd w:id="27"/>
    <w:bookmarkStart w:id="28" w:name="otras-tareas"/>
    <w:p>
      <w:pPr>
        <w:pStyle w:val="Heading3"/>
      </w:pPr>
      <w:r>
        <w:t xml:space="preserve">5.4 Otras tareas</w:t>
      </w:r>
    </w:p>
    <w:p>
      <w:pPr>
        <w:pStyle w:val="Compact"/>
        <w:numPr>
          <w:ilvl w:val="0"/>
          <w:numId w:val="1014"/>
        </w:numPr>
      </w:pPr>
      <w:r>
        <w:t xml:space="preserve">Revisión del texto completo por el grupo y por Pablo.</w:t>
      </w:r>
    </w:p>
    <w:p>
      <w:pPr>
        <w:pStyle w:val="Compact"/>
        <w:numPr>
          <w:ilvl w:val="0"/>
          <w:numId w:val="1014"/>
        </w:numPr>
      </w:pPr>
      <w:r>
        <w:t xml:space="preserve">Confirmado: no se pide resumen en inglés y la extensión tiene que ser corta. Candidato a recortar: el capítulo de Datos, llevando el detalle de construcción al apéndice.</w:t>
      </w:r>
    </w:p>
    <w:p>
      <w:pPr>
        <w:pStyle w:val="Compact"/>
        <w:numPr>
          <w:ilvl w:val="0"/>
          <w:numId w:val="1014"/>
        </w:numPr>
      </w:pPr>
      <w:r>
        <w:t xml:space="preserve">Hecho: se borraron de</w:t>
      </w:r>
      <w:r>
        <w:t xml:space="preserve"> </w:t>
      </w:r>
      <w:r>
        <w:rPr>
          <w:rStyle w:val="VerbatimChar"/>
        </w:rPr>
        <w:t xml:space="preserve">tesis/figuras/</w:t>
      </w:r>
      <w:r>
        <w:t xml:space="preserve"> </w:t>
      </w:r>
      <w:r>
        <w:t xml:space="preserve">las figuras de los modelos viejos que ya no usaba ningún capítulo (quedan en el historial de git).</w:t>
      </w:r>
    </w:p>
    <w:bookmarkEnd w:id="28"/>
    <w:bookmarkEnd w:id="29"/>
    <w:bookmarkStart w:id="30" w:name="referencias-de-este-documento"/>
    <w:p>
      <w:pPr>
        <w:pStyle w:val="Heading2"/>
      </w:pPr>
      <w:r>
        <w:t xml:space="preserve">Referencias de este documento</w:t>
      </w:r>
    </w:p>
    <w:p>
      <w:pPr>
        <w:pStyle w:val="Compact"/>
        <w:numPr>
          <w:ilvl w:val="0"/>
          <w:numId w:val="1015"/>
        </w:numPr>
      </w:pPr>
      <w:r>
        <w:t xml:space="preserve">Fondo Monetario Internacional. (2021).</w:t>
      </w:r>
      <w:r>
        <w:t xml:space="preserve"> </w:t>
      </w:r>
      <w:r>
        <w:rPr>
          <w:i/>
          <w:iCs/>
        </w:rPr>
        <w:t xml:space="preserve">Review of the debt sustainability framework for</w:t>
      </w:r>
      <w:r>
        <w:rPr>
          <w:i/>
          <w:iCs/>
        </w:rPr>
        <w:t xml:space="preserve"> </w:t>
      </w:r>
      <w:r>
        <w:rPr>
          <w:i/>
          <w:iCs/>
        </w:rPr>
        <w:t xml:space="preserve">market access countries</w:t>
      </w:r>
      <w:r>
        <w:t xml:space="preserve"> </w:t>
      </w:r>
      <w:r>
        <w:t xml:space="preserve">(IMF Policy Paper).</w:t>
      </w:r>
    </w:p>
    <w:p>
      <w:pPr>
        <w:pStyle w:val="Compact"/>
        <w:numPr>
          <w:ilvl w:val="0"/>
          <w:numId w:val="1015"/>
        </w:numPr>
      </w:pPr>
      <w:r>
        <w:t xml:space="preserve">Fondo Monetario Internacional y Mecanismo Europeo de Estabilidad. (2023).</w:t>
      </w:r>
      <w:r>
        <w:t xml:space="preserve"> </w:t>
      </w:r>
      <w:r>
        <w:rPr>
          <w:i/>
          <w:iCs/>
        </w:rPr>
        <w:t xml:space="preserve">The stochastic</w:t>
      </w:r>
      <w:r>
        <w:rPr>
          <w:i/>
          <w:iCs/>
        </w:rPr>
        <w:t xml:space="preserve"> </w:t>
      </w:r>
      <w:r>
        <w:rPr>
          <w:i/>
          <w:iCs/>
        </w:rPr>
        <w:t xml:space="preserve">debt fanchart in the IMF’s Sovereign Risk and Debt Sustainability Framework for MACs</w:t>
      </w:r>
      <w:r>
        <w:t xml:space="preserve"> </w:t>
      </w:r>
      <w:r>
        <w:t xml:space="preserve">(presentación, 30 de noviembre de 2023).</w:t>
      </w:r>
    </w:p>
    <w:p>
      <w:pPr>
        <w:pStyle w:val="Compact"/>
        <w:numPr>
          <w:ilvl w:val="0"/>
          <w:numId w:val="1015"/>
        </w:numPr>
      </w:pPr>
      <w:r>
        <w:t xml:space="preserve">Fondo Monetario Internacional. (2025).</w:t>
      </w:r>
      <w:r>
        <w:t xml:space="preserve"> </w:t>
      </w:r>
      <w:r>
        <w:rPr>
          <w:i/>
          <w:iCs/>
        </w:rPr>
        <w:t xml:space="preserve">Argentina: Request for an extended arrangement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the Extended Fund Facility</w:t>
      </w:r>
      <w:r>
        <w:t xml:space="preserve"> </w:t>
      </w:r>
      <w:r>
        <w:t xml:space="preserve">(IMF Country Report No. 25/95).</w:t>
      </w:r>
    </w:p>
    <w:p>
      <w:pPr>
        <w:pStyle w:val="Compact"/>
        <w:numPr>
          <w:ilvl w:val="0"/>
          <w:numId w:val="1015"/>
        </w:numPr>
      </w:pPr>
      <w:r>
        <w:t xml:space="preserve">Oficina de Presupuesto del Congreso. (2026).</w:t>
      </w:r>
      <w:r>
        <w:t xml:space="preserve"> </w:t>
      </w:r>
      <w:r>
        <w:rPr>
          <w:i/>
          <w:iCs/>
        </w:rPr>
        <w:t xml:space="preserve">Operaciones de deuda pública, julio 2026</w:t>
      </w:r>
      <w:r>
        <w:t xml:space="preserve">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/>
      <w:jc w:val="both"/>
    </w:pPr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pageBreakBefore w:val="0"/>
      <w:spacing w:after="80" w:line="240" w:lineRule="auto"/>
      <w:contextualSpacing/>
      <w:jc w:val="center"/>
    </w:pPr>
    <w:rPr>
      <w:rFonts w:ascii="Calibri" w:cs="Calibri" w:eastAsia="Calibri" w:hAnsi="Calibri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after="80" w:before="360"/>
      <w:outlineLvl w:val="0"/>
    </w:pPr>
    <w:rPr>
      <w:rFonts w:ascii="Calibri" w:cs="Calibri" w:eastAsia="Calibri" w:hAnsi="Calibr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1"/>
    </w:pPr>
    <w:rPr>
      <w:rFonts w:ascii="Calibri" w:cs="Calibri" w:eastAsia="Calibri" w:hAnsi="Calibr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2"/>
    </w:pPr>
    <w:rPr>
      <w:rFonts w:ascii="Calibri" w:cs="Calibri" w:eastAsia="Calibri" w:hAnsi="Calibri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40" w:before="80"/>
      <w:outlineLvl w:val="3"/>
    </w:pPr>
    <w:rPr>
      <w:rFonts w:ascii="Calibri" w:cs="Calibri" w:eastAsia="Calibri" w:hAnsi="Calibri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2026-10-11T21:44:27Z</dcterms:created>
  <dcterms:modified xsi:type="dcterms:W3CDTF">2026-10-11T21:44:27Z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