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evalúa la sostenibilidad de la deuda pública consolidada argentina, que suma la del Sector Público No Financiero y la del Banco Central, en el horizonte 2026-2035, a partir de sus determinantes macroeconómicos históricos (1996-2025): el crecimiento, el tipo de cambio real, el riesgo país y el resultado primario.</w:t>
      </w:r>
    </w:p>
    <w:p>
      <w:pPr>
        <w:pStyle w:val="BodyText"/>
      </w:pPr>
      <w:r>
        <w:rPr>
          <w:b/>
          <w:bCs/>
        </w:rPr>
        <w:t xml:space="preserve">Metodología.</w:t>
      </w:r>
      <w:r>
        <w:t xml:space="preserve"> </w:t>
      </w:r>
      <w:r>
        <w:t xml:space="preserve">Se estima un modelo de vectores autorregresivos estructural con variables exógenas (SVARX) sobre datos trimestrales, con la tasa de política de la Reserva Federal y la volatilidad financiera global como variables externas. Los shocks fiscales se identifican con el método de Blanchard y Perotti (2002), y la deuda consolidada neta se construye según el criterio del FMI (2021). Con el modelo se simulan 120.000 trayectorias de la deuda alrededor del escenario base del FMI (2025) y se mide la probabilidad de que la deuda no se estabilice, la métrica central del marco de sostenibilidad del FMI.</w:t>
      </w:r>
    </w:p>
    <w:p>
      <w:pPr>
        <w:pStyle w:val="BodyText"/>
      </w:pPr>
      <w:r>
        <w:rPr>
          <w:b/>
          <w:bCs/>
        </w:rPr>
        <w:t xml:space="preserve">Resultados.</w:t>
      </w:r>
      <w:r>
        <w:t xml:space="preserve"> </w:t>
      </w:r>
      <w:r>
        <w:t xml:space="preserve">La política fiscal respondió a la deuda en el período (reacción de 0,05 por punto de deuda), pero los shocks cambiarios y de riesgo explican cerca de 60% de la incertidumbre sobre la deuda en 2035, y los fiscales, menos de 20%. La probabilidad de que la deuda no se estabilice a cinco años es de 11,8%, con un intervalo de 90% de 8,0% a 15,8%, frente a alrededor de 3% en el análisis del FMI. A diez años baja a 6,0%. Un endurecimiento de la Reserva Federal como el de 2022-2023 eleva la deuda esperada en 7 puntos del PIB hacia 2035, sobre todo por el mayor costo de refinanciar la deuda en dólares.</w:t>
      </w:r>
    </w:p>
    <w:p>
      <w:pPr>
        <w:pStyle w:val="BodyText"/>
      </w:pPr>
      <w:r>
        <w:rPr>
          <w:b/>
          <w:bCs/>
        </w:rPr>
        <w:t xml:space="preserve">Conclusión.</w:t>
      </w:r>
      <w:r>
        <w:t xml:space="preserve"> </w:t>
      </w:r>
      <w:r>
        <w:t xml:space="preserve">El superávit primario es necesario pero no alcanza para estabilizar la deuda. Con el mismo escenario base, representar la incertidumbre con la dinámica histórica de la economía argentina da un diagnóstico de sostenibilidad más exigente que el del FMI en los primeros cinco años.</w:t>
      </w:r>
    </w:p>
    <w:p>
      <w:pPr>
        <w:pStyle w:val="BodyText"/>
      </w:pPr>
      <w:r>
        <w:rPr>
          <w:b/>
          <w:bCs/>
        </w:rPr>
        <w:t xml:space="preserve">Palabras clave:</w:t>
      </w:r>
      <w:r>
        <w:t xml:space="preserve"> </w:t>
      </w:r>
      <w:r>
        <w:t xml:space="preserve">deuda pública, sostenibilidad fiscal, SVAR, gráfico de abanico, Argentina.</w:t>
      </w:r>
    </w:p>
    <w:p>
      <w:pPr>
        <w:pStyle w:val="BodyText"/>
      </w:pPr>
      <w:r>
        <w:rPr>
          <w:b/>
          <w:bCs/>
        </w:rPr>
        <w:t xml:space="preserve">Clasificación JEL:</w:t>
      </w:r>
      <w:r>
        <w:t xml:space="preserve"> </w:t>
      </w:r>
      <w:r>
        <w:t xml:space="preserve">E62, F34, H63.</w:t>
      </w:r>
    </w:p>
    <w:bookmarkEnd w:id="9"/>
    <w:bookmarkStart w:id="20" w:name="introducción"/>
    <w:p>
      <w:pPr>
        <w:pStyle w:val="Heading1"/>
      </w:pPr>
      <w:r>
        <w:t xml:space="preserve">1. Introducción</w:t>
      </w:r>
    </w:p>
    <w:bookmarkStart w:id="11"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El precio de colocación fue de 91 por cada 100 nominales, de modo que el Tesoro recaudó unos USD 910 millones (Chequeado, 2025). En 2026 el Tesoro siguió financiándose con bonos en dólares bajo ley local y no emitió bajo legislación de Nueva York: en septiembre,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1"/>
    <w:bookmarkStart w:id="12" w:name="planteamiento-del-problema"/>
    <w:p>
      <w:pPr>
        <w:pStyle w:val="Heading2"/>
      </w:pPr>
      <w:r>
        <w:t xml:space="preserve">1.2 Planteamiento del problema</w:t>
      </w:r>
    </w:p>
    <w:p>
      <w:pPr>
        <w:pStyle w:val="FirstParagraph"/>
      </w:pPr>
      <w:r>
        <w:t xml:space="preserve">Resta determinar si un superávit fiscal primario y la voluntad política de pago alcanzan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2"/>
    <w:bookmarkStart w:id="13"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3"/>
    <w:bookmarkStart w:id="14"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4"/>
    <w:bookmarkStart w:id="15"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(SPNF y BCRA), de modo que el superávit primario, por sí solo, no basta para estabilizarla en 2026-2035.</w:t>
      </w:r>
    </w:p>
    <w:p>
      <w:pPr>
        <w:pStyle w:val="BodyText"/>
      </w:pPr>
      <w:r>
        <w:t xml:space="preserve">H1b. La probabilidad de que la deuda consolidada no se estabilice, medida a cinco años (2030, el mismo horizonte de la métrica del FMI) y a diez años (2035, el final del horizonte de proyección) y estimada con shocks estructuralmente identificados, es mayor que la que el FMI reporta para la deuda federal bruta en su análisis de 2025, de alrededor de 3% (FMI, 2025, anexo II).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El shock se mide de dos maneras: un desvío estándar de la variación trimestral de la tasa (convención de la literatura de VAR) y una repetición del ciclo de subas de 2022-2023.</w:t>
      </w:r>
    </w:p>
    <w:bookmarkEnd w:id="15"/>
    <w:bookmarkStart w:id="17"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6"/>
      </w:r>
      <w:r>
        <w:t xml:space="preserve"> </w:t>
      </w:r>
      <w:r>
        <w:t xml:space="preserve">y en las métricas que utiliza el FMI para evaluar el riesgo soberano.</w:t>
      </w:r>
    </w:p>
    <w:bookmarkEnd w:id="17"/>
    <w:bookmarkStart w:id="18"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8"/>
    <w:bookmarkStart w:id="19"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9"/>
    <w:bookmarkEnd w:id="20"/>
    <w:bookmarkStart w:id="33"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1"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1"/>
    <w:bookmarkStart w:id="23"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2"/>
      </w:r>
      <w:r>
        <w:t xml:space="preserve">.</w:t>
      </w:r>
    </w:p>
    <w:bookmarkEnd w:id="23"/>
    <w:bookmarkStart w:id="24"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4"/>
    <w:bookmarkStart w:id="25"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5"/>
    <w:bookmarkStart w:id="28"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6"/>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7"/>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8"/>
    <w:bookmarkStart w:id="29"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9"/>
    <w:bookmarkStart w:id="30"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30"/>
    <w:bookmarkStart w:id="31"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1"/>
    <w:bookmarkStart w:id="32"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remunerados del BCRA se hayan reducido a niveles mínimos. Los pases pasivos se suspendieron en julio de 2024 y su stock pasó al Tesoro como Letras Fiscales de Liquidez (LEFI), que el BCRA dejó de ofrecer en julio de 2025 (BCRA, 2025). A fin de 2025 el stock de LEFI era nulo, frente a 11,1 billones de pesos un año antes (BCRA, 2026).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p>
      <w:pPr>
        <w:pStyle w:val="BodyText"/>
      </w:pPr>
      <w:r>
        <w:t xml:space="preserve">La elección de la metodología y de las variables responde a tres razones. Primero, la combinación no se probó para Argentina: los trabajos que identifican shocks lo hacen sobre paneles de países, y los que estudian la deuda argentina no los identifican. Segundo, el contexto cambió: desde 2024 la política fiscal tiene superávit primario y el BCRA casi no tiene pasivos remunerados, de modo que la pregunta por lo que el superávit no controla cobra más peso. Tercero, el sistema incluye una variable que los trabajos citados no suman a la deuda: los pasivos del BCRA, consolidados con los del Tesoro. Las variables endógenas son los cuatro impulsores de la deuda en la identidad del FMI (crecimiento, tipo de cambio real, costo del financiamiento a través del riesgo país y resultado primario), y la tasa de la FED entra como el shock externo que la literatura revisada vincula con esos cuatro canales.</w:t>
      </w:r>
    </w:p>
    <w:bookmarkEnd w:id="32"/>
    <w:bookmarkEnd w:id="33"/>
    <w:bookmarkStart w:id="46"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34"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34"/>
    <w:bookmarkStart w:id="39" w:name="Xa279cf3229c29106283bb4d1e58e9229cedcf6a"/>
    <w:p>
      <w:pPr>
        <w:pStyle w:val="Heading2"/>
      </w:pPr>
      <w:r>
        <w:t xml:space="preserve">3.2 Solvencia intertemporal, la regla de Bohn y la identidad de la deuda</w:t>
      </w:r>
    </w:p>
    <w:bookmarkStart w:id="35"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35"/>
    <w:bookmarkStart w:id="36"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 stock 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(Rodríguez, 2023). El mecanismo opera en las dos direcciones. En 2024 la deuda federal bruta pasó de 155,4% a 85,3% del PIB, por un ajuste fiscal de más de cinco puntos y por efectos de valuación cambiaria (FMI, 2025). Esta simetría muestra que el tipo de cambio real puede mover la ratio más que el resultado primario en cualquiera de los dos sentidos.</w:t>
      </w:r>
    </w:p>
    <w:bookmarkEnd w:id="36"/>
    <w:bookmarkStart w:id="37"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presenta en Bohn (2005), donde se la presenta como un resultado de trabajos previos del autor, entre ellos Bohn (1998).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reporta un coeficiente de alrededor de 0,05 (Bohn, 1998, según Bohn, 2005).</w:t>
      </w:r>
    </w:p>
    <w:p>
      <w:pPr>
        <w:pStyle w:val="BodyText"/>
      </w:pPr>
      <w:r>
        <w:t xml:space="preserve">Conviene corregir una atribución frecuente. Bohn (2007) no demuestra que ρ &gt; 0 sea suficiente sin cointegración. Lo que muestra es que las pruebas de estacionariedad y cointegración sobre series fiscales no pueden rechazar la sostenibilidad: la restricción intertemporal se cumple si la deuda, o los ingresos y gastos con intereses, son integrados de orden arbitrariamente alto, y no hace falta que ingresos y gastos cointegren (Bohn, 2007). La suficiencia de ρ &gt; 0 proviene de Bohn (1998, 2005). La lectura de Bohn (2007) tiene una consecuencia para el diseño econométrico: que una prueba de cointegración no rechace la hipótesis nula de no cointegración, como ocurre en la muestra de la tesis, no permite concluir que la política sea insostenible, y por eso el sistema se estima en niveles sin imponer relaciones de cointegración.</w:t>
      </w:r>
    </w:p>
    <w:bookmarkEnd w:id="37"/>
    <w:bookmarkStart w:id="38"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 la magnitud que Bohn estima para Estados Unidos, del orden de 0,05, una respuesta fiscal significativa pero pequeña es superada por un diferencial r-g de uno o dos puntos. En una economía con deuda en moneda extranjera, el término r incluye la depreciación real y el spread soberano, que son variables con shocks 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 shocks externos. Esa lectura es compatible con la evidencia de que las consolidaciones fiscales discrecionales tienen en promedio un efecto reducido sobre la ratio de deuda (Ando et al., 2025).</w:t>
      </w:r>
    </w:p>
    <w:bookmarkEnd w:id="38"/>
    <w:bookmarkEnd w:id="39"/>
    <w:bookmarkStart w:id="40"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 stock 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(región II de Leeper, 1991), se asemeja al régimen fiscal dominante de Sargent y Wallace (1981) y suele llamarse dominancia fiscal.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40"/>
    <w:bookmarkStart w:id="41" w:name="X20862c7541b595f20b5f9ddc0e3ce04fa00711b"/>
    <w:p>
      <w:pPr>
        <w:pStyle w:val="Heading2"/>
      </w:pPr>
      <w:r>
        <w:t xml:space="preserve">3.4 Descalce de monedas, pecado original e interrupciones repentinas</w:t>
      </w:r>
    </w:p>
    <w:p>
      <w:pPr>
        <w:pStyle w:val="FirstParagraph"/>
      </w:pPr>
      <w:r>
        <w:t xml:space="preserve">Eichengreen, Hausmann y Panizza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Rogoff y Savastano, 2003). El pecado original es la dificultad de los emergentes para endeudarse en el exterior en su propia moneda. Los dos primeros tratan de explicar la volatilidad y la dificultad para pagar, y el tercero se ocupa de las consecuencias de esos problemas y de cómo los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Izquierdo y Talvi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 Para el período 2016-2020, Aruguete (2021) describe una crisis de balanza de pagos originada en un proceso de sobreendeudamiento público iniciado cuatro años antes.</w:t>
      </w:r>
    </w:p>
    <w:bookmarkEnd w:id="41"/>
    <w:bookmarkStart w:id="42"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 shocks de la tasa de Estados Unidos explican alrededor de 20% de los movimientos de la actividad en economías emergentes en frecuencias de ciclo económico, y que afectan a las variables domésticas sobre todo a través del spread soberano. Kalemli-Özcan (2019) encuentra que la política monetaria de Estados Unidos afecta el costo del crédito interno de otros países a través de la percepción de riesgo de los inversores globales, con efectos más intensos sobre los emergentes que sobre las economías avanzadas, y que los flujos de capital, muy sensibles a esa percepción, inciden de forma directa sobre los spreads de crédito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 shocks de Estados Unidos influyen en las economías de América Latina por vía financiera y producen en dos episodios, las crisis de Argentina y de Brasil,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2004). El resultado sugiere que el canal relevante es el spread 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 shocks de Estados Unidos y los trata como exógenos respecto de los países latinoamericanos. Adler, Djigbenou y Sosa (2016), con un VAR de panel sobre los flujos brutos de capital de economías emergentes, muestran que la respuesta ante los shocks globales difiere según el tipo de shock: los inversores locales cumplen un papel estabilizador tanto ante los shocks de incertidumbre global, donde la repatriación de activos compensa en buena medida la salida de no residentes, como ante los de la tasa larga de Estados Unidos, donde la compensación es mucho más limitada. Esto justifica incluir a la vez la tasa de la FED y el VIX, que no se confunden entre sí.</w:t>
      </w:r>
    </w:p>
    <w:bookmarkEnd w:id="42"/>
    <w:bookmarkStart w:id="43"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Debrun y Ostry (2006) proponen un algoritmo de simulación de la trayectoria de la deuda con shocks realistas al crecimiento, a las tasas de interés y al tipo de cambio, junto con la respuesta endógena de la política fiscal y los shocks 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 shocks 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Sugiere correr los escenarios de sostenibilidad también con una función de reacción fiscal o con una hipótesis equivalente de reversión a la media (Medeiros, 2012).</w:t>
      </w:r>
    </w:p>
    <w:p>
      <w:pPr>
        <w:pStyle w:val="BodyText"/>
      </w:pPr>
      <w:r>
        <w:t xml:space="preserve">El FMI adoptó esa lógica. Su marco de 2021 construye el gráfico de abanico aplicando al escenario base shocks 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estimó una probabilidad de estabilización cercana a 97% en el escenario base, tanto en el mediano plazo como en un abanico que termina en 2034 (FMI, 2025, anexo II, párr. 6 y 8). Esa cifra es el umbral de H1b.</w:t>
      </w:r>
    </w:p>
    <w:p>
      <w:pPr>
        <w:pStyle w:val="BodyText"/>
      </w:pPr>
      <w:r>
        <w:t xml:space="preserve">Este enfoque tiene una ventaja sobre el análisis puntual: permite separar la dispersión debida a los shocks (los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3"/>
    <w:bookmarkStart w:id="44"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Kim, Mendoza, Ostry y Qureshi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 Las estimaciones de umbral de tipo Hansen (1999) permiten contrastar si la respuesta fiscal cambia por encima de un nivel de riesgo o de deuda.</w:t>
      </w:r>
    </w:p>
    <w:p>
      <w:pPr>
        <w:pStyle w:val="BodyText"/>
      </w:pPr>
      <w:r>
        <w:t xml:space="preserve">En esta tesis la fatiga fiscal no organiza el marco ni sustenta una hipótesis. Es un resultado complementario del Capítulo 6, que se interpreta como una verificación de robustez de la regla lineal, no como la explicación central. La razón es que el objetivo es evaluar el peso conjunto de los canales sobre la deuda y la probabilidad de que no se estabilice, y para eso la reacción fiscal es un componente más del sistema.</w:t>
      </w:r>
    </w:p>
    <w:bookmarkEnd w:id="44"/>
    <w:bookmarkStart w:id="45"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45"/>
    <w:bookmarkEnd w:id="46"/>
    <w:bookmarkStart w:id="55"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47" w:name="arquitectura-general"/>
    <w:p>
      <w:pPr>
        <w:pStyle w:val="Heading2"/>
      </w:pPr>
      <w:r>
        <w:t xml:space="preserve">4.1 Arquitectura general</w:t>
      </w:r>
    </w:p>
    <w:p>
      <w:pPr>
        <w:pStyle w:val="FirstParagraph"/>
      </w:pPr>
      <w:r>
        <w:t xml:space="preserve">El modelo sigue la arquitectura que el propio FMI desarrolló para economías emergentes y aplicó a</w:t>
      </w:r>
      <w:r>
        <w:t xml:space="preserve"> </w:t>
      </w:r>
      <w:r>
        <w:t xml:space="preserve">Argentina. Celasun, Debrun y Ostry (2006) proponen tres piezas:</w:t>
      </w:r>
    </w:p>
    <w:p>
      <w:pPr>
        <w:pStyle w:val="Compact"/>
        <w:numPr>
          <w:ilvl w:val="0"/>
          <w:numId w:val="1002"/>
        </w:numPr>
      </w:pPr>
      <w:r>
        <w:t xml:space="preserve">Un</w:t>
      </w:r>
      <w:r>
        <w:t xml:space="preserve"> </w:t>
      </w:r>
      <w:r>
        <w:rPr>
          <w:b/>
          <w:bCs/>
        </w:rPr>
        <w:t xml:space="preserve">VAR trimestral sin restricciones</w:t>
      </w:r>
      <w:r>
        <w:t xml:space="preserve"> </w:t>
      </w:r>
      <w:r>
        <w:t xml:space="preserve">sobre los determinantes de la dinámica de la deuda:</w:t>
      </w:r>
      <w:r>
        <w:t xml:space="preserve"> </w:t>
      </w:r>
      <w:r>
        <w:t xml:space="preserve">crecimiento, tasas de interés y tipo de cambio. El VAR describe cómo se mueven juntos, estima</w:t>
      </w:r>
      <w:r>
        <w:t xml:space="preserve"> </w:t>
      </w:r>
      <w:r>
        <w:t xml:space="preserve">las varianzas y covarianzas de sus shocks 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w:t>
      </w:r>
      <w:r>
        <w:t xml:space="preserve"> </w:t>
      </w:r>
      <w:r>
        <w:t xml:space="preserve">en moneda extranjera. Por ella pasan las proyecciones del VAR, anualizadas, para calcular la</w:t>
      </w:r>
      <w:r>
        <w:t xml:space="preserve"> </w:t>
      </w:r>
      <w:r>
        <w:t xml:space="preserve">deuda de manera recursiva y construir los gráficos de abanico.</w:t>
      </w:r>
    </w:p>
    <w:p>
      <w:pPr>
        <w:pStyle w:val="FirstParagraph"/>
      </w:pPr>
      <w:r>
        <w:t xml:space="preserve">El marco vigente del FMI (2021, párr. 52) mantiene la idea central: el gráfico de abanico se</w:t>
      </w:r>
      <w:r>
        <w:t xml:space="preserve"> </w:t>
      </w:r>
      <w:r>
        <w:t xml:space="preserve">arma aplicando al escenario base shocks tomados de la historia de los determinantes de la deuda.</w:t>
      </w:r>
    </w:p>
    <w:p>
      <w:pPr>
        <w:pStyle w:val="BodyText"/>
      </w:pPr>
      <w:r>
        <w:t xml:space="preserve">El modelo de esta tesis conserva esas tres piezas. Agrega dos cosas que la vacancia justifica: los</w:t>
      </w:r>
      <w:r>
        <w:t xml:space="preserve"> </w:t>
      </w:r>
      <w:r>
        <w:t xml:space="preserve">shocks se identifican estructuralmente y la tasa de la FED entra como un shock externo con</w:t>
      </w:r>
      <w:r>
        <w:t xml:space="preserve"> </w:t>
      </w:r>
      <w:r>
        <w:t xml:space="preserve">nombre propio.</w:t>
      </w:r>
    </w:p>
    <w:bookmarkEnd w:id="47"/>
    <w:bookmarkStart w:id="48" w:name="variables-del-sistema"/>
    <w:p>
      <w:pPr>
        <w:pStyle w:val="Heading2"/>
      </w:pPr>
      <w:r>
        <w:t xml:space="preserve">4.2 Variables del sistema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no la brecha del producto, porque es lo que entra en la identidad. El PIB real publicado no está desestacionalizado, por lo que el modelo incluye variables binarias estacionales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 que caracteriza la respuesta del superávit al endeudamiento.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spread).</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Entra rezagada en las ecuaciones;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Shock 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Dummies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Bai-Perron estimados sobre la propia serie de deuda (Bai y Perron, 2003).</w:t>
            </w:r>
          </w:p>
        </w:tc>
      </w:tr>
    </w:tbl>
    <w:p>
      <w:pPr>
        <w:pStyle w:val="BodyText"/>
      </w:pPr>
      <w:r>
        <w:rPr>
          <w:b/>
          <w:bCs/>
        </w:rPr>
        <w:t xml:space="preserve">Por qué la deuda entra rezagada y se acumula con la identidad.</w:t>
      </w:r>
      <w:r>
        <w:t xml:space="preserve"> </w:t>
      </w:r>
      <w:r>
        <w:t xml:space="preserve">Favero y Giavazzi (2007)</w:t>
      </w:r>
      <w:r>
        <w:t xml:space="preserve"> </w:t>
      </w:r>
      <w:r>
        <w:t xml:space="preserve">muestran que un VAR fiscal que omite la retroalimentación de la deuda está mal especificado:</w:t>
      </w:r>
      <w:r>
        <w:t xml:space="preserve"> </w:t>
      </w:r>
      <w:r>
        <w:t xml:space="preserve">la restricción presupuestaria hace que el nivel de deuda condicione la política fiscal y las</w:t>
      </w:r>
      <w:r>
        <w:t xml:space="preserve"> </w:t>
      </w:r>
      <w:r>
        <w:t xml:space="preserve">tasas. Su solución es incluir la deuda rezagada en las ecuaciones y hacerla evolucionar con la</w:t>
      </w:r>
      <w:r>
        <w:t xml:space="preserve"> </w:t>
      </w:r>
      <w:r>
        <w:t xml:space="preserve">identidad, no con una ecuación estimada. Eso permite captar los efectos conjuntos que plantea la pregunta de</w:t>
      </w:r>
      <w:r>
        <w:t xml:space="preserve"> </w:t>
      </w:r>
      <w:r>
        <w:t xml:space="preserve">investigación y mantiene la acumulación contablemente exacta.</w:t>
      </w:r>
    </w:p>
    <w:bookmarkEnd w:id="48"/>
    <w:bookmarkStart w:id="50" w:name="variables-exógenas"/>
    <w:p>
      <w:pPr>
        <w:pStyle w:val="Heading2"/>
      </w:pPr>
      <w:r>
        <w:t xml:space="preserve">4.3 Variables exógenas</w:t>
      </w:r>
    </w:p>
    <w:p>
      <w:pPr>
        <w:pStyle w:val="FirstParagraph"/>
      </w:pPr>
      <w:r>
        <w:t xml:space="preserve">Argentina es una economía pequeña y abierta: sus variables no afectan la tasa de la FED ni el</w:t>
      </w:r>
      <w:r>
        <w:t xml:space="preserve"> </w:t>
      </w:r>
      <w:r>
        <w:t xml:space="preserve">VIX. En los VAR de economías pequeñas y abiertas, el supuesto estándar es que las variables</w:t>
      </w:r>
      <w:r>
        <w:t xml:space="preserve"> </w:t>
      </w:r>
      <w:r>
        <w:t xml:space="preserve">externas forman un bloque exógeno (Cushman y Zha, 1997). Así se modela la transmisión de los</w:t>
      </w:r>
      <w:r>
        <w:t xml:space="preserve"> </w:t>
      </w:r>
      <w:r>
        <w:t xml:space="preserve">shocks de Estados Unidos a América Latina (Canova, 2005) y la relación entre tasas</w:t>
      </w:r>
      <w:r>
        <w:t xml:space="preserve"> </w:t>
      </w:r>
      <w:r>
        <w:t xml:space="preserve">internacionales y spreads en emergentes (Uribe y Yue, 2006).</w:t>
      </w:r>
    </w:p>
    <w:p>
      <w:pPr>
        <w:pStyle w:val="BodyText"/>
      </w:pPr>
      <w:r>
        <w:t xml:space="preserve">Una consecuencia importante es que</w:t>
      </w:r>
      <w:r>
        <w:t xml:space="preserve"> </w:t>
      </w:r>
      <w:r>
        <w:rPr>
          <w:b/>
          <w:bCs/>
        </w:rPr>
        <w:t xml:space="preserve">el efecto de la FED (H2) no depende de cómo se ordenen las</w:t>
      </w:r>
      <w:r>
        <w:rPr>
          <w:b/>
          <w:bCs/>
        </w:rPr>
        <w:t xml:space="preserve"> </w:t>
      </w:r>
      <w:r>
        <w:rPr>
          <w:b/>
          <w:bCs/>
        </w:rPr>
        <w:t xml:space="preserve">variables argentinas entre sí</w:t>
      </w:r>
      <w:r>
        <w:t xml:space="preserve">. Se calcula como un multiplicador dinámico de la variable</w:t>
      </w:r>
      <w:r>
        <w:t xml:space="preserve"> </w:t>
      </w:r>
      <w:r>
        <w:t xml:space="preserve">exógena.</w:t>
      </w:r>
    </w:p>
    <w:p>
      <w:pPr>
        <w:pStyle w:val="BodyText"/>
      </w:pPr>
      <w:r>
        <w:t xml:space="preserve">La serie es la tasa de fondos federales. En los trimestres en que esa tasa estuvo en el piso de</w:t>
      </w:r>
      <w:r>
        <w:t xml:space="preserve"> </w:t>
      </w:r>
      <w:r>
        <w:t xml:space="preserve">cero se usa la tasa sombra de Wu y Xia (2016), que mide la orientación de la política monetaria</w:t>
      </w:r>
      <w:r>
        <w:t xml:space="preserve"> </w:t>
      </w:r>
      <w:r>
        <w:t xml:space="preserve">cuando la tasa efectiva no puede bajar más.</w:t>
      </w:r>
    </w:p>
    <w:bookmarkStart w:id="49" w:name="X4626adc4a04cc38647431de13eed7f7fdb244c4"/>
    <w:p>
      <w:pPr>
        <w:pStyle w:val="Heading3"/>
      </w:pPr>
      <w:r>
        <w:t xml:space="preserve">Canales por los que opera el shock de la FED</w:t>
      </w:r>
    </w:p>
    <w:p>
      <w:pPr>
        <w:pStyle w:val="FirstParagraph"/>
      </w:pPr>
      <w:r>
        <w:t xml:space="preserve">Cada canal de transmisión que plantea la pregunta específica (Capítulo 1) está representado por una variable del sistema. Por eso el modelo puede medir cuánto pasa por cada uno.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 (tasa de la FED más el spread).</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tasa-crecimiento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 r - g.</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49"/>
    <w:bookmarkEnd w:id="50"/>
    <w:bookmarkStart w:id="51" w:name="identificación-de-los-shocks-domésticos"/>
    <w:p>
      <w:pPr>
        <w:pStyle w:val="Heading2"/>
      </w:pPr>
      <w:r>
        <w:t xml:space="preserve">4.4 Identificación de los shocks domésticos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Shock</w:t>
            </w:r>
          </w:p>
        </w:tc>
        <w:tc>
          <w:tcPr/>
          <w:p>
            <w:pPr>
              <w:pStyle w:val="Compact"/>
            </w:pPr>
            <w:r>
              <w:rPr>
                <w:rFonts w:ascii="Calibri" w:hAnsi="Calibri"/>
                <w:sz w:val="20"/>
              </w:rPr>
              <w:t xml:space="preserve">Supuesto</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El componente cíclico del resultado primario se descuenta con una elasticidad de 0,25, y el resto es el shock fiscal discrecional.</w:t>
            </w:r>
          </w:p>
        </w:tc>
        <w:tc>
          <w:tcPr/>
          <w:p>
            <w:pPr>
              <w:pStyle w:val="Compact"/>
            </w:pPr>
            <w:r>
              <w:rPr>
                <w:rFonts w:ascii="Calibri" w:hAnsi="Calibri"/>
                <w:sz w:val="20"/>
              </w:rPr>
              <w:t xml:space="preserve">Blanchard y Perotti (2002). La política discrecional tarda más de un trimestre en reaccionar, y la elasticidad se toma de estimaciones externas (Girouard y André, 2005).</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El producto puede responder al shock fiscal dentro del trimestre.</w:t>
            </w:r>
          </w:p>
        </w:tc>
        <w:tc>
          <w:tcPr/>
          <w:p>
            <w:pPr>
              <w:pStyle w:val="Compact"/>
            </w:pPr>
            <w:r>
              <w:rPr>
                <w:rFonts w:ascii="Calibri" w:hAnsi="Calibri"/>
                <w:sz w:val="20"/>
              </w:rPr>
              <w:t xml:space="preserve">Blanchard y Perotti (2002).</w:t>
            </w:r>
          </w:p>
        </w:tc>
      </w:tr>
      <w:tr>
        <w:tc>
          <w:tcPr/>
          <w:p>
            <w:pPr>
              <w:pStyle w:val="Compact"/>
            </w:pPr>
            <w:r>
              <w:rPr>
                <w:rFonts w:ascii="Calibri" w:hAnsi="Calibri"/>
                <w:sz w:val="20"/>
              </w:rPr>
              <w:t xml:space="preserve">Riesgo soberano y tipo de cambio</w:t>
            </w:r>
          </w:p>
        </w:tc>
        <w:tc>
          <w:tcPr/>
          <w:p>
            <w:pPr>
              <w:pStyle w:val="Compact"/>
            </w:pPr>
            <w:r>
              <w:rPr>
                <w:rFonts w:ascii="Calibri" w:hAnsi="Calibri"/>
                <w:sz w:val="20"/>
              </w:rPr>
              <w:t xml:space="preserve">Se identifican como</w:t>
            </w:r>
            <w:r>
              <w:rPr>
                <w:rFonts w:ascii="Calibri" w:hAnsi="Calibri"/>
                <w:sz w:val="20"/>
              </w:rPr>
              <w:t xml:space="preserve"> </w:t>
            </w:r>
            <w:r>
              <w:rPr>
                <w:rFonts w:ascii="Calibri" w:hAnsi="Calibri"/>
                <w:b/>
                <w:bCs/>
                <w:sz w:val="20"/>
              </w:rPr>
              <w:t xml:space="preserve">bloque</w:t>
            </w:r>
            <w:r>
              <w:rPr>
                <w:rFonts w:ascii="Calibri" w:hAnsi="Calibri"/>
                <w:sz w:val="20"/>
              </w:rPr>
              <w:t xml:space="preserve">, sin ordenarlos entre sí. Se reporta solo su contribución conjunta.</w:t>
            </w:r>
          </w:p>
        </w:tc>
        <w:tc>
          <w:tcPr/>
          <w:p>
            <w:pPr>
              <w:pStyle w:val="Compact"/>
            </w:pPr>
            <w:r>
              <w:rPr>
                <w:rFonts w:ascii="Calibri" w:hAnsi="Calibri"/>
                <w:sz w:val="20"/>
              </w:rPr>
              <w:t xml:space="preserve">Christiano, Eichenbaum y Evans (1999): con una identificación recursiva por bloques, lo que se identifica no depende del orden dentro de cada bloque. No hay razón teórica para ordenar el EMBI+ y el tipo de cambio, y H1a solo necesita el bloque</w:t>
            </w:r>
            <w:r>
              <w:rPr>
                <w:rFonts w:ascii="Calibri" w:hAnsi="Calibri"/>
                <w:sz w:val="20"/>
              </w:rPr>
              <w:t xml:space="preserve"> </w:t>
            </w:r>
            <w:r>
              <w:rPr>
                <w:rFonts w:ascii="Calibri" w:hAnsi="Calibri"/>
                <w:sz w:val="20"/>
              </w:rPr>
              <w:t xml:space="preserve">“cambiario y de riesgo”</w:t>
            </w:r>
            <w:r>
              <w:rPr>
                <w:rFonts w:ascii="Calibri" w:hAnsi="Calibri"/>
                <w:sz w:val="20"/>
              </w:rPr>
              <w:t xml:space="preserve"> </w:t>
            </w:r>
            <w:r>
              <w:rPr>
                <w:rFonts w:ascii="Calibri" w:hAnsi="Calibri"/>
                <w:sz w:val="20"/>
              </w:rPr>
              <w:t xml:space="preserve">en conjunto.</w:t>
            </w:r>
          </w:p>
        </w:tc>
      </w:tr>
    </w:tbl>
    <w:bookmarkEnd w:id="51"/>
    <w:bookmarkStart w:id="52"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El VAR se estima en niveles aunque algunas variables tengan raíz</w:t>
      </w:r>
      <w:r>
        <w:t xml:space="preserve"> </w:t>
      </w:r>
      <w:r>
        <w:t xml:space="preserve">unitaria. Sims, Stock y Watson (1990) muestran que las estimaciones siguen siendo consistentes</w:t>
      </w:r>
      <w:r>
        <w:t xml:space="preserve"> </w:t>
      </w:r>
      <w:r>
        <w:t xml:space="preserve">sin imponer relaciones de cointegración. Para 1996-2025, la prueba de Johansen no rechaza la</w:t>
      </w:r>
      <w:r>
        <w:t xml:space="preserve"> </w:t>
      </w:r>
      <w:r>
        <w:t xml:space="preserve">ausencia de cointegración, por lo que imponer un rango concreto sería un supuesto sin respaldo.</w:t>
      </w:r>
    </w:p>
    <w:p>
      <w:pPr>
        <w:pStyle w:val="Compact"/>
        <w:numPr>
          <w:ilvl w:val="0"/>
          <w:numId w:val="1003"/>
        </w:numPr>
      </w:pPr>
      <w:r>
        <w:rPr>
          <w:b/>
          <w:bCs/>
        </w:rPr>
        <w:t xml:space="preserve">Muestra de estimación.</w:t>
      </w:r>
      <w:r>
        <w:t xml:space="preserve"> </w:t>
      </w:r>
      <w:r>
        <w:t xml:space="preserve">Todas las series cubren 1996-2025 y todas las especificaciones se estiman sobre la misma muestra efectiva, 1998T2-2025T4 (111 trimestres). Los primeros trimestres no se pierden por falta de datos: se usan como condiciones iniciales de los rezagos (la variación de la tasa de la FED con dos rezagos y hasta seis rezagos del VAR). Reservar el mismo número de observaciones para cualquier orden del VAR es lo que permite comparar los criterios de información entre órdenes (Lütkepohl, 2005, sec. 4.3) y hace que la deuda neta, la neta en libros y la bruta se estimen sobre exactamente los mismos trimestres. La simulación usa esa misma muestra para remuestrear los shocks, y la variante con shocks como los del FMI usa los años 1997-2025 de las mismas series.</w:t>
      </w:r>
    </w:p>
    <w:p>
      <w:pPr>
        <w:pStyle w:val="Compact"/>
        <w:numPr>
          <w:ilvl w:val="0"/>
          <w:numId w:val="1003"/>
        </w:numPr>
      </w:pPr>
      <w:r>
        <w:rPr>
          <w:b/>
          <w:bCs/>
        </w:rPr>
        <w:t xml:space="preserve">Rezagos.</w:t>
      </w:r>
      <w:r>
        <w:t xml:space="preserve"> </w:t>
      </w:r>
      <w:r>
        <w:t xml:space="preserve">El orden del VAR se elige con el criterio de información de Akaike (AIC), sujeto a que el modelo sea estable, es decir, a que todas las raíces de su polinomio característico queden fuera del círculo unitario. La estabilidad no es un requisito accesorio: es la condición para que el VAR tenga una representación de medias móviles, en la que se apoyan las respuestas al impulso y la simulación de largo plazo (Lütkepohl, 2005, cap. 2 y 4). Si el orden que elige el AIC produce un modelo inestable, se toma el mayor orden estable inferior. Con la deuda consolidada neta, el AIC alcanza su mínimo en seis rezagos, el máximo considerado, pero todos los órdenes desde cuatro son inestables (raíz máxima entre 1,02 y 1,03), por lo que se usan tres (raíz máxima de 0,96). Los criterios de Hannan-Quinn y de Schwarz eligen órdenes menores (dos y uno), de modo que tres rezagos quedan dentro del rango que sugieren los tres criterios. Con la deuda bruta, el mayor orden estable es cuatro (raíz máxima de 0,99). La prueba de Portmanteau detecta autocorrelación residual leve en los modelos estables (p entre 0,02 y 0,04), que se informa como limitación.</w:t>
      </w:r>
    </w:p>
    <w:p>
      <w:pPr>
        <w:pStyle w:val="Compact"/>
        <w:numPr>
          <w:ilvl w:val="0"/>
          <w:numId w:val="1003"/>
        </w:numPr>
      </w:pPr>
      <w:r>
        <w:rPr>
          <w:b/>
          <w:bCs/>
        </w:rPr>
        <w:t xml:space="preserve">Intervalos de confianza.</w:t>
      </w:r>
      <w:r>
        <w:t xml:space="preserve"> </w:t>
      </w:r>
      <w:r>
        <w:t xml:space="preserve">Los residuos de este tipo de modelos para Argentina rechazan la normalidad, y la volatilidad de las variables cambia entre subperíodos. Por eso los intervalos se calculan con un</w:t>
      </w:r>
      <w:r>
        <w:t xml:space="preserve"> </w:t>
      </w:r>
      <w:r>
        <w:rPr>
          <w:i/>
          <w:iCs/>
        </w:rPr>
        <w:t xml:space="preserve">bootstrap</w:t>
      </w:r>
      <w:r>
        <w:t xml:space="preserve"> </w:t>
      </w:r>
      <w:r>
        <w:t xml:space="preserve">salvaje de diseño recursivo, que es válido con heterocedasticidad condicional de forma desconocida y también sin ella (Gonçalves y Kilian, 2004), con semilla fija para que sean reproducibles. Los diagnósticos del modelo estimado se presentan en el Capítulo 6.</w:t>
      </w:r>
    </w:p>
    <w:bookmarkEnd w:id="52"/>
    <w:bookmarkStart w:id="53" w:name="simulación-de-monte-carlo"/>
    <w:p>
      <w:pPr>
        <w:pStyle w:val="Heading2"/>
      </w:pPr>
      <w:r>
        <w:t xml:space="preserve">4.6 Simulación de Monte Carlo</w:t>
      </w:r>
    </w:p>
    <w:p>
      <w:pPr>
        <w:pStyle w:val="Compact"/>
        <w:numPr>
          <w:ilvl w:val="0"/>
          <w:numId w:val="1004"/>
        </w:numPr>
      </w:pPr>
      <w:r>
        <w:rPr>
          <w:b/>
          <w:bCs/>
        </w:rPr>
        <w:t xml:space="preserve">De dónde salen.</w:t>
      </w:r>
      <w:r>
        <w:t xml:space="preserve"> </w:t>
      </w:r>
      <w:r>
        <w:t xml:space="preserve">Se remuestrean los residuos estimados, que conservan las colas gordas que</w:t>
      </w:r>
      <w:r>
        <w:t xml:space="preserve"> </w:t>
      </w:r>
      <w:r>
        <w:t xml:space="preserve">la normal no captura. Es la versión econométrica del principio del FMI de usar shocks</w:t>
      </w:r>
      <w:r>
        <w:t xml:space="preserve"> </w:t>
      </w:r>
      <w:r>
        <w:t xml:space="preserve">históricos (FMI, 2021, párr. 52).</w:t>
      </w:r>
    </w:p>
    <w:p>
      <w:pPr>
        <w:pStyle w:val="Compact"/>
        <w:numPr>
          <w:ilvl w:val="0"/>
          <w:numId w:val="1004"/>
        </w:numPr>
      </w:pPr>
      <w:r>
        <w:rPr>
          <w:b/>
          <w:bCs/>
        </w:rPr>
        <w:t xml:space="preserve">Incertidumbre de parámetros.</w:t>
      </w:r>
      <w:r>
        <w:t xml:space="preserve"> </w:t>
      </w:r>
      <w:r>
        <w:t xml:space="preserve">Cada trayectoria usa parámetros de una réplica del</w:t>
      </w:r>
      <w:r>
        <w:t xml:space="preserve"> </w:t>
      </w:r>
      <w:r>
        <w:rPr>
          <w:i/>
          <w:iCs/>
        </w:rPr>
        <w:t xml:space="preserve">bootstrap</w:t>
      </w:r>
      <w:r>
        <w:t xml:space="preserve">. Eso da el intervalo de confianza con el que se contrasta H1b.</w:t>
      </w:r>
    </w:p>
    <w:p>
      <w:pPr>
        <w:pStyle w:val="Compact"/>
        <w:numPr>
          <w:ilvl w:val="0"/>
          <w:numId w:val="1004"/>
        </w:numPr>
      </w:pPr>
      <w:r>
        <w:rPr>
          <w:b/>
          <w:bCs/>
        </w:rPr>
        <w:t xml:space="preserve">Escenario base.</w:t>
      </w:r>
      <w:r>
        <w:t xml:space="preserve"> </w:t>
      </w:r>
      <w:r>
        <w:t xml:space="preserve">Los senderos son los del FMI (2025): crecimiento, resultado primario, tasa</w:t>
      </w:r>
      <w:r>
        <w:t xml:space="preserve"> </w:t>
      </w:r>
      <w:r>
        <w:t xml:space="preserve">efectiva y ajuste stock-flujo. Así la comparación con su 3% de no estabilización es directa.</w:t>
      </w:r>
    </w:p>
    <w:p>
      <w:pPr>
        <w:pStyle w:val="Compact"/>
        <w:numPr>
          <w:ilvl w:val="0"/>
          <w:numId w:val="1004"/>
        </w:numPr>
      </w:pPr>
      <w:r>
        <w:rPr>
          <w:b/>
          <w:bCs/>
        </w:rPr>
        <w:t xml:space="preserve">Tamaño del shock de la FED.</w:t>
      </w:r>
      <w:r>
        <w:t xml:space="preserve"> </w:t>
      </w:r>
      <w:r>
        <w:t xml:space="preserve">Un desvío estándar de la variación trimestral, 0,50 puntos</w:t>
      </w:r>
      <w:r>
        <w:t xml:space="preserve"> </w:t>
      </w:r>
      <w:r>
        <w:t xml:space="preserve">porcentuales, que es la convención para medir respuestas en estos modelos. Como escenario</w:t>
      </w:r>
      <w:r>
        <w:t xml:space="preserve"> </w:t>
      </w:r>
      <w:r>
        <w:t xml:space="preserve">histórico se agrega el ciclo de subas de 2022-2023, de 5,25 puntos.</w:t>
      </w:r>
    </w:p>
    <w:p>
      <w:pPr>
        <w:pStyle w:val="Compact"/>
        <w:numPr>
          <w:ilvl w:val="0"/>
          <w:numId w:val="1004"/>
        </w:numPr>
      </w:pPr>
      <w:r>
        <w:rPr>
          <w:b/>
          <w:bCs/>
        </w:rPr>
        <w:t xml:space="preserve">Tasa en dólares.</w:t>
      </w:r>
      <w:r>
        <w:t xml:space="preserve"> </w:t>
      </w:r>
      <w:r>
        <w:t xml:space="preserve">Es la tasa de la FED más el EMBI+ simulado. No se traslada de inmediato a toda la deuda: cada año se refinancia la fracción λ = 13/64,1 ≈ 0,20, que es el cociente entre las necesidades brutas de financiamiento y la deuda del escenario base del FMI (2025, anexo II).</w:t>
      </w:r>
    </w:p>
    <w:p>
      <w:pPr>
        <w:pStyle w:val="Compact"/>
        <w:numPr>
          <w:ilvl w:val="0"/>
          <w:numId w:val="1004"/>
        </w:numPr>
      </w:pPr>
      <w:r>
        <w:rPr>
          <w:b/>
          <w:bCs/>
        </w:rPr>
        <w:t xml:space="preserve">Canal de tasas domésticas (variante).</w:t>
      </w:r>
      <w:r>
        <w:t xml:space="preserve"> </w:t>
      </w:r>
      <w:r>
        <w:t xml:space="preserve">En la especificación principal, el EMBI+ encarece solo la deuda en moneda extranjera. En la variante, el mismo desvío del EMBI+ también reprecia la deuda en pesos, con la misma velocidad λ. El fundamento es la tasa de interés del país de Neumeyer y Perri (2005) y Uribe y Yue (2006): el costo del crédito para el soberano es la tasa internacional más la prima de riesgo, cualquiera sea la moneda. No se agrega una tasa en pesos como variable del VAR porque no hay una serie homogénea para 1996-2025: la convertibilidad, el control de tasas posterior a 2002 y la indexación por CER cambian el significado de cualquier tasa nominal en pesos entre subperíodos.</w:t>
      </w:r>
    </w:p>
    <w:p>
      <w:pPr>
        <w:pStyle w:val="Compact"/>
        <w:numPr>
          <w:ilvl w:val="0"/>
          <w:numId w:val="1004"/>
        </w:numPr>
      </w:pPr>
      <w:r>
        <w:rPr>
          <w:b/>
          <w:bCs/>
        </w:rPr>
        <w:t xml:space="preserve">Shocks como los del FMI (variante).</w:t>
      </w:r>
      <w:r>
        <w:t xml:space="preserve"> </w:t>
      </w:r>
      <w:r>
        <w:t xml:space="preserve">Para saber cuánto del resultado depende de la forma de generar los shocks, se repite la simulación con el procedimiento del abanico del FMI (FMI, 2021, anexo VI; FMI y ESM, 2023): se calculan los desvíos respecto de la media histórica de los cuatro impulsores anuales de la deuda (tasa real efectiva, crecimiento real, depreciación real y resultado primario, 1997-2025), se los remuestrea como vectores, para conservar la correlación entre impulsores, en bloques de dos años consecutivos, para conservar parte de la persistencia, y se los suma al escenario base. La identidad, el punto de partida y la métrica son los mismos. La tasa real efectiva es el cociente entre los intereses pagados (resultado primario menos resultado financiero del Sector Público Nacional, MECON) y la deuda bruta del año anterior, deflactado por el deflactor del PIB.</w:t>
      </w:r>
    </w:p>
    <w:p>
      <w:pPr>
        <w:pStyle w:val="Compact"/>
        <w:numPr>
          <w:ilvl w:val="0"/>
          <w:numId w:val="1004"/>
        </w:numPr>
      </w:pPr>
      <w:r>
        <w:rPr>
          <w:b/>
          <w:bCs/>
        </w:rPr>
        <w:t xml:space="preserve">Por qué la especificación principal es el SVARX.</w:t>
      </w:r>
      <w:r>
        <w:t xml:space="preserve"> </w:t>
      </w:r>
      <w:r>
        <w:t xml:space="preserve">La elección se fija antes de ver los resultados y no según cuál da una probabilidad mayor. El procedimiento del FMI genera shocks en forma reducida: no distingue un shock fiscal de uno cambiario ni aísla la tasa de la FED. Por eso no puede contrastar H1a, que compara bloques de shocks, ni H2, que requiere un shock externo identificado. El SVARX sí puede, y además incorpora la respuesta de la política fiscal a la deuda (Bohn, 1998). La variante del FMI se informa como comparación metodológica.</w:t>
      </w:r>
    </w:p>
    <w:bookmarkEnd w:id="53"/>
    <w:bookmarkStart w:id="54" w:name="contraste-de-las-hipótesis"/>
    <w:p>
      <w:pPr>
        <w:pStyle w:val="Heading2"/>
      </w:pPr>
      <w:r>
        <w:t xml:space="preserve">4.7 Contraste de las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 shocks (fiscal, actividad, cambiario y de riesgo) a la varianza de la deuda simulada en 2035, y reacción fiscal de Bohn como caracterización complementaria</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la contribución conjunta de los shocks no fiscales supera a la del shock fiscal, con un intervalo de 90% de la diferencia que excluye el cero. Una reacción fiscal positiva no contradice la hipótesis: indica que el superávit responde a la deuda, no que alcance para estabilizarla.</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 a cinco años (2030) y a diez años (2035)</w:t>
            </w:r>
          </w:p>
        </w:tc>
        <w:tc>
          <w:tcPr/>
          <w:p>
            <w:pPr>
              <w:pStyle w:val="Compact"/>
            </w:pPr>
            <w:r>
              <w:rPr>
                <w:rFonts w:ascii="Calibri" w:hAnsi="Calibri"/>
                <w:sz w:val="20"/>
              </w:rPr>
              <w:t xml:space="preserve">El límite inferior del intervalo de 90% supera el 3% del FMI (contraste unilateral al 5%). El contraste directo es el de 2030, porque el 3% del FMI se mide a cinco años; el de 2035 indica si el resultado se sostiene hasta el final del horizonte.</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el escenario con shock de la FED y el escenario base</w:t>
            </w:r>
          </w:p>
        </w:tc>
        <w:tc>
          <w:tcPr/>
          <w:p>
            <w:pPr>
              <w:pStyle w:val="Compact"/>
            </w:pPr>
            <w:r>
              <w:rPr>
                <w:rFonts w:ascii="Calibri" w:hAnsi="Calibri"/>
                <w:sz w:val="20"/>
              </w:rPr>
              <w:t xml:space="preserve">El intervalo de 90% de la diferencia excluye el cero.</w:t>
            </w:r>
          </w:p>
        </w:tc>
      </w:tr>
    </w:tbl>
    <w:bookmarkEnd w:id="54"/>
    <w:bookmarkEnd w:id="55"/>
    <w:bookmarkStart w:id="94" w:name="datos"/>
    <w:p>
      <w:pPr>
        <w:pStyle w:val="Heading1"/>
      </w:pPr>
      <w:r>
        <w:t xml:space="preserve">5. Datos</w:t>
      </w:r>
    </w:p>
    <w:p>
      <w:pPr>
        <w:pStyle w:val="FirstParagraph"/>
      </w:pPr>
      <w:r>
        <w:t xml:space="preserve">Este capítulo documenta cada serie del modelo: qué mide, de dónde sale, qué transformaciones se le aplicaron y por qué. La muestra es trimestral, 1996T1-2025T4 (120 observaciones). La muestra efectiva de estimación es 1996T4-2025T4 (117 observaciones), porque el crecimiento pierde la primera observación y los dos rezagos de la tasa de la Fed consumen las siguientes. Todas las cifras que aparecen aquí se recalcularon desde los archivos del repositorio citados en cada sección. Cuando una serie tiene una limitación, se declara junto con la dirección probable de su sesgo.</w:t>
      </w:r>
    </w:p>
    <w:bookmarkStart w:id="56" w:name="resumen-de-las-series"/>
    <w:p>
      <w:pPr>
        <w:pStyle w:val="Heading2"/>
      </w:pPr>
      <w:r>
        <w:t xml:space="preserve">5.1 Resumen de las series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 del modelo</w:t>
            </w:r>
          </w:p>
        </w:tc>
        <w:tc>
          <w:tcPr/>
          <w:p>
            <w:pPr>
              <w:pStyle w:val="Compact"/>
            </w:pPr>
            <w:r>
              <w:rPr>
                <w:rFonts w:ascii="Calibri" w:hAnsi="Calibri"/>
                <w:sz w:val="20"/>
              </w:rPr>
              <w:t xml:space="preserve">Rol (Capítulo 4)</w:t>
            </w:r>
          </w:p>
        </w:tc>
        <w:tc>
          <w:tcPr/>
          <w:p>
            <w:pPr>
              <w:pStyle w:val="Compact"/>
            </w:pPr>
            <w:r>
              <w:rPr>
                <w:rFonts w:ascii="Calibri" w:hAnsi="Calibri"/>
                <w:sz w:val="20"/>
              </w:rPr>
              <w:t xml:space="preserve">Archivo</w:t>
            </w:r>
          </w:p>
        </w:tc>
        <w:tc>
          <w:tcPr/>
          <w:p>
            <w:pPr>
              <w:pStyle w:val="Compact"/>
            </w:pPr>
            <w:r>
              <w:rPr>
                <w:rFonts w:ascii="Calibri" w:hAnsi="Calibri"/>
                <w:sz w:val="20"/>
              </w:rPr>
              <w:t xml:space="preserve">Fuente primaria</w:t>
            </w:r>
          </w:p>
        </w:tc>
        <w:tc>
          <w:tcPr/>
          <w:p>
            <w:pPr>
              <w:pStyle w:val="Compact"/>
            </w:pPr>
            <w:r>
              <w:rPr>
                <w:rFonts w:ascii="Calibri" w:hAnsi="Calibri"/>
                <w:sz w:val="20"/>
              </w:rPr>
              <w:t xml:space="preserve">Cobertura real</w:t>
            </w:r>
          </w:p>
        </w:tc>
      </w:tr>
      <w:tr>
        <w:tc>
          <w:tcPr/>
          <w:p>
            <w:pPr>
              <w:pStyle w:val="Compact"/>
            </w:pPr>
            <w:r>
              <w:rPr>
                <w:rFonts w:ascii="Calibri" w:hAnsi="Calibri"/>
                <w:sz w:val="20"/>
              </w:rPr>
              <w:t xml:space="preserve">Deuda consolidada neta, tenencia del BCRA a valor nominal, variante piso (% PIB)</w:t>
            </w:r>
          </w:p>
        </w:tc>
        <w:tc>
          <w:tcPr/>
          <w:p>
            <w:pPr>
              <w:pStyle w:val="Compact"/>
            </w:pPr>
            <w:r>
              <w:rPr>
                <w:rFonts w:ascii="Calibri" w:hAnsi="Calibri"/>
                <w:sz w:val="20"/>
              </w:rPr>
              <w:t xml:space="preserve">Rezagada en las ecuaciones</w:t>
            </w:r>
          </w:p>
        </w:tc>
        <w:tc>
          <w:tcPr/>
          <w:p>
            <w:pPr>
              <w:pStyle w:val="Compact"/>
            </w:pPr>
            <w:r>
              <w:rPr>
                <w:rStyle w:val="VerbatimChar"/>
                <w:rFonts w:ascii="Calibri" w:hAnsi="Calibri"/>
                <w:sz w:val="20"/>
              </w:rPr>
              <w:t xml:space="preserve">datos/procesados/deuda_consolidada_neta_nominal_1996_2025.csv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deuda_consolidada_neta_nominal_piso_pib</w:t>
            </w:r>
            <w:r>
              <w:rPr>
                <w:rFonts w:ascii="Calibri" w:hAnsi="Calibri"/>
                <w:sz w:val="20"/>
              </w:rPr>
              <w:t xml:space="preserve">)</w:t>
            </w:r>
          </w:p>
        </w:tc>
        <w:tc>
          <w:tcPr/>
          <w:p>
            <w:pPr>
              <w:pStyle w:val="Compact"/>
            </w:pPr>
            <w:r>
              <w:rPr>
                <w:rFonts w:ascii="Calibri" w:hAnsi="Calibri"/>
                <w:sz w:val="20"/>
              </w:rPr>
              <w:t xml:space="preserve">MECON y BCRA</w:t>
            </w:r>
          </w:p>
        </w:tc>
        <w:tc>
          <w:tcPr/>
          <w:p>
            <w:pPr>
              <w:pStyle w:val="Compact"/>
            </w:pPr>
            <w:r>
              <w:rPr>
                <w:rFonts w:ascii="Calibri" w:hAnsi="Calibri"/>
                <w:sz w:val="20"/>
              </w:rPr>
              <w:t xml:space="preserve">1996T1-2025T4, sin FGS; nominal en 80 de 120 trimestres (ver 5.3.4)</w:t>
            </w:r>
          </w:p>
        </w:tc>
      </w:tr>
      <w:tr>
        <w:tc>
          <w:tcPr/>
          <w:p>
            <w:pPr>
              <w:pStyle w:val="Compact"/>
            </w:pPr>
            <w:r>
              <w:rPr>
                <w:rFonts w:ascii="Calibri" w:hAnsi="Calibri"/>
                <w:sz w:val="20"/>
              </w:rPr>
              <w:t xml:space="preserve">Deuda neta a valor de libros y deuda federal bruta (% PIB)</w:t>
            </w:r>
          </w:p>
        </w:tc>
        <w:tc>
          <w:tcPr/>
          <w:p>
            <w:pPr>
              <w:pStyle w:val="Compact"/>
            </w:pPr>
            <w:r>
              <w:rPr>
                <w:rFonts w:ascii="Calibri" w:hAnsi="Calibri"/>
                <w:sz w:val="20"/>
              </w:rPr>
              <w:t xml:space="preserve">Series de robustez y componente</w:t>
            </w:r>
          </w:p>
        </w:tc>
        <w:tc>
          <w:tcPr/>
          <w:p>
            <w:pPr>
              <w:pStyle w:val="Compact"/>
            </w:pPr>
            <w:r>
              <w:rPr>
                <w:rStyle w:val="VerbatimChar"/>
                <w:rFonts w:ascii="Calibri" w:hAnsi="Calibri"/>
                <w:sz w:val="20"/>
              </w:rPr>
              <w:t xml:space="preserve">datos/procesados/deuda_consolidada_neta_1996_2025.csv</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datos/procesados/deuda_consolidada_1996_2025.csv</w:t>
            </w:r>
          </w:p>
        </w:tc>
        <w:tc>
          <w:tcPr/>
          <w:p>
            <w:pPr>
              <w:pStyle w:val="Compact"/>
            </w:pPr>
            <w:r>
              <w:rPr>
                <w:rFonts w:ascii="Calibri" w:hAnsi="Calibri"/>
                <w:sz w:val="20"/>
              </w:rPr>
              <w:t xml:space="preserve">MECON, Informe de Deuda 31/12/2025</w:t>
            </w:r>
          </w:p>
        </w:tc>
        <w:tc>
          <w:tcPr/>
          <w:p>
            <w:pPr>
              <w:pStyle w:val="Compact"/>
            </w:pPr>
            <w:r>
              <w:rPr>
                <w:rFonts w:ascii="Calibri" w:hAnsi="Calibri"/>
                <w:sz w:val="20"/>
              </w:rPr>
              <w:t xml:space="preserve">1996T1-2025T4 (6 trimestres interpolados)</w:t>
            </w:r>
          </w:p>
        </w:tc>
      </w:tr>
      <w:tr>
        <w:tc>
          <w:tcPr/>
          <w:p>
            <w:pPr>
              <w:pStyle w:val="Compact"/>
            </w:pPr>
            <w:r>
              <w:rPr>
                <w:rFonts w:ascii="Calibri" w:hAnsi="Calibri"/>
                <w:sz w:val="20"/>
              </w:rPr>
              <w:t xml:space="preserve">Pasivos remunerados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w:t>
            </w:r>
          </w:p>
        </w:tc>
        <w:tc>
          <w:tcPr/>
          <w:p>
            <w:pPr>
              <w:pStyle w:val="Compact"/>
            </w:pPr>
            <w:r>
              <w:rPr>
                <w:rFonts w:ascii="Calibri" w:hAnsi="Calibri"/>
                <w:sz w:val="20"/>
              </w:rPr>
              <w:t xml:space="preserve">1996T1-2025T4 (sin swap del PBoC)</w:t>
            </w:r>
          </w:p>
        </w:tc>
      </w:tr>
      <w:tr>
        <w:tc>
          <w:tcPr/>
          <w:p>
            <w:pPr>
              <w:pStyle w:val="Compact"/>
            </w:pPr>
            <w:r>
              <w:rPr>
                <w:rFonts w:ascii="Calibri" w:hAnsi="Calibri"/>
                <w:sz w:val="20"/>
              </w:rPr>
              <w:t xml:space="preserve">Deuda del Tesoro en poder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BCRA, Balance histórico</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 id 1264</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Resultado primario (% PIB, flujo trimestral anualizado)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datos/procesados/resultado_primario_1996_2025.csv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pb_pib_trim</w:t>
            </w:r>
            <w:r>
              <w:rPr>
                <w:rFonts w:ascii="Calibri" w:hAnsi="Calibri"/>
                <w:sz w:val="20"/>
              </w:rPr>
              <w:t xml:space="preserve">)</w:t>
            </w:r>
          </w:p>
        </w:tc>
        <w:tc>
          <w:tcPr/>
          <w:p>
            <w:pPr>
              <w:pStyle w:val="Compact"/>
            </w:pPr>
            <w:r>
              <w:rPr>
                <w:rFonts w:ascii="Calibri" w:hAnsi="Calibri"/>
                <w:sz w:val="20"/>
              </w:rPr>
              <w:t xml:space="preserve">MECON, Secretaría de Hacienda, esquema Ahorro-Inversión-Financiamiento (datos.gob.ar, dataset 379)</w:t>
            </w:r>
          </w:p>
        </w:tc>
        <w:tc>
          <w:tcPr/>
          <w:p>
            <w:pPr>
              <w:pStyle w:val="Compact"/>
            </w:pPr>
            <w:r>
              <w:rPr>
                <w:rFonts w:ascii="Calibri" w:hAnsi="Calibri"/>
                <w:sz w:val="20"/>
              </w:rPr>
              <w:t xml:space="preserve">1996T1-2025T4, mensual, sin desagregación</w:t>
            </w:r>
          </w:p>
        </w:tc>
      </w:tr>
      <w:tr>
        <w:tc>
          <w:tcPr/>
          <w:p>
            <w:pPr>
              <w:pStyle w:val="Compact"/>
            </w:pPr>
            <w:r>
              <w:rPr>
                <w:rFonts w:ascii="Calibri" w:hAnsi="Calibri"/>
                <w:sz w:val="20"/>
              </w:rPr>
              <w:t xml:space="preserve">PIB real y crecimiento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datos/procesados/pib_real_empalme_indec_1996_2003.csv</w:t>
            </w:r>
            <w:r>
              <w:rPr>
                <w:rFonts w:ascii="Calibri" w:hAnsi="Calibri"/>
                <w:sz w:val="20"/>
              </w:rPr>
              <w:t xml:space="preserve"> </w:t>
            </w:r>
            <w:r>
              <w:rPr>
                <w:rFonts w:ascii="Calibri" w:hAnsi="Calibri"/>
                <w:sz w:val="20"/>
              </w:rPr>
              <w:t xml:space="preserve">y</w:t>
            </w:r>
            <w:r>
              <w:rPr>
                <w:rFonts w:ascii="Calibri" w:hAnsi="Calibri"/>
                <w:sz w:val="20"/>
              </w:rPr>
              <w:t xml:space="preserve"> </w:t>
            </w:r>
            <w:r>
              <w:rPr>
                <w:rStyle w:val="VerbatimChar"/>
                <w:rFonts w:ascii="Calibri" w:hAnsi="Calibri"/>
                <w:sz w:val="20"/>
              </w:rPr>
              <w:t xml:space="preserve">datos/dataset_consolidado_1996_2025.csv</w:t>
            </w:r>
          </w:p>
        </w:tc>
        <w:tc>
          <w:tcPr/>
          <w:p>
            <w:pPr>
              <w:pStyle w:val="Compact"/>
            </w:pPr>
            <w:r>
              <w:rPr>
                <w:rFonts w:ascii="Calibri" w:hAnsi="Calibri"/>
                <w:sz w:val="20"/>
              </w:rPr>
              <w:t xml:space="preserve">INDEC, Oferta y Demanda Globales</w:t>
            </w:r>
          </w:p>
        </w:tc>
        <w:tc>
          <w:tcPr/>
          <w:p>
            <w:pPr>
              <w:pStyle w:val="Compact"/>
            </w:pPr>
            <w:r>
              <w:rPr>
                <w:rFonts w:ascii="Calibri" w:hAnsi="Calibri"/>
                <w:sz w:val="20"/>
              </w:rPr>
              <w:t xml:space="preserve">1996-2003 base 1993 empalmada a base 2004; 2004-2025 directo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JP Morgan vía Ámbito; spread Brady</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BCRA,</w:t>
            </w:r>
            <w:r>
              <w:rPr>
                <w:rFonts w:ascii="Calibri" w:hAnsi="Calibri"/>
                <w:sz w:val="20"/>
              </w:rPr>
              <w:t xml:space="preserve"> </w:t>
            </w:r>
            <w:r>
              <w:rPr>
                <w:rStyle w:val="VerbatimChar"/>
                <w:rFonts w:ascii="Calibri" w:hAnsi="Calibri"/>
                <w:sz w:val="20"/>
              </w:rPr>
              <w:t xml:space="preserve">ITCRMSerie.xlsx</w:t>
            </w:r>
          </w:p>
        </w:tc>
        <w:tc>
          <w:tcPr/>
          <w:p>
            <w:pPr>
              <w:pStyle w:val="Compact"/>
            </w:pPr>
            <w:r>
              <w:rPr>
                <w:rFonts w:ascii="Calibri" w:hAnsi="Calibri"/>
                <w:sz w:val="20"/>
              </w:rPr>
              <w:t xml:space="preserve">1997T1-2025T4; 1996 retropolado</w:t>
            </w:r>
          </w:p>
        </w:tc>
      </w:tr>
      <w:tr>
        <w:tc>
          <w:tcPr/>
          <w:p>
            <w:pPr>
              <w:pStyle w:val="Compact"/>
            </w:pPr>
            <w:r>
              <w:rPr>
                <w:rFonts w:ascii="Calibri" w:hAnsi="Calibri"/>
                <w:sz w:val="20"/>
              </w:rPr>
              <w:t xml:space="preserve">Tasa de la Fed (con tasa sombra)</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datos/procesados/tasa_fed_trimestral_1996_2025.csv</w:t>
            </w:r>
          </w:p>
        </w:tc>
        <w:tc>
          <w:tcPr/>
          <w:p>
            <w:pPr>
              <w:pStyle w:val="Compact"/>
            </w:pPr>
            <w:r>
              <w:rPr>
                <w:rFonts w:ascii="Calibri" w:hAnsi="Calibri"/>
                <w:sz w:val="20"/>
              </w:rPr>
              <w:t xml:space="preserve">FRED y Atlanta Fed</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datos/procesados/instrumentos_1996_2025.csv</w:t>
            </w:r>
          </w:p>
        </w:tc>
        <w:tc>
          <w:tcPr/>
          <w:p>
            <w:pPr>
              <w:pStyle w:val="Compact"/>
            </w:pPr>
            <w:r>
              <w:rPr>
                <w:rFonts w:ascii="Calibri" w:hAnsi="Calibri"/>
                <w:sz w:val="20"/>
              </w:rPr>
              <w:t xml:space="preserve">Yahoo Finance, ^VIX</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PIB nominal de cuatro trimestres</w:t>
            </w:r>
          </w:p>
        </w:tc>
        <w:tc>
          <w:tcPr/>
          <w:p>
            <w:pPr>
              <w:pStyle w:val="Compact"/>
            </w:pPr>
            <w:r>
              <w:rPr>
                <w:rFonts w:ascii="Calibri" w:hAnsi="Calibri"/>
                <w:sz w:val="20"/>
              </w:rPr>
              <w:t xml:space="preserve">Denominador</w:t>
            </w:r>
          </w:p>
        </w:tc>
        <w:tc>
          <w:tcPr/>
          <w:p>
            <w:pPr>
              <w:pStyle w:val="Compact"/>
            </w:pPr>
            <w:r>
              <w:rPr>
                <w:rStyle w:val="VerbatimChar"/>
                <w:rFonts w:ascii="Calibri" w:hAnsi="Calibri"/>
                <w:sz w:val="20"/>
              </w:rPr>
              <w:t xml:space="preserve">deuda_consolidada_1996_2025.csv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pib_4t_mm</w:t>
            </w:r>
            <w:r>
              <w:rPr>
                <w:rFonts w:ascii="Calibri" w:hAnsi="Calibri"/>
                <w:sz w:val="20"/>
              </w:rPr>
              <w:t xml:space="preserve">)</w:t>
            </w:r>
          </w:p>
        </w:tc>
        <w:tc>
          <w:tcPr/>
          <w:p>
            <w:pPr>
              <w:pStyle w:val="Compact"/>
            </w:pPr>
            <w:r>
              <w:rPr>
                <w:rFonts w:ascii="Calibri" w:hAnsi="Calibri"/>
                <w:sz w:val="20"/>
              </w:rPr>
              <w:t xml:space="preserve">INDEC</w:t>
            </w:r>
          </w:p>
        </w:tc>
        <w:tc>
          <w:tcPr/>
          <w:p>
            <w:pPr>
              <w:pStyle w:val="Compact"/>
            </w:pPr>
            <w:r>
              <w:rPr>
                <w:rFonts w:ascii="Calibri" w:hAnsi="Calibri"/>
                <w:sz w:val="20"/>
              </w:rPr>
              <w:t xml:space="preserve">1996T1-2025T4 (32 trimestres empalmados)</w:t>
            </w:r>
          </w:p>
        </w:tc>
      </w:tr>
    </w:tbl>
    <w:p>
      <w:pPr>
        <w:pStyle w:val="BodyText"/>
      </w:pPr>
      <w:r>
        <w:t xml:space="preserve">Un cambio metodológico respecto de versiones anteriores: ninguna serie fiscal ni de deuda sale ya de un diccionario escrito a mano. La deuda es el cociente entre stocks en pesos tomados de los informes del MECON y el PIB nominal. El resultado primario se lee de las planillas mensuales de Hacienda y el PIB real de 1996-2003 se empalma con las series publicadas por INDEC. Todas las construcciones son trazables a archivos y reproducibles con los scripts de</w:t>
      </w:r>
      <w:r>
        <w:t xml:space="preserve"> </w:t>
      </w:r>
      <w:r>
        <w:rPr>
          <w:rStyle w:val="VerbatimChar"/>
        </w:rPr>
        <w:t xml:space="preserve">codigo/ingesta_datos/</w:t>
      </w:r>
      <w:r>
        <w:t xml:space="preserve">.</w:t>
      </w:r>
    </w:p>
    <w:bookmarkEnd w:id="56"/>
    <w:bookmarkStart w:id="57" w:name="X9551ff4f8fe6138b2157a69a2c063d63865295b"/>
    <w:p>
      <w:pPr>
        <w:pStyle w:val="Heading2"/>
      </w:pPr>
      <w:r>
        <w:t xml:space="preserve">5.2 Denominador: PIB nominal de los últimos cuatro trimestres</w:t>
      </w:r>
    </w:p>
    <w:p>
      <w:pPr>
        <w:pStyle w:val="FirstParagraph"/>
      </w:pPr>
      <w:r>
        <w:t xml:space="preserve">Un stock de fin de período es una variable de fin de período y el PIB es un flujo anual. Dividir el stock por el PIB de un solo trimestre anualizado mezcla estacionalidad y, con inflación alta, infla el denominador. El denominador elegido es la suma de los últimos cuatro flujos trimestrales del PIB nominal (</w:t>
      </w:r>
      <w:r>
        <w:rPr>
          <w:rStyle w:val="VerbatimChar"/>
        </w:rPr>
        <w:t xml:space="preserve">pib_4t_mm</w:t>
      </w:r>
      <w:r>
        <w:t xml:space="preserve">, millones de pesos corrientes). En el cuarto trimestre coincide con la convención del FMI, que divide por el PIB del año (FMI, 2025, Annex II, Table 2, nota 1).</w:t>
      </w:r>
    </w:p>
    <w:p>
      <w:pPr>
        <w:pStyle w:val="Compact"/>
        <w:numPr>
          <w:ilvl w:val="0"/>
          <w:numId w:val="1005"/>
        </w:numPr>
      </w:pPr>
      <w:r>
        <w:rPr>
          <w:b/>
          <w:bCs/>
        </w:rPr>
        <w:t xml:space="preserve">Fuente.</w:t>
      </w:r>
      <w:r>
        <w:t xml:space="preserve"> </w:t>
      </w:r>
      <w:r>
        <w:t xml:space="preserve">INDEC, PIB a precios de comprador corrientes. Para 2004T1-2025T4, serie 4.4_OGP_2004_T_17 de datos.gob.ar (88 trimestres). Para 1996T1-2003T4, serie 2.4_OGP_1993_T_17 (base 1993), empalmada con un coeficiente de enlace de 1,0837. Ese coeficiente es la razón entre las medias de 2004 en base 2004 y en base 1993 (32 trimestres, marcados</w:t>
      </w:r>
      <w:r>
        <w:t xml:space="preserve"> </w:t>
      </w:r>
      <w:r>
        <w:rPr>
          <w:rStyle w:val="VerbatimChar"/>
        </w:rPr>
        <w:t xml:space="preserve">base1993_empalmada</w:t>
      </w:r>
      <w:r>
        <w:t xml:space="preserve"> </w:t>
      </w:r>
      <w:r>
        <w:t xml:space="preserve">en</w:t>
      </w:r>
      <w:r>
        <w:t xml:space="preserve"> </w:t>
      </w:r>
      <w:r>
        <w:rPr>
          <w:rStyle w:val="VerbatimChar"/>
        </w:rPr>
        <w:t xml:space="preserve">pib_origen</w:t>
      </w:r>
      <w:r>
        <w:t xml:space="preserve">).</w:t>
      </w:r>
    </w:p>
    <w:p>
      <w:pPr>
        <w:pStyle w:val="Compact"/>
        <w:numPr>
          <w:ilvl w:val="0"/>
          <w:numId w:val="1005"/>
        </w:numPr>
      </w:pPr>
      <w:r>
        <w:rPr>
          <w:b/>
          <w:bCs/>
        </w:rPr>
        <w:t xml:space="preserve">Límite.</w:t>
      </w:r>
      <w:r>
        <w:t xml:space="preserve"> </w:t>
      </w:r>
      <w:r>
        <w:t xml:space="preserve">La razón entre bases no es constante a lo largo de 2004 (varía entre 1,07 y 1,12 por trimestre) y se aleja más en años posteriores. El nivel del PIB nominal anterior a 2004 tiene, por lo tanto, una incertidumbre que se traslada a todos los ratios de ese tramo.</w:t>
      </w:r>
    </w:p>
    <w:p>
      <w:pPr>
        <w:pStyle w:val="Compact"/>
        <w:numPr>
          <w:ilvl w:val="0"/>
          <w:numId w:val="1005"/>
        </w:numPr>
      </w:pPr>
      <w:r>
        <w:rPr>
          <w:b/>
          <w:bCs/>
        </w:rPr>
        <w:t xml:space="preserve">Costo conocido.</w:t>
      </w:r>
      <w:r>
        <w:t xml:space="preserve"> </w:t>
      </w:r>
      <w:r>
        <w:t xml:space="preserve">Con inflación de tres dígitos (2023-2024), el PIB de cuatro trimestres rezaga al PIB corriente de fin de período. El ratio se sobreestima en la aceleración y se subestima en la desinflación. El diagnóstico previo, con el PIB del cuarto trimestre anualizado, daba 9,05 % para los pasivos del BCRA en 2023 contra 13,3 % con el denominador adoptado, y el FMI informa 18,4 % para un concepto más amplio. Se declara en la columna</w:t>
      </w:r>
      <w:r>
        <w:t xml:space="preserve"> </w:t>
      </w:r>
      <w:r>
        <w:rPr>
          <w:rStyle w:val="VerbatimChar"/>
        </w:rPr>
        <w:t xml:space="preserve">denominador_tipo</w:t>
      </w:r>
      <w:r>
        <w:t xml:space="preserve">.</w:t>
      </w:r>
    </w:p>
    <w:bookmarkEnd w:id="57"/>
    <w:bookmarkStart w:id="67" w:name="deuda-consolidada-neta-y-sus-componentes"/>
    <w:p>
      <w:pPr>
        <w:pStyle w:val="Heading2"/>
      </w:pPr>
      <w:r>
        <w:t xml:space="preserve">5.3 Deuda consolidada neta y sus componentes</w:t>
      </w:r>
    </w:p>
    <w:bookmarkStart w:id="58" w:name="definición"/>
    <w:p>
      <w:pPr>
        <w:pStyle w:val="Heading3"/>
      </w:pPr>
      <w:r>
        <w:t xml:space="preserve">5.3.1 Definición</w:t>
      </w:r>
    </w:p>
    <w:p>
      <w:pPr>
        <w:pStyle w:val="FirstParagraph"/>
      </w:pPr>
      <w:r>
        <w:t xml:space="preserve">Se sigue la definición de consolidación con el banco central del FMI (2021, Annex II, nota 2, p. 72 del archivo local; también nota 23, p. 28). Consolidar implica restar los créditos del banco central contra el gobierno y sumar los pasivos de deuda del banco central, sin moneda ni depósitos de residentes. En símbolos:</w:t>
      </w:r>
    </w:p>
    <w:p>
      <w:pPr>
        <w:pStyle w:val="BodyText"/>
      </w:pPr>
      <w:r>
        <w:t xml:space="preserve">D_neta = B − T_BCRA − T_FGS + L_BCRA − DEP, todo dividido por el PIB de cuatro trimestres.</w:t>
      </w:r>
    </w:p>
    <w:p>
      <w:pPr>
        <w:pStyle w:val="BodyText"/>
      </w:pPr>
      <w:r>
        <w:t xml:space="preserve">Aquí B es la deuda bruta federal, T_BCRA la deuda del Tesoro en poder del BCRA, T_FGS la deuda del Tesoro en poder del FGS-ANSES, L_BCRA los pasivos remunerados del BCRA y DEP los depósitos del Tesoro en el BCRA. En la serie estimada, T_FGS no está disponible (sección 5.9).</w:t>
      </w:r>
    </w:p>
    <w:bookmarkEnd w:id="58"/>
    <w:bookmarkStart w:id="59" w:name="deuda-federal-bruta-b"/>
    <w:p>
      <w:pPr>
        <w:pStyle w:val="Heading3"/>
      </w:pPr>
      <w:r>
        <w:t xml:space="preserve">5.3.2 Deuda federal bruta (B)</w:t>
      </w:r>
    </w:p>
    <w:p>
      <w:pPr>
        <w:pStyle w:val="Compact"/>
        <w:numPr>
          <w:ilvl w:val="0"/>
          <w:numId w:val="1006"/>
        </w:numPr>
      </w:pPr>
      <w:r>
        <w:rPr>
          <w:b/>
          <w:bCs/>
        </w:rPr>
        <w:t xml:space="preserve">Fuente.</w:t>
      </w:r>
      <w:r>
        <w:t xml:space="preserve"> </w:t>
      </w:r>
      <w:r>
        <w:t xml:space="preserve">MECON, Secretaría de Finanzas,</w:t>
      </w:r>
      <w:r>
        <w:t xml:space="preserve"> </w:t>
      </w:r>
      <w:r>
        <w:rPr>
          <w:i/>
          <w:iCs/>
        </w:rPr>
        <w:t xml:space="preserve">Informe de Deuda Pública al 31/12/2025</w:t>
      </w:r>
      <w:r>
        <w:t xml:space="preserve">, hoja A.4.5 (deuda bruta de la Administración Central en miles de millones de dólares, trimestral desde 1998T1). Se multiplica por el tipo de cambio de fin de trimestre de la hoja A.2.4. Control del tipo de cambio: 808,45 al 31/12/2023, igual al cociente USD/ARS de la hoja A.1.1 del informe de 2023. Archivos en</w:t>
      </w:r>
      <w:r>
        <w:t xml:space="preserve"> </w:t>
      </w:r>
      <w:r>
        <w:rPr>
          <w:rStyle w:val="VerbatimChar"/>
        </w:rPr>
        <w:t xml:space="preserve">datos/crudos/mecon_deuda/</w:t>
      </w:r>
      <w:r>
        <w:t xml:space="preserve">.</w:t>
      </w:r>
    </w:p>
    <w:p>
      <w:pPr>
        <w:pStyle w:val="Compact"/>
        <w:numPr>
          <w:ilvl w:val="0"/>
          <w:numId w:val="1006"/>
        </w:numPr>
      </w:pPr>
      <w:r>
        <w:rPr>
          <w:b/>
          <w:bCs/>
        </w:rPr>
        <w:t xml:space="preserve">Convertibilidad.</w:t>
      </w:r>
      <w:r>
        <w:t xml:space="preserve"> </w:t>
      </w:r>
      <w:r>
        <w:t xml:space="preserve">Para 1996T1-2001T4 (24 trimestres) el tipo de cambio es 1, por la paridad legal de la Ley 23.928 (</w:t>
      </w:r>
      <w:r>
        <w:rPr>
          <w:rStyle w:val="VerbatimChar"/>
        </w:rPr>
        <w:t xml:space="preserve">tc_origen = paridad_legal_ley_23928</w:t>
      </w:r>
      <w:r>
        <w:t xml:space="preserve">). Los otros 96 trimestres usan la hoja A.2.4.</w:t>
      </w:r>
    </w:p>
    <w:p>
      <w:pPr>
        <w:pStyle w:val="Compact"/>
        <w:numPr>
          <w:ilvl w:val="0"/>
          <w:numId w:val="1006"/>
        </w:numPr>
      </w:pPr>
      <w:r>
        <w:rPr>
          <w:b/>
          <w:bCs/>
        </w:rPr>
        <w:t xml:space="preserve">Interpolación.</w:t>
      </w:r>
      <w:r>
        <w:t xml:space="preserve"> </w:t>
      </w:r>
      <w:r>
        <w:t xml:space="preserve">En 1996-1997 el informe solo trae el cierre de diciembre. Los seis trimestres no diciembre se interpolan linealmente en dólares (</w:t>
      </w:r>
      <w:r>
        <w:rPr>
          <w:rStyle w:val="VerbatimChar"/>
        </w:rPr>
        <w:t xml:space="preserve">spnf_origen = interpolado_lineal_usd</w:t>
      </w:r>
      <w:r>
        <w:t xml:space="preserve">, bandera</w:t>
      </w:r>
      <w:r>
        <w:t xml:space="preserve"> </w:t>
      </w:r>
      <w:r>
        <w:rPr>
          <w:rStyle w:val="VerbatimChar"/>
        </w:rPr>
        <w:t xml:space="preserve">flag_bruta_interpolada</w:t>
      </w:r>
      <w:r>
        <w:t xml:space="preserve">). Los otros 114 son datos trimestrales del informe. Se interpola porque la alternativa, eliminar seis trimestres, deja agujeros en un VAR de frecuencia trimestral.</w:t>
      </w:r>
    </w:p>
    <w:p>
      <w:pPr>
        <w:pStyle w:val="Compact"/>
        <w:numPr>
          <w:ilvl w:val="0"/>
          <w:numId w:val="1006"/>
        </w:numPr>
      </w:pPr>
      <w:r>
        <w:rPr>
          <w:b/>
          <w:bCs/>
        </w:rPr>
        <w:t xml:space="preserve">Perímetro.</w:t>
      </w:r>
      <w:r>
        <w:t xml:space="preserve"> </w:t>
      </w:r>
      <w:r>
        <w:t xml:space="preserve">Es la deuda bruta de la Administración Central. Excluye la deuda elegible pendiente de reestructuración e incluye tenencias del BCRA, del FGS y de otros organismos públicos.</w:t>
      </w:r>
    </w:p>
    <w:p>
      <w:pPr>
        <w:pStyle w:val="Compact"/>
        <w:numPr>
          <w:ilvl w:val="0"/>
          <w:numId w:val="1006"/>
        </w:numPr>
      </w:pPr>
      <w:r>
        <w:rPr>
          <w:b/>
          <w:bCs/>
        </w:rPr>
        <w:t xml:space="preserve">Corrección de una fecha.</w:t>
      </w:r>
      <w:r>
        <w:t xml:space="preserve"> </w:t>
      </w:r>
      <w:r>
        <w:t xml:space="preserve">La hoja A.2.4 trae una fila con fecha 2022-03-31 duplicada, que corresponde a 2002-03-31 (intercalada con un CER de 1,0481). El script la reasigna solo si detecta la duplicación.</w:t>
      </w:r>
    </w:p>
    <w:bookmarkEnd w:id="59"/>
    <w:bookmarkStart w:id="60" w:name="pasivos-remunerados-del-bcra-l_bcra"/>
    <w:p>
      <w:pPr>
        <w:pStyle w:val="Heading3"/>
      </w:pPr>
      <w:r>
        <w:t xml:space="preserve">5.3.3 Pasivos remunerados del BCRA (L_BCRA)</w:t>
      </w:r>
    </w:p>
    <w:p>
      <w:pPr>
        <w:pStyle w:val="Compact"/>
        <w:numPr>
          <w:ilvl w:val="0"/>
          <w:numId w:val="1007"/>
        </w:numPr>
      </w:pPr>
      <w:r>
        <w:rPr>
          <w:b/>
          <w:bCs/>
        </w:rPr>
        <w:t xml:space="preserve">Moneda local.</w:t>
      </w:r>
      <w:r>
        <w:t xml:space="preserve"> </w:t>
      </w:r>
      <w:r>
        <w:t xml:space="preserve">API del BCRA, Estadísticas Monetarias v4.0 (</w:t>
      </w:r>
      <w:r>
        <w:rPr>
          <w:rStyle w:val="VerbatimChar"/>
        </w:rPr>
        <w:t xml:space="preserve">https://api.bcra.gob.ar/estadisticas/v4.0/monetarias</w:t>
      </w:r>
      <w:r>
        <w:t xml:space="preserve">): id 1258 (LEBAC y NOBAC), id 1260 (LELIQ y NOTALIQ), id 1261 (posición neta de pases). La API no devuelve datos de 1258 antes de 2002-03 ni de 1260 antes de 2018-01. En esos tramos el valor es cero y queda una bandera (</w:t>
      </w:r>
      <w:r>
        <w:rPr>
          <w:rStyle w:val="VerbatimChar"/>
        </w:rPr>
        <w:t xml:space="preserve">lebac_nobac_sin_serie</w:t>
      </w:r>
      <w:r>
        <w:t xml:space="preserve">,</w:t>
      </w:r>
      <w:r>
        <w:t xml:space="preserve"> </w:t>
      </w:r>
      <w:r>
        <w:rPr>
          <w:rStyle w:val="VerbatimChar"/>
        </w:rPr>
        <w:t xml:space="preserve">leliq_notaliq_sin_serie</w:t>
      </w:r>
      <w:r>
        <w:t xml:space="preserve">). El cero refleja que el instrumento no existía en la fecha de inicio de la serie, no un dato imputado.</w:t>
      </w:r>
    </w:p>
    <w:p>
      <w:pPr>
        <w:pStyle w:val="Compact"/>
        <w:numPr>
          <w:ilvl w:val="0"/>
          <w:numId w:val="1007"/>
        </w:numPr>
      </w:pPr>
      <w:r>
        <w:rPr>
          <w:b/>
          <w:bCs/>
        </w:rPr>
        <w:t xml:space="preserve">Pases en neto.</w:t>
      </w:r>
      <w:r>
        <w:t xml:space="preserve"> </w:t>
      </w:r>
      <w:r>
        <w:t xml:space="preserve">El id 1261 es pases pasivos menos pases activos y puede ser negativo. Ocurre en 15 trimestres (2001T2-2004T1 y 2024T3-2025T1, bandera</w:t>
      </w:r>
      <w:r>
        <w:t xml:space="preserve"> </w:t>
      </w:r>
      <w:r>
        <w:rPr>
          <w:rStyle w:val="VerbatimChar"/>
        </w:rPr>
        <w:t xml:space="preserve">flag_pases_neto_negativo</w:t>
      </w:r>
      <w:r>
        <w:t xml:space="preserve">). En esos trimestres el BCRA fue acreedor neto y el total reduce la deuda. El FMI informa 0,0 para 2024. Es un desvío declarado.</w:t>
      </w:r>
    </w:p>
    <w:p>
      <w:pPr>
        <w:pStyle w:val="Compact"/>
        <w:numPr>
          <w:ilvl w:val="0"/>
          <w:numId w:val="1007"/>
        </w:numPr>
      </w:pPr>
      <w:r>
        <w:rPr>
          <w:b/>
          <w:bCs/>
        </w:rPr>
        <w:t xml:space="preserve">Moneda extranjera.</w:t>
      </w:r>
      <w:r>
        <w:t xml:space="preserve"> </w:t>
      </w:r>
      <w:r>
        <w:t xml:space="preserve">Id 1259 (LEBAC, LEDIV y BOPREAL en moneda extranjera, valuados en pesos). En 2023-12 y 2024-12 coincide con el id 158 (USD) por el tipo de cambio. Antes de 2002-03 el instrumento no existe y se imputa cero con bandera (24 trimestres,</w:t>
      </w:r>
      <w:r>
        <w:t xml:space="preserve"> </w:t>
      </w:r>
      <w:r>
        <w:rPr>
          <w:rStyle w:val="VerbatimChar"/>
        </w:rPr>
        <w:t xml:space="preserve">flag_letras_fx_sin_serie</w:t>
      </w:r>
      <w:r>
        <w:t xml:space="preserve">).</w:t>
      </w:r>
    </w:p>
    <w:p>
      <w:pPr>
        <w:pStyle w:val="Compact"/>
        <w:numPr>
          <w:ilvl w:val="0"/>
          <w:numId w:val="1007"/>
        </w:numPr>
      </w:pPr>
      <w:r>
        <w:rPr>
          <w:b/>
          <w:bCs/>
        </w:rPr>
        <w:t xml:space="preserve">Swap con el Banco Popular de China (PBoC).</w:t>
      </w:r>
      <w:r>
        <w:t xml:space="preserve"> </w:t>
      </w:r>
      <w:r>
        <w:t xml:space="preserve">No existe una serie pública en la API ni en</w:t>
      </w:r>
      <w:r>
        <w:t xml:space="preserve"> </w:t>
      </w:r>
      <w:r>
        <w:rPr>
          <w:rStyle w:val="VerbatimChar"/>
        </w:rPr>
        <w:t xml:space="preserve">series.xlsm</w:t>
      </w:r>
      <w:r>
        <w:t xml:space="preserve"> </w:t>
      </w:r>
      <w:r>
        <w:t xml:space="preserve">de la que se pueda leer el saldo activado. Queda omitido desde 2020 (bandera</w:t>
      </w:r>
      <w:r>
        <w:t xml:space="preserve"> </w:t>
      </w:r>
      <w:r>
        <w:rPr>
          <w:rStyle w:val="VerbatimChar"/>
        </w:rPr>
        <w:t xml:space="preserve">flag_swap_pboc_faltante</w:t>
      </w:r>
      <w:r>
        <w:t xml:space="preserve">, 24 trimestres). Su omisión subestima L_BCRA y, por lo tanto, subestima la deuda neta (sesgo en dirección contraria al del FGS).</w:t>
      </w:r>
    </w:p>
    <w:bookmarkEnd w:id="60"/>
    <w:bookmarkStart w:id="61" w:name="X806e085bc5f2b5a11b5366608dccbae17ae6ac4"/>
    <w:p>
      <w:pPr>
        <w:pStyle w:val="Heading3"/>
      </w:pPr>
      <w:r>
        <w:t xml:space="preserve">5.3.4 Deuda del Tesoro en poder del BCRA (T_BCRA): valor contable y valor nominal</w:t>
      </w:r>
    </w:p>
    <w:p>
      <w:pPr>
        <w:pStyle w:val="FirstParagraph"/>
      </w:pPr>
      <w:r>
        <w:rPr>
          <w:b/>
          <w:bCs/>
        </w:rPr>
        <w:t xml:space="preserve">Valor contable.</w:t>
      </w:r>
      <w:r>
        <w:t xml:space="preserve"> </w:t>
      </w:r>
      <w:r>
        <w:t xml:space="preserve">Fuente: BCRA,</w:t>
      </w:r>
      <w:r>
        <w:t xml:space="preserve"> </w:t>
      </w:r>
      <w:r>
        <w:rPr>
          <w:i/>
          <w:iCs/>
        </w:rPr>
        <w:t xml:space="preserve">Balance del Banco Central</w:t>
      </w:r>
      <w:r>
        <w:t xml:space="preserve"> </w:t>
      </w:r>
      <w:r>
        <w:t xml:space="preserve">histórico (</w:t>
      </w:r>
      <w:r>
        <w:rPr>
          <w:rStyle w:val="VerbatimChar"/>
        </w:rPr>
        <w:t xml:space="preserve">https://www.bcra.gob.ar/Pdfs/PublicacionesEstadisticas/balbcrhis.xls</w:t>
      </w:r>
      <w:r>
        <w:t xml:space="preserve">), hoja B.C.R.A., columna</w:t>
      </w:r>
      <w:r>
        <w:t xml:space="preserve"> </w:t>
      </w:r>
      <w:r>
        <w:t xml:space="preserve">“Sector oficial, Total”</w:t>
      </w:r>
      <w:r>
        <w:t xml:space="preserve">. Incluye adelantos transitorios y títulos públicos en pesos, y Letras Intransferibles y títulos en moneda extranjera. Se toma el cierre de trimestre del dato mensual y se verifica que el total sea igual a la suma de sus dos partes. Es la valuación contable del BCRA, que se aparta del nominal desde diciembre de 2019 (ajuste de las Letras Intransferibles) y desde mayo de 2024 (costo amortizado).</w:t>
      </w:r>
    </w:p>
    <w:p>
      <w:pPr>
        <w:pStyle w:val="BodyText"/>
      </w:pPr>
      <w:r>
        <w:rPr>
          <w:b/>
          <w:bCs/>
        </w:rPr>
        <w:t xml:space="preserve">Por qué el nominal.</w:t>
      </w:r>
      <w:r>
        <w:t xml:space="preserve"> </w:t>
      </w:r>
      <w:r>
        <w:t xml:space="preserve">La deuda bruta del MECON está a valor nominal. Si de ella se restan tenencias valuadas de otro modo, el neteo mezcla criterios y el resultado no mide ninguna deuda definida. Por eso la serie principal sustituye, en la tenencia del BCRA, el componente en moneda extranjera del balance por el stock nominal de las Letras Intransferibles que publica el MECON.</w:t>
      </w:r>
    </w:p>
    <w:p>
      <w:pPr>
        <w:pStyle w:val="Compact"/>
        <w:numPr>
          <w:ilvl w:val="0"/>
          <w:numId w:val="1008"/>
        </w:numPr>
      </w:pPr>
      <w:r>
        <w:rPr>
          <w:b/>
          <w:bCs/>
        </w:rPr>
        <w:t xml:space="preserve">Fuente.</w:t>
      </w:r>
      <w:r>
        <w:t xml:space="preserve"> </w:t>
      </w:r>
      <w:r>
        <w:t xml:space="preserve">MECON, Secretaría de Finanzas,</w:t>
      </w:r>
      <w:r>
        <w:t xml:space="preserve"> </w:t>
      </w:r>
      <w:r>
        <w:rPr>
          <w:i/>
          <w:iCs/>
        </w:rPr>
        <w:t xml:space="preserve">Estado de la Deuda Pública</w:t>
      </w:r>
      <w:r>
        <w:t xml:space="preserve">: hojas A.1.9, A.1.10 o A.1.11 según el año, bloque</w:t>
      </w:r>
      <w:r>
        <w:t xml:space="preserve"> </w:t>
      </w:r>
      <w:r>
        <w:t xml:space="preserve">“Letras adquiridas por el BCRA”</w:t>
      </w:r>
      <w:r>
        <w:t xml:space="preserve"> </w:t>
      </w:r>
      <w:r>
        <w:t xml:space="preserve">(miles de dólares), y hoja A.12.3 para 2007-2010. Se suma instrumento por instrumento y el script reproduce los totales del bloque (69.286 millones de dólares en 2024). Se convierte con el tipo de cambio de la serie de deuda. Resumen por ancla en</w:t>
      </w:r>
      <w:r>
        <w:t xml:space="preserve"> </w:t>
      </w:r>
      <w:r>
        <w:rPr>
          <w:rStyle w:val="VerbatimChar"/>
        </w:rPr>
        <w:t xml:space="preserve">datos/procesados/letras_intransferibles_bcra_nominal_anclas.csv</w:t>
      </w:r>
      <w:r>
        <w:t xml:space="preserve">.</w:t>
      </w:r>
    </w:p>
    <w:p>
      <w:pPr>
        <w:pStyle w:val="Compact"/>
        <w:numPr>
          <w:ilvl w:val="0"/>
          <w:numId w:val="1008"/>
        </w:numPr>
      </w:pPr>
      <w:r>
        <w:rPr>
          <w:b/>
          <w:bCs/>
        </w:rPr>
        <w:t xml:space="preserve">Cobertura.</w:t>
      </w:r>
      <w:r>
        <w:t xml:space="preserve"> </w:t>
      </w:r>
      <w:r>
        <w:t xml:space="preserve">Hay planillas de cierre de año para 2007-2009 y 2013-2025, y de marzo de 2010. No hay planillas de 2010-12, 2011-12 ni 2012-12. Las Letras empiezan el 3 de enero de 2006, de modo que hasta 2005T4 no hay dato nominal (40 trimestres) y se conserva el valor contable. Hay dato nominal en 80 de 120 trimestres: 17 con ancla oficial, 32 reconstruidos con las fechas de emisión (las letras son de pago único, por lo que si ningún instrumento cambia entre dos anclas el stock se arma con la fecha de emisión), 7 reconstruidos hacia atrás (2006T1-2007T3) y 24 interpolados linealmente entre anclas con canjes o cambios de monto. Las columnas</w:t>
      </w:r>
      <w:r>
        <w:t xml:space="preserve"> </w:t>
      </w:r>
      <w:r>
        <w:rPr>
          <w:rStyle w:val="VerbatimChar"/>
        </w:rPr>
        <w:t xml:space="preserve">nominal_metodo</w:t>
      </w:r>
      <w:r>
        <w:t xml:space="preserve"> </w:t>
      </w:r>
      <w:r>
        <w:t xml:space="preserve">y</w:t>
      </w:r>
      <w:r>
        <w:t xml:space="preserve"> </w:t>
      </w:r>
      <w:r>
        <w:rPr>
          <w:rStyle w:val="VerbatimChar"/>
        </w:rPr>
        <w:t xml:space="preserve">flag_nominal_interpolado</w:t>
      </w:r>
      <w:r>
        <w:t xml:space="preserve"> </w:t>
      </w:r>
      <w:r>
        <w:t xml:space="preserve">lo registran. La interpolación es una aproximación declarada, no un dato.</w:t>
      </w:r>
    </w:p>
    <w:p>
      <w:pPr>
        <w:pStyle w:val="Compact"/>
        <w:numPr>
          <w:ilvl w:val="0"/>
          <w:numId w:val="1008"/>
        </w:numPr>
      </w:pPr>
      <w:r>
        <w:rPr>
          <w:b/>
          <w:bCs/>
        </w:rPr>
        <w:t xml:space="preserve">Variante piso.</w:t>
      </w:r>
      <w:r>
        <w:t xml:space="preserve"> </w:t>
      </w:r>
      <w:r>
        <w:t xml:space="preserve">El componente en moneda extranjera del balance no es igual a las Letras: contiene otros créditos en dólares (hasta 2017 y en 2019-2023 el valor de libros supera al nominal). La sustitución estricta empeoraría 2023 (128,2 contra 119,0). Por eso la serie principal es la variante piso: la tenencia nunca baja del valor de libros, y solo se suma el faltante donde el nominal en pesos supera al componente en moneda extranjera del balance. La variante estricta (</w:t>
      </w:r>
      <w:r>
        <w:rPr>
          <w:rStyle w:val="VerbatimChar"/>
        </w:rPr>
        <w:t xml:space="preserve">deuda_consolidada_neta_nominal_pib</w:t>
      </w:r>
      <w:r>
        <w:t xml:space="preserve">) y la de libros (</w:t>
      </w:r>
      <w:r>
        <w:rPr>
          <w:rStyle w:val="VerbatimChar"/>
        </w:rPr>
        <w:t xml:space="preserve">deuda_consolidada_neta_pib</w:t>
      </w:r>
      <w:r>
        <w:t xml:space="preserve">) quedan como series de robustez, junto con la deuda bruta.</w:t>
      </w:r>
    </w:p>
    <w:bookmarkEnd w:id="61"/>
    <w:bookmarkStart w:id="62" w:name="depósitos-del-tesoro-en-el-bcra-dep"/>
    <w:p>
      <w:pPr>
        <w:pStyle w:val="Heading3"/>
      </w:pPr>
      <w:r>
        <w:t xml:space="preserve">5.3.5 Depósitos del Tesoro en el BCRA (DEP)</w:t>
      </w:r>
    </w:p>
    <w:p>
      <w:pPr>
        <w:pStyle w:val="FirstParagraph"/>
      </w:pPr>
      <w:r>
        <w:t xml:space="preserve">API del BCRA v4.0, id 1264,</w:t>
      </w:r>
      <w:r>
        <w:t xml:space="preserve"> </w:t>
      </w:r>
      <w:r>
        <w:t xml:space="preserve">“Depósitos del gobierno en el BCRA”</w:t>
      </w:r>
      <w:r>
        <w:t xml:space="preserve">. Es coherente con la columna</w:t>
      </w:r>
      <w:r>
        <w:t xml:space="preserve"> </w:t>
      </w:r>
      <w:r>
        <w:t xml:space="preserve">“Sector oficial, Depósitos”</w:t>
      </w:r>
      <w:r>
        <w:t xml:space="preserve"> </w:t>
      </w:r>
      <w:r>
        <w:t xml:space="preserve">del Balance (1.002.754 millones de pesos en 2023-12). Cobertura completa, sin interpolaciones. Se incluyen los depósitos en moneda extranjera a la valuación del BCRA.</w:t>
      </w:r>
    </w:p>
    <w:bookmarkEnd w:id="62"/>
    <w:bookmarkStart w:id="66" w:name="identidad-verificada"/>
    <w:p>
      <w:pPr>
        <w:pStyle w:val="Heading3"/>
      </w:pPr>
      <w:r>
        <w:t xml:space="preserve">5.3.6 Identidad verificada</w:t>
      </w:r>
    </w:p>
    <w:p>
      <w:pPr>
        <w:pStyle w:val="FirstParagraph"/>
      </w:pPr>
      <w:r>
        <w:t xml:space="preserve">Con los datos del CSV,</w:t>
      </w:r>
      <w:r>
        <w:t xml:space="preserve"> </w:t>
      </w:r>
      <w:r>
        <w:rPr>
          <w:rStyle w:val="VerbatimChar"/>
        </w:rPr>
        <w:t xml:space="preserve">bruta − tenencia BCRA + pasivos BCRA − depósitos = deuda neta</w:t>
      </w:r>
      <w:r>
        <w:t xml:space="preserve"> </w:t>
      </w:r>
      <w:r>
        <w:t xml:space="preserve">se cumple al cuarto decimal en 2023 (119,03) y en 2024 (61,11 con la tenencia nominal piso; 68,31 con valor de libros). La identidad que el FMI usa en el Cuadro 2 (línea 6 = 2 + 4 − 5) también se cumple con sus cifras: 92,9 + 18,4 − 0,5 = 110,8 y 51,4 + 2,2 − 2,1 = 51,5.</w:t>
      </w:r>
    </w:p>
    <w:p>
      <w:pPr>
        <w:pStyle w:val="BodyText"/>
      </w:pPr>
      <w:r>
        <w:t xml:space="preserve">La Figura 5.1 muestra las tres series de deuda consolidada y los dos valores de control del FMI. Las tres se mueven juntas; la distancia entre la bruta y las netas es la deuda del Tesoro en poder del BCRA neta de sus pasivos.</w:t>
      </w:r>
    </w:p>
    <w:p>
      <w:pPr>
        <w:pStyle w:val="CaptionedFigure"/>
      </w:pPr>
      <w:r>
        <w:drawing>
          <wp:inline>
            <wp:extent cx="5334000" cy="2743200"/>
            <wp:effectExtent b="0" l="0" r="0" t="0"/>
            <wp:docPr descr="Figura 5.1. Deuda pública consolidada, 1996-2025 (% del PIB de los últimos cuatro trimestres). Los puntos son la deuda consolidada neta del FMI (2025, anexo II, cuadro 2) a diciembre de 2023 y de 2024." title="" id="64" name="Picture"/>
            <a:graphic>
              <a:graphicData uri="http://schemas.openxmlformats.org/drawingml/2006/picture">
                <pic:pic>
                  <pic:nvPicPr>
                    <pic:cNvPr descr="../tesis/figuras/fig5_1_deuda_consolidada_1996_2025.png" id="65" name="Picture"/>
                    <pic:cNvPicPr>
                      <a:picLocks noChangeArrowheads="1" noChangeAspect="1"/>
                    </pic:cNvPicPr>
                  </pic:nvPicPr>
                  <pic:blipFill>
                    <a:blip r:embed="rId6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pública consolidada, 1996-2025 (% del PIB de los últimos cuatro trimestres). Los puntos son la deuda consolidada neta del FMI (2025, anexo II, cuadro 2) a diciembre de 2023 y de 2024.</w:t>
      </w:r>
    </w:p>
    <w:bookmarkEnd w:id="66"/>
    <w:bookmarkEnd w:id="67"/>
    <w:bookmarkStart w:id="68" w:name="resultado-primario"/>
    <w:p>
      <w:pPr>
        <w:pStyle w:val="Heading2"/>
      </w:pPr>
      <w:r>
        <w:t xml:space="preserve">5.4 Resultado primario</w:t>
      </w:r>
    </w:p>
    <w:p>
      <w:pPr>
        <w:pStyle w:val="Compact"/>
        <w:numPr>
          <w:ilvl w:val="0"/>
          <w:numId w:val="1009"/>
        </w:numPr>
      </w:pPr>
      <w:r>
        <w:rPr>
          <w:b/>
          <w:bCs/>
        </w:rPr>
        <w:t xml:space="preserve">Fuente.</w:t>
      </w:r>
      <w:r>
        <w:t xml:space="preserve"> </w:t>
      </w:r>
      <w:r>
        <w:t xml:space="preserve">MECON, Secretaría de Hacienda, Subsecretaría de Programación Macroeconómica,</w:t>
      </w:r>
      <w:r>
        <w:t xml:space="preserve"> </w:t>
      </w:r>
      <w:r>
        <w:t xml:space="preserve">“Esquema Ahorro-Inversión-Financiamiento. Sector Público Nacional. Base Caja”</w:t>
      </w:r>
      <w:r>
        <w:t xml:space="preserve"> </w:t>
      </w:r>
      <w:r>
        <w:t xml:space="preserve">(datos.gob.ar, dataset 379). Es una serie mensual desde 1993, en pesos corrientes, publicada en tres tramos metodológicos (1993-2006, 2007-2014 y desde 2015). Los archivos crudos están en</w:t>
      </w:r>
      <w:r>
        <w:t xml:space="preserve"> </w:t>
      </w:r>
      <w:r>
        <w:rPr>
          <w:rStyle w:val="VerbatimChar"/>
        </w:rPr>
        <w:t xml:space="preserve">datos/crudos/resultado_primario/</w:t>
      </w:r>
      <w:r>
        <w:t xml:space="preserve"> </w:t>
      </w:r>
      <w:r>
        <w:t xml:space="preserve">y el script es</w:t>
      </w:r>
      <w:r>
        <w:t xml:space="preserve"> </w:t>
      </w:r>
      <w:r>
        <w:rPr>
          <w:rStyle w:val="VerbatimChar"/>
        </w:rPr>
        <w:t xml:space="preserve">construir_resultado_primario_1996_2025.py</w:t>
      </w:r>
      <w:r>
        <w:t xml:space="preserve">. Como hay dato mensual para todo el período,</w:t>
      </w:r>
      <w:r>
        <w:t xml:space="preserve"> </w:t>
      </w:r>
      <w:r>
        <w:rPr>
          <w:b/>
          <w:bCs/>
        </w:rPr>
        <w:t xml:space="preserve">no se desagrega con Denton ni se aplica coeficiente de enlace</w:t>
      </w:r>
      <w:r>
        <w:t xml:space="preserve">: cada trimestre es la suma de sus tres meses, y se exige que estén los tres (no hay trimestres faltantes).</w:t>
      </w:r>
    </w:p>
    <w:p>
      <w:pPr>
        <w:pStyle w:val="Compact"/>
        <w:numPr>
          <w:ilvl w:val="0"/>
          <w:numId w:val="1009"/>
        </w:numPr>
      </w:pPr>
      <w:r>
        <w:rPr>
          <w:b/>
          <w:bCs/>
        </w:rPr>
        <w:t xml:space="preserve">Rentas de la propiedad.</w:t>
      </w:r>
      <w:r>
        <w:t xml:space="preserve"> </w:t>
      </w:r>
      <w:r>
        <w:t xml:space="preserve">La serie principal incluye las rentas de la propiedad, que es la definición de titular del MECON. Esas rentas agregan las utilidades del BCRA, las rentas del FGS y los intereses cobrados por organismos públicos, y la API no desglosa la transferencia del BCRA. Se calcula además una variante sin rentas (</w:t>
      </w:r>
      <w:r>
        <w:rPr>
          <w:rStyle w:val="VerbatimChar"/>
        </w:rPr>
        <w:t xml:space="preserve">pb_pib_sin_rentas</w:t>
      </w:r>
      <w:r>
        <w:t xml:space="preserve">), conservadora porque excluye más que el FMI. Las rentas totales fueron de 0,3 a 0,7 puntos del PIB en 1996-2008, de 1,3 a 2,6 en 2009-2014 y de 0,3 a 1,3 en 2015-2025.</w:t>
      </w:r>
    </w:p>
    <w:p>
      <w:pPr>
        <w:pStyle w:val="Compact"/>
        <w:numPr>
          <w:ilvl w:val="0"/>
          <w:numId w:val="1009"/>
        </w:numPr>
      </w:pPr>
      <w:r>
        <w:rPr>
          <w:b/>
          <w:bCs/>
        </w:rPr>
        <w:t xml:space="preserve">Medida que entra al modelo.</w:t>
      </w:r>
      <w:r>
        <w:t xml:space="preserve"> </w:t>
      </w:r>
      <w:r>
        <w:rPr>
          <w:rStyle w:val="VerbatimChar"/>
        </w:rPr>
        <w:t xml:space="preserve">pb_pib_trim</w:t>
      </w:r>
      <w:r>
        <w:t xml:space="preserve"> </w:t>
      </w:r>
      <w:r>
        <w:t xml:space="preserve">= 100 × 4 × (resultado primario del trimestre) /</w:t>
      </w:r>
      <w:r>
        <w:t xml:space="preserve"> </w:t>
      </w:r>
      <w:r>
        <w:rPr>
          <w:rStyle w:val="VerbatimChar"/>
        </w:rPr>
        <w:t xml:space="preserve">pib_4t_mm</w:t>
      </w:r>
      <w:r>
        <w:t xml:space="preserve">: el flujo trimestral anualizado sobre el PIB nominal de cuatro trimestres. No se usa la suma móvil de cuatro trimestres (</w:t>
      </w:r>
      <w:r>
        <w:rPr>
          <w:rStyle w:val="VerbatimChar"/>
        </w:rPr>
        <w:t xml:space="preserve">pb_pib</w:t>
      </w:r>
      <w:r>
        <w:t xml:space="preserve">) porque, al superponer ventanas, induce una autocorrelación artificial de tipo MA(3): su autocorrelación de orden 1 es 0,965, contra 0,649 de</w:t>
      </w:r>
      <w:r>
        <w:t xml:space="preserve"> </w:t>
      </w:r>
      <w:r>
        <w:rPr>
          <w:rStyle w:val="VerbatimChar"/>
        </w:rPr>
        <w:t xml:space="preserve">pb_pib_trim</w:t>
      </w:r>
      <w:r>
        <w:t xml:space="preserve">. La contrapartida es que el flujo trimestral conserva estacionalidad (autocorrelación de orden 4 de 0,629), que el sistema absorbe con tres dummies trimestrales (Q1 a Q3). La suma móvil</w:t>
      </w:r>
      <w:r>
        <w:t xml:space="preserve"> </w:t>
      </w:r>
      <w:r>
        <w:rPr>
          <w:rStyle w:val="VerbatimChar"/>
        </w:rPr>
        <w:t xml:space="preserve">pb_pib</w:t>
      </w:r>
      <w:r>
        <w:t xml:space="preserve"> </w:t>
      </w:r>
      <w:r>
        <w:t xml:space="preserve">se mantiene como medida comparable en base anual, y es la que se contrasta con el FMI en 5.8.</w:t>
      </w:r>
    </w:p>
    <w:p>
      <w:pPr>
        <w:pStyle w:val="Compact"/>
        <w:numPr>
          <w:ilvl w:val="0"/>
          <w:numId w:val="1009"/>
        </w:numPr>
      </w:pPr>
      <w:r>
        <w:rPr>
          <w:b/>
          <w:bCs/>
        </w:rPr>
        <w:t xml:space="preserve">Quiebres de metodología.</w:t>
      </w:r>
      <w:r>
        <w:t xml:space="preserve"> </w:t>
      </w:r>
      <w:r>
        <w:t xml:space="preserve">Los empalmes de 2006/2007 y 2014/2015 no tienen período de solapamiento en la API. En las filas de empalme no se observa un salto anómalo (2006T4: 3,24 y 2007T1: 3,12; 2014T4: −0,84 y 2015T1: −1,63), pero no hay una prueba formal. El CSV trae la columna</w:t>
      </w:r>
      <w:r>
        <w:t xml:space="preserve"> </w:t>
      </w:r>
      <w:r>
        <w:rPr>
          <w:rStyle w:val="VerbatimChar"/>
        </w:rPr>
        <w:t xml:space="preserve">metodologia</w:t>
      </w:r>
      <w:r>
        <w:t xml:space="preserve"> </w:t>
      </w:r>
      <w:r>
        <w:t xml:space="preserve">(44, 32 y 44 trimestres por tramo). Entre 1993 y 2006 las privatizaciones no figuran en el primario.</w:t>
      </w:r>
    </w:p>
    <w:p>
      <w:pPr>
        <w:pStyle w:val="Compact"/>
        <w:numPr>
          <w:ilvl w:val="0"/>
          <w:numId w:val="1009"/>
        </w:numPr>
      </w:pPr>
      <w:r>
        <w:rPr>
          <w:b/>
          <w:bCs/>
        </w:rPr>
        <w:t xml:space="preserve">Perímetro.</w:t>
      </w:r>
      <w:r>
        <w:t xml:space="preserve"> </w:t>
      </w:r>
      <w:r>
        <w:t xml:space="preserve">Es el sector público nacional consolidado (administración nacional, organismos descentralizados, seguridad social, fondos fiduciarios y empresas), más amplio que el gobierno federal del FMI. El control cruzado contra el IMIG (desde 2016) da diferencia nula, pero IMIG y esquema AIF son la misma compilación, de modo que no es un control independiente.</w:t>
      </w:r>
    </w:p>
    <w:p>
      <w:pPr>
        <w:pStyle w:val="Compact"/>
        <w:numPr>
          <w:ilvl w:val="0"/>
          <w:numId w:val="1009"/>
        </w:numPr>
      </w:pPr>
      <w:r>
        <w:rPr>
          <w:b/>
          <w:bCs/>
        </w:rPr>
        <w:t xml:space="preserve">Comparación con la serie anterior.</w:t>
      </w:r>
      <w:r>
        <w:t xml:space="preserve"> </w:t>
      </w:r>
      <w:r>
        <w:t xml:space="preserve">Contra la tabla escrita a mano (2004-2025) y el Denton del Compendio (1996-2003), la correlación es 0,89 en 2004-2025 y 0,33 en 1996-2003, con errores absolutos medios de 1,29 y 1,16 puntos. La serie anterior de 1996-2003 era una interpolación de datos anuales y no sirve como referencia de nivel.</w:t>
      </w:r>
    </w:p>
    <w:bookmarkEnd w:id="68"/>
    <w:bookmarkStart w:id="69" w:name="pib-real-y-crecimiento"/>
    <w:p>
      <w:pPr>
        <w:pStyle w:val="Heading2"/>
      </w:pPr>
      <w:r>
        <w:t xml:space="preserve">5.5 PIB real y crecimiento</w:t>
      </w:r>
    </w:p>
    <w:p>
      <w:pPr>
        <w:pStyle w:val="Compact"/>
        <w:numPr>
          <w:ilvl w:val="0"/>
          <w:numId w:val="1010"/>
        </w:numPr>
      </w:pPr>
      <w:r>
        <w:rPr>
          <w:b/>
          <w:bCs/>
        </w:rPr>
        <w:t xml:space="preserve">Fuente 2004T1-2025T4.</w:t>
      </w:r>
      <w:r>
        <w:t xml:space="preserve"> </w:t>
      </w:r>
      <w:r>
        <w:t xml:space="preserve">INDEC, PIB a precios constantes de 2004 (serie 4.2_OGP_2004_T_17, Oferta y Demanda Globales, datos.gob.ar), en la misma unidad que</w:t>
      </w:r>
      <w:r>
        <w:t xml:space="preserve"> </w:t>
      </w:r>
      <w:r>
        <w:rPr>
          <w:rStyle w:val="VerbatimChar"/>
        </w:rPr>
        <w:t xml:space="preserve">PIB_real</w:t>
      </w:r>
      <w:r>
        <w:t xml:space="preserve"> </w:t>
      </w:r>
      <w:r>
        <w:t xml:space="preserve">de la base.</w:t>
      </w:r>
    </w:p>
    <w:p>
      <w:pPr>
        <w:pStyle w:val="Compact"/>
        <w:numPr>
          <w:ilvl w:val="0"/>
          <w:numId w:val="1010"/>
        </w:numPr>
      </w:pPr>
      <w:r>
        <w:rPr>
          <w:b/>
          <w:bCs/>
        </w:rPr>
        <w:t xml:space="preserve">Fuente 1996T1-2003T4.</w:t>
      </w:r>
      <w:r>
        <w:t xml:space="preserve"> </w:t>
      </w:r>
      <w:r>
        <w:t xml:space="preserve">INDEC, base 1993 (serie 2.2_OGP_1993_T_17, millones de pesos de 1993), empalmada a la base 2004 con un coeficiente de enlace k = 1,751, la media de 2004 de la razón entre ambas bases. Script</w:t>
      </w:r>
      <w:r>
        <w:t xml:space="preserve"> </w:t>
      </w:r>
      <w:r>
        <w:rPr>
          <w:rStyle w:val="VerbatimChar"/>
        </w:rPr>
        <w:t xml:space="preserve">construir_pib_real_empalme_indec_1996_2003.py</w:t>
      </w:r>
      <w:r>
        <w:t xml:space="preserve">; salida</w:t>
      </w:r>
      <w:r>
        <w:t xml:space="preserve"> </w:t>
      </w:r>
      <w:r>
        <w:rPr>
          <w:rStyle w:val="VerbatimChar"/>
        </w:rPr>
        <w:t xml:space="preserve">datos/procesados/pib_real_empalme_indec_1996_2003.csv</w:t>
      </w:r>
      <w:r>
        <w:t xml:space="preserve">. Reemplaza al empalme anterior, que encadenaba tasas anuales tipeadas y las desagregaba con Denton.</w:t>
      </w:r>
    </w:p>
    <w:p>
      <w:pPr>
        <w:pStyle w:val="Compact"/>
        <w:numPr>
          <w:ilvl w:val="0"/>
          <w:numId w:val="1010"/>
        </w:numPr>
      </w:pPr>
      <w:r>
        <w:rPr>
          <w:b/>
          <w:bCs/>
        </w:rPr>
        <w:t xml:space="preserve">Límite del enlace.</w:t>
      </w:r>
      <w:r>
        <w:t xml:space="preserve"> </w:t>
      </w:r>
      <w:r>
        <w:t xml:space="preserve">La razón entre bases varía entre 1,46 y 1,85 en el solapamiento 2004-2013 por las distintas ponderaciones de precios, de modo que el nivel anterior a 2004 depende de haber elegido 2004 como año de enlace. Las tasas de crecimiento anteriores a 2004, que son lo que entra al modelo, no dependen de esa elección.</w:t>
      </w:r>
    </w:p>
    <w:p>
      <w:pPr>
        <w:pStyle w:val="Compact"/>
        <w:numPr>
          <w:ilvl w:val="0"/>
          <w:numId w:val="1010"/>
        </w:numPr>
      </w:pPr>
      <w:r>
        <w:rPr>
          <w:b/>
          <w:bCs/>
        </w:rPr>
        <w:t xml:space="preserve">Estacionalidad.</w:t>
      </w:r>
      <w:r>
        <w:t xml:space="preserve"> </w:t>
      </w:r>
      <w:r>
        <w:t xml:space="preserve">La serie conserva la estacionalidad de INDEC, que ya no está suavizada. Por ese motivo el nivel trimestral de 1996-2003 difiere de la versión anterior en hasta 9,8 % (2002T1) y 3,5 % en promedio. El sistema la absorbe con las dummies trimestrales, igual que en el resultado primario. Las tasas anuales de la versión anterior eran correctas salvo en 2000 (−0,5 % contra −0,79 %).</w:t>
      </w:r>
    </w:p>
    <w:p>
      <w:pPr>
        <w:pStyle w:val="Compact"/>
        <w:numPr>
          <w:ilvl w:val="0"/>
          <w:numId w:val="1010"/>
        </w:numPr>
      </w:pPr>
      <w:r>
        <w:rPr>
          <w:b/>
          <w:bCs/>
        </w:rPr>
        <w:t xml:space="preserve">Transformación.</w:t>
      </w:r>
      <w:r>
        <w:t xml:space="preserve"> </w:t>
      </w:r>
      <w:r>
        <w:t xml:space="preserve">El crecimiento que entra al sistema es</w:t>
      </w:r>
      <w:r>
        <w:t xml:space="preserve"> </w:t>
      </w:r>
      <w:r>
        <w:rPr>
          <w:rStyle w:val="VerbatimChar"/>
        </w:rPr>
        <w:t xml:space="preserve">crec = 100 × Δln(PIB real)</w:t>
      </w:r>
      <w:r>
        <w:t xml:space="preserve">, trimestral, que aparece en la identidad de la deuda (Capítulo 4, sección 4.2). Pierde la primera observación, así que tiene 119 datos. El salto entre 2003T4 y 2004T1 (−2,1 %) es el efecto estacional del cambio de trimestre y no un artefacto del empalme.</w:t>
      </w:r>
    </w:p>
    <w:bookmarkEnd w:id="69"/>
    <w:bookmarkStart w:id="80" w:name="variables-financieras"/>
    <w:p>
      <w:pPr>
        <w:pStyle w:val="Heading2"/>
      </w:pPr>
      <w:r>
        <w:t xml:space="preserve">5.6 Variables financieras</w:t>
      </w:r>
    </w:p>
    <w:bookmarkStart w:id="70" w:name="embi-riesgo-soberano"/>
    <w:p>
      <w:pPr>
        <w:pStyle w:val="Heading3"/>
      </w:pPr>
      <w:r>
        <w:t xml:space="preserve">5.6.1 EMBI+ (riesgo soberano)</w:t>
      </w:r>
    </w:p>
    <w:p>
      <w:pPr>
        <w:pStyle w:val="Compact"/>
        <w:numPr>
          <w:ilvl w:val="0"/>
          <w:numId w:val="1011"/>
        </w:numPr>
      </w:pPr>
      <w:r>
        <w:rPr>
          <w:b/>
          <w:bCs/>
        </w:rPr>
        <w:t xml:space="preserve">Definición.</w:t>
      </w:r>
      <w:r>
        <w:t xml:space="preserve"> </w:t>
      </w:r>
      <w:r>
        <w:t xml:space="preserve">Diferencial de rendimiento de los bonos soberanos argentinos en dólares sobre los bonos del Tesoro de Estados Unidos, en puntos básicos, promedio trimestral.</w:t>
      </w:r>
    </w:p>
    <w:p>
      <w:pPr>
        <w:pStyle w:val="Compact"/>
        <w:numPr>
          <w:ilvl w:val="0"/>
          <w:numId w:val="1011"/>
        </w:numPr>
      </w:pPr>
      <w:r>
        <w:rPr>
          <w:b/>
          <w:bCs/>
        </w:rPr>
        <w:t xml:space="preserve">1999T1-2025T4.</w:t>
      </w:r>
      <w:r>
        <w:t xml:space="preserve"> </w:t>
      </w:r>
      <w:r>
        <w:t xml:space="preserve">Serie diaria de riesgo país de Ámbito Financiero (</w:t>
      </w:r>
      <w:r>
        <w:rPr>
          <w:rStyle w:val="VerbatimChar"/>
        </w:rPr>
        <w:t xml:space="preserve">https://mercados.ambito.com//riesgopais/historico/...</w:t>
      </w:r>
      <w:r>
        <w:t xml:space="preserve">), que reproduce el EMBI+ y el EMBI Global de J.P. Morgan. Archivo</w:t>
      </w:r>
      <w:r>
        <w:t xml:space="preserve"> </w:t>
      </w:r>
      <w:r>
        <w:rPr>
          <w:rStyle w:val="VerbatimChar"/>
        </w:rPr>
        <w:t xml:space="preserve">datos/embi_real_ambito_1999_2025.csv</w:t>
      </w:r>
      <w:r>
        <w:t xml:space="preserve">. Se promedia por trimestre.</w:t>
      </w:r>
    </w:p>
    <w:p>
      <w:pPr>
        <w:pStyle w:val="Compact"/>
        <w:numPr>
          <w:ilvl w:val="0"/>
          <w:numId w:val="1011"/>
        </w:numPr>
      </w:pPr>
      <w:r>
        <w:rPr>
          <w:b/>
          <w:bCs/>
        </w:rPr>
        <w:t xml:space="preserve">1996T1-1998T4.</w:t>
      </w:r>
      <w:r>
        <w:t xml:space="preserve"> </w:t>
      </w:r>
      <w:r>
        <w:t xml:space="preserve">Se empalma el</w:t>
      </w:r>
      <w:r>
        <w:t xml:space="preserve"> </w:t>
      </w:r>
      <w:r>
        <w:rPr>
          <w:i/>
          <w:iCs/>
        </w:rPr>
        <w:t xml:space="preserve">stripped spread</w:t>
      </w:r>
      <w:r>
        <w:t xml:space="preserve"> </w:t>
      </w:r>
      <w:r>
        <w:t xml:space="preserve">de los bonos Brady (1994-1997) con el EMBI+ oficial desde 1998. En el punto de unión se aplica una corrección proporcional de sesgo, k = 540,0/620,0 = 0,8710 (media de 1998T1 del EMBI+ sobre media de 1997T4 del spread Brady), para evitar una discontinuidad espuria de nivel. Es una corrección multiplicativa y preserva la estructura de varianza condicional. El empalme está en</w:t>
      </w:r>
      <w:r>
        <w:t xml:space="preserve"> </w:t>
      </w:r>
      <w:r>
        <w:rPr>
          <w:rStyle w:val="VerbatimChar"/>
        </w:rPr>
        <w:t xml:space="preserve">fase22_construccion_spread_1983_2025.py</w:t>
      </w:r>
      <w:r>
        <w:t xml:space="preserve"> </w:t>
      </w:r>
      <w:r>
        <w:t xml:space="preserve">y la serie resultante en</w:t>
      </w:r>
      <w:r>
        <w:t xml:space="preserve"> </w:t>
      </w:r>
      <w:r>
        <w:rPr>
          <w:rStyle w:val="VerbatimChar"/>
        </w:rPr>
        <w:t xml:space="preserve">datos/procesados/spread_soberano_historico_1983_2025.csv</w:t>
      </w:r>
      <w:r>
        <w:t xml:space="preserve"> </w:t>
      </w:r>
      <w:r>
        <w:t xml:space="preserve">(columna</w:t>
      </w:r>
      <w:r>
        <w:t xml:space="preserve"> </w:t>
      </w:r>
      <w:r>
        <w:rPr>
          <w:rStyle w:val="VerbatimChar"/>
        </w:rPr>
        <w:t xml:space="preserve">Spread_Empalmado_pb</w:t>
      </w:r>
      <w:r>
        <w:t xml:space="preserve">). Desde 1999T1 es idéntica punto a punto a la serie de Ámbito.</w:t>
      </w:r>
    </w:p>
    <w:p>
      <w:pPr>
        <w:pStyle w:val="Compact"/>
        <w:numPr>
          <w:ilvl w:val="0"/>
          <w:numId w:val="1011"/>
        </w:numPr>
      </w:pPr>
      <w:r>
        <w:rPr>
          <w:b/>
          <w:bCs/>
        </w:rPr>
        <w:t xml:space="preserve">Limitación.</w:t>
      </w:r>
      <w:r>
        <w:t xml:space="preserve"> </w:t>
      </w:r>
      <w:r>
        <w:t xml:space="preserve">El spread Brady no es exactamente el EMBI+ (distinto universo de instrumentos). El factor k ajusta el nivel pero no el comportamiento de corto plazo. Son 12 de 120 trimestres.</w:t>
      </w:r>
    </w:p>
    <w:bookmarkEnd w:id="70"/>
    <w:bookmarkStart w:id="71" w:name="tipo-de-cambio-real-multilateral-tcrm"/>
    <w:p>
      <w:pPr>
        <w:pStyle w:val="Heading3"/>
      </w:pPr>
      <w:r>
        <w:t xml:space="preserve">5.6.2 Tipo de cambio real multilateral (TCRM)</w:t>
      </w:r>
    </w:p>
    <w:p>
      <w:pPr>
        <w:pStyle w:val="Compact"/>
        <w:numPr>
          <w:ilvl w:val="0"/>
          <w:numId w:val="1012"/>
        </w:numPr>
      </w:pPr>
      <w:r>
        <w:rPr>
          <w:b/>
          <w:bCs/>
        </w:rPr>
        <w:t xml:space="preserve">Fuente.</w:t>
      </w:r>
      <w:r>
        <w:t xml:space="preserve"> </w:t>
      </w:r>
      <w:r>
        <w:t xml:space="preserve">BCRA, Índice de Tipo de Cambio Real Multilateral (</w:t>
      </w:r>
      <w:r>
        <w:rPr>
          <w:rStyle w:val="VerbatimChar"/>
        </w:rPr>
        <w:t xml:space="preserve">datos/crudos/ITCRMSerie.xlsx</w:t>
      </w:r>
      <w:r>
        <w:t xml:space="preserve">, hoja de promedios mensuales, base 17-12-2015 = 100).</w:t>
      </w:r>
    </w:p>
    <w:p>
      <w:pPr>
        <w:pStyle w:val="Compact"/>
        <w:numPr>
          <w:ilvl w:val="0"/>
          <w:numId w:val="1012"/>
        </w:numPr>
      </w:pPr>
      <w:r>
        <w:rPr>
          <w:b/>
          <w:bCs/>
        </w:rPr>
        <w:t xml:space="preserve">Transformación.</w:t>
      </w:r>
      <w:r>
        <w:t xml:space="preserve"> </w:t>
      </w:r>
      <w:r>
        <w:t xml:space="preserve">Se divide el índice mensual por su valor de diciembre de 2001 (69,213) y se promedia por trimestre. La serie queda con diciembre de 2001 = 1. Recalculado desde el archivo crudo, el resultado coincide con</w:t>
      </w:r>
      <w:r>
        <w:t xml:space="preserve"> </w:t>
      </w:r>
      <w:r>
        <w:rPr>
          <w:rStyle w:val="VerbatimChar"/>
        </w:rPr>
        <w:t xml:space="preserve">tcrm_real_bcra_1997_2025.csv</w:t>
      </w:r>
      <w:r>
        <w:t xml:space="preserve"> </w:t>
      </w:r>
      <w:r>
        <w:t xml:space="preserve">con una diferencia máxima de 4,4 × 10⁻¹⁶. Esa base se elige porque deja el índice en torno de 1 y no altera su dinámica.</w:t>
      </w:r>
    </w:p>
    <w:p>
      <w:pPr>
        <w:pStyle w:val="Compact"/>
        <w:numPr>
          <w:ilvl w:val="0"/>
          <w:numId w:val="1012"/>
        </w:numPr>
      </w:pPr>
      <w:r>
        <w:rPr>
          <w:b/>
          <w:bCs/>
        </w:rPr>
        <w:t xml:space="preserve">Cobertura.</w:t>
      </w:r>
      <w:r>
        <w:t xml:space="preserve"> </w:t>
      </w:r>
      <w:r>
        <w:t xml:space="preserve">El BCRA publica el índice desde enero de 1997. Los cuatro trimestres de 1996 (3,3 % de la muestra) se retropolan con una regresión de ln(TCRM) sobre una tendencia lineal en 1997T1-1999T4 (12 observaciones), proyectada hacia atrás, y se marcan con</w:t>
      </w:r>
      <w:r>
        <w:t xml:space="preserve"> </w:t>
      </w:r>
      <w:r>
        <w:rPr>
          <w:rStyle w:val="VerbatimChar"/>
        </w:rPr>
        <w:t xml:space="preserve">es_interpolado_tcrm = 1</w:t>
      </w:r>
      <w:r>
        <w:t xml:space="preserve">. Es la única variable del sistema en que una proyección reemplaza a una fuente primaria. La alternativa, perder un año de muestra, se considera peor que una aproximación declarada. Los resultados centrales se verifican reestimando desde 1997 (Capítulo 6).</w:t>
      </w:r>
    </w:p>
    <w:bookmarkEnd w:id="71"/>
    <w:bookmarkStart w:id="72" w:name="X2485cc34e02ab40b24c6d05171fb843d12e02c8"/>
    <w:p>
      <w:pPr>
        <w:pStyle w:val="Heading3"/>
      </w:pPr>
      <w:r>
        <w:t xml:space="preserve">5.6.3 Tasa de política de la Fed, con tasa sombra de Wu y Xia</w:t>
      </w:r>
    </w:p>
    <w:p>
      <w:pPr>
        <w:pStyle w:val="Compact"/>
        <w:numPr>
          <w:ilvl w:val="0"/>
          <w:numId w:val="1013"/>
        </w:numPr>
      </w:pPr>
      <w:r>
        <w:rPr>
          <w:b/>
          <w:bCs/>
        </w:rPr>
        <w:t xml:space="preserve">Fuentes.</w:t>
      </w:r>
      <w:r>
        <w:t xml:space="preserve"> </w:t>
      </w:r>
      <w:r>
        <w:t xml:space="preserve">FEDFUNDS (tasa efectiva de fondos federales, mensual), FRED (</w:t>
      </w:r>
      <w:r>
        <w:rPr>
          <w:rStyle w:val="VerbatimChar"/>
        </w:rPr>
        <w:t xml:space="preserve">https://fred.stlouisfed.org/series/FEDFUNDS</w:t>
      </w:r>
      <w:r>
        <w:t xml:space="preserve">). Tasa sombra de Wu y Xia (2016), mensual, Federal Reserve Bank of Atlanta (</w:t>
      </w:r>
      <w:r>
        <w:rPr>
          <w:rStyle w:val="VerbatimChar"/>
        </w:rPr>
        <w:t xml:space="preserve">https://www.atlantafed.org/cqer/research/wu-xia-shadow-federal-funds-rate</w:t>
      </w:r>
      <w:r>
        <w:t xml:space="preserve">). Copias en</w:t>
      </w:r>
      <w:r>
        <w:t xml:space="preserve"> </w:t>
      </w:r>
      <w:r>
        <w:rPr>
          <w:rStyle w:val="VerbatimChar"/>
        </w:rPr>
        <w:t xml:space="preserve">datos/crudos/tasa_fed/</w:t>
      </w:r>
      <w:r>
        <w:t xml:space="preserve">; script</w:t>
      </w:r>
      <w:r>
        <w:t xml:space="preserve"> </w:t>
      </w:r>
      <w:r>
        <w:rPr>
          <w:rStyle w:val="VerbatimChar"/>
        </w:rPr>
        <w:t xml:space="preserve">ingesta_tasa_fed_1996_2025.py</w:t>
      </w:r>
      <w:r>
        <w:t xml:space="preserve">; salida</w:t>
      </w:r>
      <w:r>
        <w:t xml:space="preserve"> </w:t>
      </w:r>
      <w:r>
        <w:rPr>
          <w:rStyle w:val="VerbatimChar"/>
        </w:rPr>
        <w:t xml:space="preserve">tasa_fed_trimestral_1996_2025.csv</w:t>
      </w:r>
      <w:r>
        <w:t xml:space="preserve">.</w:t>
      </w:r>
    </w:p>
    <w:p>
      <w:pPr>
        <w:pStyle w:val="Compact"/>
        <w:numPr>
          <w:ilvl w:val="0"/>
          <w:numId w:val="1013"/>
        </w:numPr>
      </w:pPr>
      <w:r>
        <w:rPr>
          <w:b/>
          <w:bCs/>
        </w:rPr>
        <w:t xml:space="preserve">Construcción.</w:t>
      </w:r>
      <w:r>
        <w:t xml:space="preserve"> </w:t>
      </w:r>
      <w:r>
        <w:t xml:space="preserve">Cada serie mensual se promedia por trimestre. La variable</w:t>
      </w:r>
      <w:r>
        <w:t xml:space="preserve"> </w:t>
      </w:r>
      <w:r>
        <w:rPr>
          <w:rStyle w:val="VerbatimChar"/>
        </w:rPr>
        <w:t xml:space="preserve">tasa_politica_fed</w:t>
      </w:r>
      <w:r>
        <w:t xml:space="preserve"> </w:t>
      </w:r>
      <w:r>
        <w:t xml:space="preserve">toma la tasa sombra cuando el promedio trimestral de FEDFUNDS es menor que 0,25 % y están los tres meses de la sombra. En los demás casos usa FEDFUNDS. El umbral 0,25 % es el techo del rango objetivo en el piso cero. Resultado:</w:t>
      </w:r>
      <w:r>
        <w:t xml:space="preserve"> </w:t>
      </w:r>
      <w:r>
        <w:rPr>
          <w:rStyle w:val="VerbatimChar"/>
        </w:rPr>
        <w:t xml:space="preserve">fedfunds</w:t>
      </w:r>
      <w:r>
        <w:t xml:space="preserve"> </w:t>
      </w:r>
      <w:r>
        <w:t xml:space="preserve">en 84 trimestres,</w:t>
      </w:r>
      <w:r>
        <w:t xml:space="preserve"> </w:t>
      </w:r>
      <w:r>
        <w:rPr>
          <w:rStyle w:val="VerbatimChar"/>
        </w:rPr>
        <w:t xml:space="preserve">shadow_wu_xia</w:t>
      </w:r>
      <w:r>
        <w:t xml:space="preserve"> </w:t>
      </w:r>
      <w:r>
        <w:t xml:space="preserve">en 35 (2009T1-2015T4 y 2020T2-2021T4) y</w:t>
      </w:r>
      <w:r>
        <w:t xml:space="preserve"> </w:t>
      </w:r>
      <w:r>
        <w:rPr>
          <w:rStyle w:val="VerbatimChar"/>
        </w:rPr>
        <w:t xml:space="preserve">fedfunds_zlb_sin_shadow</w:t>
      </w:r>
      <w:r>
        <w:t xml:space="preserve"> </w:t>
      </w:r>
      <w:r>
        <w:t xml:space="preserve">en uno.</w:t>
      </w:r>
    </w:p>
    <w:p>
      <w:pPr>
        <w:pStyle w:val="Compact"/>
        <w:numPr>
          <w:ilvl w:val="0"/>
          <w:numId w:val="1013"/>
        </w:numPr>
      </w:pPr>
      <w:r>
        <w:rPr>
          <w:b/>
          <w:bCs/>
        </w:rPr>
        <w:t xml:space="preserve">Por qué la sombra.</w:t>
      </w:r>
      <w:r>
        <w:t xml:space="preserve"> </w:t>
      </w:r>
      <w:r>
        <w:t xml:space="preserve">En el piso cero la tasa efectiva deja de reflejar la orientación de la política y su variación subestima las medidas no convencionales. La sombra recupera esa orientación.</w:t>
      </w:r>
    </w:p>
    <w:p>
      <w:pPr>
        <w:pStyle w:val="Compact"/>
        <w:numPr>
          <w:ilvl w:val="0"/>
          <w:numId w:val="1013"/>
        </w:numPr>
      </w:pPr>
      <w:r>
        <w:rPr>
          <w:b/>
          <w:bCs/>
        </w:rPr>
        <w:t xml:space="preserve">Empalme en 2022T1.</w:t>
      </w:r>
      <w:r>
        <w:t xml:space="preserve"> </w:t>
      </w:r>
      <w:r>
        <w:t xml:space="preserve">La hoja de Wu y Xia termina en febrero de 2022. 2022T1 está en el piso cero (FEDFUNDS = 0,12 %) pero solo tiene dos meses de sombra, así que se usa FEDFUNDS y se marca. El salto entre 2021T4 (−1,57 %, sombra) y 2022T1 (0,12 %) es de unos 1,7 puntos y es un artefacto de la definición. Entra una vez en la primera diferencia. Los trimestres 2022T2-2025T4 usan FEDFUNDS.</w:t>
      </w:r>
    </w:p>
    <w:p>
      <w:pPr>
        <w:pStyle w:val="Compact"/>
        <w:numPr>
          <w:ilvl w:val="0"/>
          <w:numId w:val="1013"/>
        </w:numPr>
      </w:pPr>
      <w:r>
        <w:rPr>
          <w:b/>
          <w:bCs/>
        </w:rPr>
        <w:t xml:space="preserve">Uso.</w:t>
      </w:r>
      <w:r>
        <w:t xml:space="preserve"> </w:t>
      </w:r>
      <w:r>
        <w:t xml:space="preserve">En el modelo entra como variación trimestral (ΔFed), con una media de −0,012 pp y un desvío estándar de 0,505 pp (119 variaciones). Ese desvío es el tamaño del shock del Capítulo 4. El ciclo 2022-2023 acumula 6,90 pp con la sombra de base y 5,25 pp medido solo con FEDFUNDS.</w:t>
      </w:r>
    </w:p>
    <w:bookmarkEnd w:id="72"/>
    <w:bookmarkStart w:id="79" w:name="vix"/>
    <w:p>
      <w:pPr>
        <w:pStyle w:val="Heading3"/>
      </w:pPr>
      <w:r>
        <w:t xml:space="preserve">5.6.4 VIX</w:t>
      </w:r>
    </w:p>
    <w:p>
      <w:pPr>
        <w:pStyle w:val="FirstParagraph"/>
      </w:pPr>
      <w:r>
        <w:t xml:space="preserve">Índice de volatilidad implícita del CBOE (^VIX), cierre diario de Yahoo Finance descargado con</w:t>
      </w:r>
      <w:r>
        <w:t xml:space="preserve"> </w:t>
      </w:r>
      <w:r>
        <w:rPr>
          <w:rStyle w:val="VerbatimChar"/>
        </w:rPr>
        <w:t xml:space="preserve">yfinance</w:t>
      </w:r>
      <w:r>
        <w:t xml:space="preserve"> </w:t>
      </w:r>
      <w:r>
        <w:t xml:space="preserve">(</w:t>
      </w:r>
      <w:r>
        <w:rPr>
          <w:rStyle w:val="VerbatimChar"/>
        </w:rPr>
        <w:t xml:space="preserve">ingesta_instrumentos_1996_2025.py</w:t>
      </w:r>
      <w:r>
        <w:t xml:space="preserve">), promedio trimestral. Tiene cobertura real desde 1996, sin faltantes (120 observaciones). Entra como exógena en nivel (Adler y Sosa, 2013, citados en el Capítulo 4).</w:t>
      </w:r>
    </w:p>
    <w:p>
      <w:pPr>
        <w:pStyle w:val="BodyText"/>
      </w:pPr>
      <w:r>
        <w:t xml:space="preserve">Las Figuras 5.2 y 5.3 muestran las cuatro variables endógenas y las dos exógenas del SVARX en la muestra completa.</w:t>
      </w:r>
    </w:p>
    <w:p>
      <w:pPr>
        <w:pStyle w:val="CaptionedFigure"/>
      </w:pPr>
      <w:r>
        <w:drawing>
          <wp:inline>
            <wp:extent cx="5334000" cy="3657600"/>
            <wp:effectExtent b="0" l="0" r="0" t="0"/>
            <wp:docPr descr="Figura 5.2. Variables endógenas del SVARX, 1996-2025. El crecimiento es la variación trimestral del PIB real sin desestacionalizar; la estacionalidad la absorben las variables binarias del modelo. Las líneas punteadas marcan los quiebres de Bai y Perron." title="" id="74" name="Picture"/>
            <a:graphic>
              <a:graphicData uri="http://schemas.openxmlformats.org/drawingml/2006/picture">
                <pic:pic>
                  <pic:nvPicPr>
                    <pic:cNvPr descr="../tesis/figuras/fig5_2_variables_endogenas.png" id="75" name="Picture"/>
                    <pic:cNvPicPr>
                      <a:picLocks noChangeArrowheads="1" noChangeAspect="1"/>
                    </pic:cNvPicPr>
                  </pic:nvPicPr>
                  <pic:blipFill>
                    <a:blip r:embed="rId73"/>
                    <a:stretch>
                      <a:fillRect/>
                    </a:stretch>
                  </pic:blipFill>
                  <pic:spPr bwMode="auto">
                    <a:xfrm>
                      <a:off x="0" y="0"/>
                      <a:ext cx="5334000" cy="3657600"/>
                    </a:xfrm>
                    <a:prstGeom prst="rect">
                      <a:avLst/>
                    </a:prstGeom>
                    <a:noFill/>
                    <a:ln w="9525">
                      <a:noFill/>
                      <a:headEnd/>
                      <a:tailEnd/>
                    </a:ln>
                  </pic:spPr>
                </pic:pic>
              </a:graphicData>
            </a:graphic>
          </wp:inline>
        </w:drawing>
      </w:r>
    </w:p>
    <w:p>
      <w:pPr>
        <w:pStyle w:val="ImageCaption"/>
      </w:pPr>
      <w:r>
        <w:t xml:space="preserve">Figura 5.2. Variables endógenas del SVARX, 1996-2025. El crecimiento es la variación trimestral del PIB real sin desestacionalizar; la estacionalidad la absorben las variables binarias del modelo. Las líneas punteadas marcan los quiebres de Bai y Perron.</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title="" id="77" name="Picture"/>
            <a:graphic>
              <a:graphicData uri="http://schemas.openxmlformats.org/drawingml/2006/picture">
                <pic:pic>
                  <pic:nvPicPr>
                    <pic:cNvPr descr="../tesis/figuras/fig5_3_fed_y_vix.png" id="78" name="Picture"/>
                    <pic:cNvPicPr>
                      <a:picLocks noChangeArrowheads="1" noChangeAspect="1"/>
                    </pic:cNvPicPr>
                  </pic:nvPicPr>
                  <pic:blipFill>
                    <a:blip r:embed="rId7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w:t>
      </w:r>
    </w:p>
    <w:bookmarkEnd w:id="79"/>
    <w:bookmarkEnd w:id="80"/>
    <w:bookmarkStart w:id="81" w:name="Xe2c1f699aa3e9ae6a11f93541e9c4657f6aae32"/>
    <w:p>
      <w:pPr>
        <w:pStyle w:val="Heading2"/>
      </w:pPr>
      <w:r>
        <w:t xml:space="preserve">5.7 Variables que figuran en la base pero no entran en el sistema</w:t>
      </w:r>
    </w:p>
    <w:p>
      <w:pPr>
        <w:pStyle w:val="FirstParagraph"/>
      </w:pPr>
      <w:r>
        <w:t xml:space="preserve">El CER (existe desde 2002), la brecha del producto (filtro Hodrick-Prescott, λ = 1600) y los instrumentos de las pruebas de variables instrumentales no forman parte del SVARX principal. Se documentan en</w:t>
      </w:r>
      <w:r>
        <w:t xml:space="preserve"> </w:t>
      </w:r>
      <w:r>
        <w:rPr>
          <w:rStyle w:val="VerbatimChar"/>
        </w:rPr>
        <w:t xml:space="preserve">datos/codebook.md</w:t>
      </w:r>
      <w:r>
        <w:t xml:space="preserve">.</w:t>
      </w:r>
    </w:p>
    <w:bookmarkEnd w:id="81"/>
    <w:bookmarkStart w:id="86" w:name="Xfba9795b0262a3aec86cb988d85d10ac0b2d960"/>
    <w:p>
      <w:pPr>
        <w:pStyle w:val="Heading2"/>
      </w:pPr>
      <w:r>
        <w:t xml:space="preserve">5.8 Comparación con cifras oficiales e independientes</w:t>
      </w:r>
    </w:p>
    <w:p>
      <w:pPr>
        <w:pStyle w:val="FirstParagraph"/>
      </w:pPr>
      <w:r>
        <w:t xml:space="preserve">Esta sección calcula, desde los CSV del repositorio, cada cifra propia y la compara con el FMI (2025),</w:t>
      </w:r>
      <w:r>
        <w:t xml:space="preserve"> </w:t>
      </w:r>
      <w:r>
        <w:rPr>
          <w:i/>
          <w:iCs/>
        </w:rPr>
        <w:t xml:space="preserve">Country Report</w:t>
      </w:r>
      <w:r>
        <w:t xml:space="preserve"> </w:t>
      </w:r>
      <w:r>
        <w:t xml:space="preserve">No. 25/95 (Annex II, Table 2 para la deuda; Table 3b para el resultado primario; datos en</w:t>
      </w:r>
      <w:r>
        <w:t xml:space="preserve"> </w:t>
      </w:r>
      <w:r>
        <w:rPr>
          <w:rStyle w:val="VerbatimChar"/>
        </w:rPr>
        <w:t xml:space="preserve">datos/procesados/escenario_base_fmi_cr2595.csv</w:t>
      </w:r>
      <w:r>
        <w:t xml:space="preserve">). El FMI publica el cuadro de deuda solo para 2023-2026.</w:t>
      </w:r>
    </w:p>
    <w:bookmarkStart w:id="82" w:name="Xa01cff60600f7a82bb5f91b22357c6f4e94a632"/>
    <w:p>
      <w:pPr>
        <w:pStyle w:val="Heading3"/>
      </w:pPr>
      <w:r>
        <w:t xml:space="preserve">5.8.1 Tabla de control, deuda (% del PIB, cierre de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propio</w:t>
            </w:r>
          </w:p>
        </w:tc>
        <w:tc>
          <w:tcPr/>
          <w:p>
            <w:pPr>
              <w:pStyle w:val="Compact"/>
            </w:pPr>
            <w:r>
              <w:rPr>
                <w:rFonts w:ascii="Calibri" w:hAnsi="Calibri"/>
                <w:sz w:val="20"/>
              </w:rPr>
              <w:t xml:space="preserve">2023 FMI</w:t>
            </w:r>
          </w:p>
        </w:tc>
        <w:tc>
          <w:tcPr/>
          <w:p>
            <w:pPr>
              <w:pStyle w:val="Compact"/>
            </w:pPr>
            <w:r>
              <w:rPr>
                <w:rFonts w:ascii="Calibri" w:hAnsi="Calibri"/>
                <w:sz w:val="20"/>
              </w:rPr>
              <w:t xml:space="preserve">Dif.</w:t>
            </w:r>
          </w:p>
        </w:tc>
        <w:tc>
          <w:tcPr/>
          <w:p>
            <w:pPr>
              <w:pStyle w:val="Compact"/>
            </w:pPr>
            <w:r>
              <w:rPr>
                <w:rFonts w:ascii="Calibri" w:hAnsi="Calibri"/>
                <w:sz w:val="20"/>
              </w:rPr>
              <w:t xml:space="preserve">2024 propio</w:t>
            </w:r>
          </w:p>
        </w:tc>
        <w:tc>
          <w:tcPr/>
          <w:p>
            <w:pPr>
              <w:pStyle w:val="Compact"/>
            </w:pPr>
            <w:r>
              <w:rPr>
                <w:rFonts w:ascii="Calibri" w:hAnsi="Calibri"/>
                <w:sz w:val="20"/>
              </w:rPr>
              <w:t xml:space="preserve">2024 FMI</w:t>
            </w:r>
          </w:p>
        </w:tc>
        <w:tc>
          <w:tcPr/>
          <w:p>
            <w:pPr>
              <w:pStyle w:val="Compact"/>
            </w:pPr>
            <w:r>
              <w:rPr>
                <w:rFonts w:ascii="Calibri" w:hAnsi="Calibri"/>
                <w:sz w:val="20"/>
              </w:rPr>
              <w:t xml:space="preserve">Dif.</w:t>
            </w:r>
          </w:p>
        </w:tc>
      </w:tr>
      <w:tr>
        <w:tc>
          <w:tcPr/>
          <w:p>
            <w:pPr>
              <w:pStyle w:val="Compact"/>
            </w:pPr>
            <w:r>
              <w:rPr>
                <w:rFonts w:ascii="Calibri" w:hAnsi="Calibri"/>
                <w:sz w:val="20"/>
              </w:rPr>
              <w:t xml:space="preserve">1. Deuda federal bruta</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−1,9</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3. Deuda del Tesoro en poder del sector público</w:t>
            </w:r>
          </w:p>
        </w:tc>
        <w:tc>
          <w:tcPr/>
          <w:p>
            <w:pPr>
              <w:pStyle w:val="Compact"/>
            </w:pPr>
            <w:r>
              <w:rPr>
                <w:rFonts w:ascii="Calibri" w:hAnsi="Calibri"/>
                <w:sz w:val="20"/>
              </w:rPr>
              <w:t xml:space="preserve">48,6 (solo BCRA, nominal piso)</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−13,9</w:t>
            </w:r>
          </w:p>
        </w:tc>
        <w:tc>
          <w:tcPr/>
          <w:p>
            <w:pPr>
              <w:pStyle w:val="Compact"/>
            </w:pPr>
            <w:r>
              <w:rPr>
                <w:rFonts w:ascii="Calibri" w:hAnsi="Calibri"/>
                <w:sz w:val="20"/>
              </w:rPr>
              <w:t xml:space="preserve">20,4 (solo BCRA, nominal piso)</w:t>
            </w:r>
          </w:p>
        </w:tc>
        <w:tc>
          <w:tcPr/>
          <w:p>
            <w:pPr>
              <w:pStyle w:val="Compact"/>
            </w:pPr>
            <w:r>
              <w:rPr>
                <w:rFonts w:ascii="Calibri" w:hAnsi="Calibri"/>
                <w:sz w:val="20"/>
              </w:rPr>
              <w:t xml:space="preserve">33,9 (BCRA y FGS)</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4. Pasivos del BCRA, total</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−3,8</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en moneda local</w:t>
            </w:r>
          </w:p>
        </w:tc>
        <w:tc>
          <w:tcPr/>
          <w:p>
            <w:pPr>
              <w:pStyle w:val="Compact"/>
            </w:pPr>
            <w:r>
              <w:rPr>
                <w:rFonts w:ascii="Calibri" w:hAnsi="Calibri"/>
                <w:sz w:val="20"/>
              </w:rPr>
              <w:t xml:space="preserve">13,3</w:t>
            </w:r>
          </w:p>
        </w:tc>
        <w:tc>
          <w:tcPr/>
          <w:p>
            <w:pPr>
              <w:pStyle w:val="Compact"/>
            </w:pPr>
            <w:r>
              <w:rPr>
                <w:rFonts w:ascii="Calibri" w:hAnsi="Calibri"/>
                <w:sz w:val="20"/>
              </w:rPr>
              <w:t xml:space="preserve">16,2</w:t>
            </w:r>
          </w:p>
        </w:tc>
        <w:tc>
          <w:tcPr/>
          <w:p>
            <w:pPr>
              <w:pStyle w:val="Compact"/>
            </w:pPr>
            <w:r>
              <w:rPr>
                <w:rFonts w:ascii="Calibri" w:hAnsi="Calibri"/>
                <w:sz w:val="20"/>
              </w:rPr>
              <w:t xml:space="preserve">−2,9</w:t>
            </w:r>
          </w:p>
        </w:tc>
        <w:tc>
          <w:tcPr/>
          <w:p>
            <w:pPr>
              <w:pStyle w:val="Compact"/>
            </w:pPr>
            <w:r>
              <w:rPr>
                <w:rFonts w:ascii="Calibri" w:hAnsi="Calibri"/>
                <w:sz w:val="20"/>
              </w:rPr>
              <w:t xml:space="preserve">−0,06</w:t>
            </w:r>
          </w:p>
        </w:tc>
        <w:tc>
          <w:tcPr/>
          <w:p>
            <w:pPr>
              <w:pStyle w:val="Compact"/>
            </w:pPr>
            <w:r>
              <w:rPr>
                <w:rFonts w:ascii="Calibri" w:hAnsi="Calibri"/>
                <w:sz w:val="20"/>
              </w:rPr>
              <w:t xml:space="preserve">0,0</w:t>
            </w:r>
          </w:p>
        </w:tc>
        <w:tc>
          <w:tcPr/>
          <w:p>
            <w:pPr>
              <w:pStyle w:val="Compact"/>
            </w:pPr>
            <w:r>
              <w:rPr>
                <w:rFonts w:ascii="Calibri" w:hAnsi="Calibri"/>
                <w:sz w:val="20"/>
              </w:rPr>
              <w:t xml:space="preserve">−0,1</w:t>
            </w:r>
          </w:p>
        </w:tc>
      </w:tr>
      <w:tr>
        <w:tc>
          <w:tcPr/>
          <w:p>
            <w:pPr>
              <w:pStyle w:val="Compact"/>
            </w:pPr>
            <w:r>
              <w:rPr>
                <w:rFonts w:ascii="Calibri" w:hAnsi="Calibri"/>
                <w:sz w:val="20"/>
              </w:rPr>
              <w:t xml:space="preserve">en moneda extranjera (sin swap)</w:t>
            </w:r>
          </w:p>
        </w:tc>
        <w:tc>
          <w:tcPr/>
          <w:p>
            <w:pPr>
              <w:pStyle w:val="Compact"/>
            </w:pPr>
            <w:r>
              <w:rPr>
                <w:rFonts w:ascii="Calibri" w:hAnsi="Calibri"/>
                <w:sz w:val="20"/>
              </w:rPr>
              <w:t xml:space="preserve">1,3</w:t>
            </w:r>
          </w:p>
        </w:tc>
        <w:tc>
          <w:tcPr/>
          <w:p>
            <w:pPr>
              <w:pStyle w:val="Compact"/>
            </w:pPr>
            <w:r>
              <w:rPr>
                <w:rFonts w:ascii="Calibri" w:hAnsi="Calibri"/>
                <w:sz w:val="20"/>
              </w:rPr>
              <w:t xml:space="preserve">2,1</w:t>
            </w:r>
          </w:p>
        </w:tc>
        <w:tc>
          <w:tcPr/>
          <w:p>
            <w:pPr>
              <w:pStyle w:val="Compact"/>
            </w:pPr>
            <w:r>
              <w:rPr>
                <w:rFonts w:ascii="Calibri" w:hAnsi="Calibri"/>
                <w:sz w:val="20"/>
              </w:rPr>
              <w:t xml:space="preserve">−0,8</w:t>
            </w:r>
          </w:p>
        </w:tc>
        <w:tc>
          <w:tcPr/>
          <w:p>
            <w:pPr>
              <w:pStyle w:val="Compact"/>
            </w:pPr>
            <w:r>
              <w:rPr>
                <w:rFonts w:ascii="Calibri" w:hAnsi="Calibri"/>
                <w:sz w:val="20"/>
              </w:rPr>
              <w:t xml:space="preserve">1,6</w:t>
            </w:r>
          </w:p>
        </w:tc>
        <w:tc>
          <w:tcPr/>
          <w:p>
            <w:pPr>
              <w:pStyle w:val="Compact"/>
            </w:pPr>
            <w:r>
              <w:rPr>
                <w:rFonts w:ascii="Calibri" w:hAnsi="Calibri"/>
                <w:sz w:val="20"/>
              </w:rPr>
              <w:t xml:space="preserve">2,1</w:t>
            </w:r>
          </w:p>
        </w:tc>
        <w:tc>
          <w:tcPr/>
          <w:p>
            <w:pPr>
              <w:pStyle w:val="Compact"/>
            </w:pPr>
            <w:r>
              <w:rPr>
                <w:rFonts w:ascii="Calibri" w:hAnsi="Calibri"/>
                <w:sz w:val="20"/>
              </w:rPr>
              <w:t xml:space="preserve">−0,5</w:t>
            </w:r>
          </w:p>
        </w:tc>
      </w:tr>
      <w:tr>
        <w:tc>
          <w:tcPr/>
          <w:p>
            <w:pPr>
              <w:pStyle w:val="Compact"/>
            </w:pPr>
            <w:r>
              <w:rPr>
                <w:rFonts w:ascii="Calibri" w:hAnsi="Calibri"/>
                <w:sz w:val="20"/>
              </w:rPr>
              <w:t xml:space="preserve">5. Depósitos del Tesoro en el BCRA</w:t>
            </w:r>
          </w:p>
        </w:tc>
        <w:tc>
          <w:tcPr/>
          <w:p>
            <w:pPr>
              <w:pStyle w:val="Compact"/>
            </w:pPr>
            <w:r>
              <w:rPr>
                <w:rFonts w:ascii="Calibri" w:hAnsi="Calibri"/>
                <w:sz w:val="20"/>
              </w:rPr>
              <w:t xml:space="preserve">0,52</w:t>
            </w:r>
          </w:p>
        </w:tc>
        <w:tc>
          <w:tcPr/>
          <w:p>
            <w:pPr>
              <w:pStyle w:val="Compact"/>
            </w:pPr>
            <w:r>
              <w:rPr>
                <w:rFonts w:ascii="Calibri" w:hAnsi="Calibri"/>
                <w:sz w:val="20"/>
              </w:rPr>
              <w:t xml:space="preserve">0,5</w:t>
            </w:r>
          </w:p>
        </w:tc>
        <w:tc>
          <w:tcPr/>
          <w:p>
            <w:pPr>
              <w:pStyle w:val="Compact"/>
            </w:pPr>
            <w:r>
              <w:rPr>
                <w:rFonts w:ascii="Calibri" w:hAnsi="Calibri"/>
                <w:sz w:val="20"/>
              </w:rPr>
              <w:t xml:space="preserve">0,0</w:t>
            </w:r>
          </w:p>
        </w:tc>
        <w:tc>
          <w:tcPr/>
          <w:p>
            <w:pPr>
              <w:pStyle w:val="Compact"/>
            </w:pPr>
            <w:r>
              <w:rPr>
                <w:rFonts w:ascii="Calibri" w:hAnsi="Calibri"/>
                <w:sz w:val="20"/>
              </w:rPr>
              <w:t xml:space="preserve">2,10</w:t>
            </w:r>
          </w:p>
        </w:tc>
        <w:tc>
          <w:tcPr/>
          <w:p>
            <w:pPr>
              <w:pStyle w:val="Compact"/>
            </w:pPr>
            <w:r>
              <w:rPr>
                <w:rFonts w:ascii="Calibri" w:hAnsi="Calibri"/>
                <w:sz w:val="20"/>
              </w:rPr>
              <w:t xml:space="preserve">2,1</w:t>
            </w:r>
          </w:p>
        </w:tc>
        <w:tc>
          <w:tcPr/>
          <w:p>
            <w:pPr>
              <w:pStyle w:val="Compact"/>
            </w:pPr>
            <w:r>
              <w:rPr>
                <w:rFonts w:ascii="Calibri" w:hAnsi="Calibri"/>
                <w:sz w:val="20"/>
              </w:rPr>
              <w:t xml:space="preserve">0,0</w:t>
            </w:r>
          </w:p>
        </w:tc>
      </w:tr>
      <w:tr>
        <w:tc>
          <w:tcPr/>
          <w:p>
            <w:pPr>
              <w:pStyle w:val="Compact"/>
            </w:pPr>
            <w:r>
              <w:rPr>
                <w:rFonts w:ascii="Calibri" w:hAnsi="Calibri"/>
                <w:sz w:val="20"/>
              </w:rPr>
              <w:t xml:space="preserve">6. Deuda neta consolidada (nominal piso)</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c>
          <w:tcPr/>
          <w:p>
            <w:pPr>
              <w:pStyle w:val="Compact"/>
            </w:pPr>
            <w:r>
              <w:rPr>
                <w:rFonts w:ascii="Calibri" w:hAnsi="Calibri"/>
                <w:b/>
                <w:bCs/>
                <w:sz w:val="20"/>
              </w:rPr>
              <w:t xml:space="preserve">+9,6</w:t>
            </w:r>
          </w:p>
        </w:tc>
      </w:tr>
      <w:tr>
        <w:tc>
          <w:tcPr/>
          <w:p>
            <w:pPr>
              <w:pStyle w:val="Compact"/>
            </w:pPr>
            <w:r>
              <w:rPr>
                <w:rFonts w:ascii="Calibri" w:hAnsi="Calibri"/>
                <w:i/>
                <w:iCs/>
                <w:sz w:val="20"/>
              </w:rPr>
              <w:t xml:space="preserve">Memo: deuda neta a valor de libros</w:t>
            </w:r>
          </w:p>
        </w:tc>
        <w:tc>
          <w:tcPr/>
          <w:p>
            <w:pPr>
              <w:pStyle w:val="Compact"/>
            </w:pPr>
            <w:r>
              <w:rPr>
                <w:rFonts w:ascii="Calibri" w:hAnsi="Calibri"/>
                <w:sz w:val="20"/>
              </w:rPr>
              <w:t xml:space="preserve">119,0</w:t>
            </w:r>
          </w:p>
        </w:tc>
        <w:tc>
          <w:tcPr/>
          <w:p>
            <w:pPr>
              <w:pStyle w:val="Compact"/>
            </w:pPr>
            <w:r>
              <w:rPr>
                <w:rFonts w:ascii="Calibri" w:hAnsi="Calibri"/>
                <w:sz w:val="20"/>
              </w:rPr>
              <w:t xml:space="preserve">110,8</w:t>
            </w:r>
          </w:p>
        </w:tc>
        <w:tc>
          <w:tcPr/>
          <w:p>
            <w:pPr>
              <w:pStyle w:val="Compact"/>
            </w:pPr>
            <w:r>
              <w:rPr>
                <w:rFonts w:ascii="Calibri" w:hAnsi="Calibri"/>
                <w:sz w:val="20"/>
              </w:rPr>
              <w:t xml:space="preserve">+8,2</w:t>
            </w:r>
          </w:p>
        </w:tc>
        <w:tc>
          <w:tcPr/>
          <w:p>
            <w:pPr>
              <w:pStyle w:val="Compact"/>
            </w:pPr>
            <w:r>
              <w:rPr>
                <w:rFonts w:ascii="Calibri" w:hAnsi="Calibri"/>
                <w:sz w:val="20"/>
              </w:rPr>
              <w:t xml:space="preserve">68,3</w:t>
            </w:r>
          </w:p>
        </w:tc>
        <w:tc>
          <w:tcPr/>
          <w:p>
            <w:pPr>
              <w:pStyle w:val="Compact"/>
            </w:pPr>
            <w:r>
              <w:rPr>
                <w:rFonts w:ascii="Calibri" w:hAnsi="Calibri"/>
                <w:sz w:val="20"/>
              </w:rPr>
              <w:t xml:space="preserve">51,5</w:t>
            </w:r>
          </w:p>
        </w:tc>
        <w:tc>
          <w:tcPr/>
          <w:p>
            <w:pPr>
              <w:pStyle w:val="Compact"/>
            </w:pPr>
            <w:r>
              <w:rPr>
                <w:rFonts w:ascii="Calibri" w:hAnsi="Calibri"/>
                <w:sz w:val="20"/>
              </w:rPr>
              <w:t xml:space="preserve">+16,8</w:t>
            </w:r>
          </w:p>
        </w:tc>
      </w:tr>
    </w:tbl>
    <w:p>
      <w:pPr>
        <w:pStyle w:val="BodyText"/>
      </w:pPr>
      <w:r>
        <w:t xml:space="preserve">Fuentes: columnas propias en</w:t>
      </w:r>
      <w:r>
        <w:t xml:space="preserve"> </w:t>
      </w:r>
      <w:r>
        <w:rPr>
          <w:rStyle w:val="VerbatimChar"/>
        </w:rPr>
        <w:t xml:space="preserve">deuda_consolidada_neta_nominal_1996_2025.csv</w:t>
      </w:r>
      <w:r>
        <w:t xml:space="preserve"> </w:t>
      </w:r>
      <w:r>
        <w:t xml:space="preserve">(diciembre de cada año); columnas FMI en</w:t>
      </w:r>
      <w:r>
        <w:t xml:space="preserve"> </w:t>
      </w:r>
      <w:r>
        <w:rPr>
          <w:rStyle w:val="VerbatimChar"/>
        </w:rPr>
        <w:t xml:space="preserve">escenario_base_fmi_cr2595.csv</w:t>
      </w:r>
      <w:r>
        <w:t xml:space="preserve"> </w:t>
      </w:r>
      <w:r>
        <w:t xml:space="preserve">(variables</w:t>
      </w:r>
      <w:r>
        <w:t xml:space="preserve"> </w:t>
      </w:r>
      <w:r>
        <w:rPr>
          <w:rStyle w:val="VerbatimChar"/>
        </w:rPr>
        <w:t xml:space="preserve">a2_*</w:t>
      </w:r>
      <w:r>
        <w:t xml:space="preserve">). El control está además en</w:t>
      </w:r>
      <w:r>
        <w:t xml:space="preserve"> </w:t>
      </w:r>
      <w:r>
        <w:rPr>
          <w:rStyle w:val="VerbatimChar"/>
        </w:rPr>
        <w:t xml:space="preserve">deuda_consolidada_neta_nominal_1996_2025_control_fmi.csv</w:t>
      </w:r>
      <w:r>
        <w:t xml:space="preserve">. En dólares, el FMI publica 367,9 y 478,7 mil millones para la deuda bruta federal y 262,2 y 289,0 para la deuda neta consolidada (2023 y 2024).</w:t>
      </w:r>
    </w:p>
    <w:p>
      <w:pPr>
        <w:pStyle w:val="BodyText"/>
      </w:pPr>
      <w:r>
        <w:rPr>
          <w:b/>
          <w:bCs/>
        </w:rPr>
        <w:t xml:space="preserve">Lectura.</w:t>
      </w:r>
      <w:r>
        <w:t xml:space="preserve"> </w:t>
      </w:r>
      <w:r>
        <w:t xml:space="preserve">La deuda bruta, los depósitos y los pasivos en moneda local replican al FMI dentro de 3 puntos, y los depósitos coinciden. La diferencia en la bruta se debe a que el FMI agrega intereses capitalizados,</w:t>
      </w:r>
      <w:r>
        <w:t xml:space="preserve"> </w:t>
      </w:r>
      <w:r>
        <w:rPr>
          <w:i/>
          <w:iCs/>
        </w:rPr>
        <w:t xml:space="preserve">holdouts</w:t>
      </w:r>
      <w:r>
        <w:t xml:space="preserve"> </w:t>
      </w:r>
      <w:r>
        <w:t xml:space="preserve">y reclamos por el cupón PIB (nota 1 del cuadro), que no figuran en los informes del MECON, y a la versión de PIB de su informe. La diferencia de los pasivos del BCRA en 2023 es compatible con la omisión del swap con el PBoC y de otros instrumentos, aunque no se pudo verificar por falta de una serie. La valuación nominal no cambia 2023, porque en ese año el valor de libros ya supera al nominal y la variante piso conserva el de libros. En 2024 reduce la deuda neta de 68,3 a 61,1 y la brecha con el FMI, de 16,8 a 9,6 puntos.</w:t>
      </w:r>
    </w:p>
    <w:bookmarkEnd w:id="82"/>
    <w:bookmarkStart w:id="83" w:name="X7a2c85742a23c57b132a6154d51d01bf040b9b5"/>
    <w:p>
      <w:pPr>
        <w:pStyle w:val="Heading3"/>
      </w:pPr>
      <w:r>
        <w:t xml:space="preserve">5.8.2 Descomposición de la diferencia en la deuda neta</w:t>
      </w:r>
    </w:p>
    <w:p>
      <w:pPr>
        <w:pStyle w:val="FirstParagraph"/>
      </w:pPr>
      <w:r>
        <w:t xml:space="preserve">Como la deuda neta es B − T + L − DEP, la diferencia propio menos FMI es la suma de las diferencias de cada línea.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Componente</w:t>
            </w:r>
          </w:p>
        </w:tc>
        <w:tc>
          <w:tcPr/>
          <w:p>
            <w:pPr>
              <w:pStyle w:val="Compact"/>
            </w:pPr>
            <w:r>
              <w:rPr>
                <w:rFonts w:ascii="Calibri" w:hAnsi="Calibri"/>
                <w:sz w:val="20"/>
              </w:rPr>
              <w:t xml:space="preserve">2023 (pp)</w:t>
            </w:r>
          </w:p>
        </w:tc>
        <w:tc>
          <w:tcPr/>
          <w:p>
            <w:pPr>
              <w:pStyle w:val="Compact"/>
            </w:pPr>
            <w:r>
              <w:rPr>
                <w:rFonts w:ascii="Calibri" w:hAnsi="Calibri"/>
                <w:sz w:val="20"/>
              </w:rPr>
              <w:t xml:space="preserve">2024 (pp)</w:t>
            </w:r>
          </w:p>
        </w:tc>
      </w:tr>
      <w:tr>
        <w:tc>
          <w:tcPr/>
          <w:p>
            <w:pPr>
              <w:pStyle w:val="Compact"/>
            </w:pPr>
            <w:r>
              <w:rPr>
                <w:rFonts w:ascii="Calibri" w:hAnsi="Calibri"/>
                <w:sz w:val="20"/>
              </w:rPr>
              <w:t xml:space="preserve">Deuda bruta</w:t>
            </w:r>
          </w:p>
        </w:tc>
        <w:tc>
          <w:tcPr/>
          <w:p>
            <w:pPr>
              <w:pStyle w:val="Compact"/>
            </w:pPr>
            <w:r>
              <w:rPr>
                <w:rFonts w:ascii="Calibri" w:hAnsi="Calibri"/>
                <w:sz w:val="20"/>
              </w:rPr>
              <w:t xml:space="preserve">−1,9</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Menos tenencias intra-públicas (diferencia de signo cambiado)</w:t>
            </w:r>
          </w:p>
        </w:tc>
        <w:tc>
          <w:tcPr/>
          <w:p>
            <w:pPr>
              <w:pStyle w:val="Compact"/>
            </w:pPr>
            <w:r>
              <w:rPr>
                <w:rFonts w:ascii="Calibri" w:hAnsi="Calibri"/>
                <w:sz w:val="20"/>
              </w:rPr>
              <w:t xml:space="preserve">+13,9</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−3,8</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Menos depósitos del Tesoro</w:t>
            </w:r>
          </w:p>
        </w:tc>
        <w:tc>
          <w:tcPr/>
          <w:p>
            <w:pPr>
              <w:pStyle w:val="Compact"/>
            </w:pPr>
            <w:r>
              <w:rPr>
                <w:rFonts w:ascii="Calibri" w:hAnsi="Calibri"/>
                <w:sz w:val="20"/>
              </w:rPr>
              <w:t xml:space="preserve">0,0</w:t>
            </w:r>
          </w:p>
        </w:tc>
        <w:tc>
          <w:tcPr/>
          <w:p>
            <w:pPr>
              <w:pStyle w:val="Compact"/>
            </w:pPr>
            <w:r>
              <w:rPr>
                <w:rFonts w:ascii="Calibri" w:hAnsi="Calibri"/>
                <w:sz w:val="20"/>
              </w:rPr>
              <w:t xml:space="preserve">0,0</w:t>
            </w:r>
          </w:p>
        </w:tc>
      </w:tr>
      <w:tr>
        <w:tc>
          <w:tcPr/>
          <w:p>
            <w:pPr>
              <w:pStyle w:val="Compact"/>
            </w:pPr>
            <w:r>
              <w:rPr>
                <w:rFonts w:ascii="Calibri" w:hAnsi="Calibri"/>
                <w:b/>
                <w:bCs/>
                <w:sz w:val="20"/>
              </w:rPr>
              <w:t xml:space="preserve">Diferencia en la deuda neta</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+9,6</w:t>
            </w:r>
          </w:p>
        </w:tc>
      </w:tr>
    </w:tbl>
    <w:p>
      <w:pPr>
        <w:pStyle w:val="BodyText"/>
      </w:pPr>
      <w:r>
        <w:t xml:space="preserve">Las filas de 2024 no suman exactamente por redondeo. El exceso de nuestra deuda neta sobre la del FMI proviene del neteo incompleto de las tenencias intra-públicas, que compensa con creces la bruta menor y los pasivos menores.</w:t>
      </w:r>
    </w:p>
    <w:bookmarkEnd w:id="83"/>
    <w:bookmarkStart w:id="84" w:name="resultado-primario-y-otras-comparaciones"/>
    <w:p>
      <w:pPr>
        <w:pStyle w:val="Heading3"/>
      </w:pPr>
      <w:r>
        <w:t xml:space="preserve">5.8.3 Resultado primario y otras comparaciones</w:t>
      </w:r>
    </w:p>
    <w:p>
      <w:pPr>
        <w:pStyle w:val="FirstParagraph"/>
      </w:pPr>
      <w:r>
        <w:t xml:space="preserve">El FMI (2025, Table 3b) informa el resultado primario del gobierno federal sin las transferencias de utilidades del BCRA (0,9 % del PIB en 2023 y 0,0 % en 2024, nota 9). La comparación usa la medida anual comparable</w:t>
      </w:r>
      <w:r>
        <w:t xml:space="preserve"> </w:t>
      </w:r>
      <w:r>
        <w:rPr>
          <w:rStyle w:val="VerbatimChar"/>
        </w:rPr>
        <w:t xml:space="preserve">pb_pib</w:t>
      </w:r>
      <w:r>
        <w:t xml:space="preserve"> </w:t>
      </w:r>
      <w:r>
        <w:t xml:space="preserve">(suma de cuatro trimestres sobre PIB de cuatro trimestres, cierre de diciembre), no la</w:t>
      </w:r>
      <w:r>
        <w:t xml:space="preserve"> </w:t>
      </w:r>
      <w:r>
        <w:rPr>
          <w:rStyle w:val="VerbatimChar"/>
        </w:rPr>
        <w:t xml:space="preserve">pb_pib_trim</w:t>
      </w:r>
      <w:r>
        <w:t xml:space="preserve"> </w:t>
      </w:r>
      <w:r>
        <w:t xml:space="preserve">que entra al modelo.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Resultado primario (% PIB)</w:t>
            </w:r>
          </w:p>
        </w:tc>
        <w:tc>
          <w:tcPr/>
          <w:p>
            <w:pPr>
              <w:pStyle w:val="Compact"/>
            </w:pPr>
            <w:r>
              <w:rPr>
                <w:rFonts w:ascii="Calibri" w:hAnsi="Calibri"/>
                <w:sz w:val="20"/>
              </w:rPr>
              <w:t xml:space="preserve">2023</w:t>
            </w:r>
          </w:p>
        </w:tc>
        <w:tc>
          <w:tcPr/>
          <w:p>
            <w:pPr>
              <w:pStyle w:val="Compact"/>
            </w:pPr>
            <w:r>
              <w:rPr>
                <w:rFonts w:ascii="Calibri" w:hAnsi="Calibri"/>
                <w:sz w:val="20"/>
              </w:rPr>
              <w:t xml:space="preserve">2024</w:t>
            </w:r>
          </w:p>
        </w:tc>
      </w:tr>
      <w:tr>
        <w:tc>
          <w:tcPr/>
          <w:p>
            <w:pPr>
              <w:pStyle w:val="Compact"/>
            </w:pPr>
            <w:r>
              <w:rPr>
                <w:rFonts w:ascii="Calibri" w:hAnsi="Calibri"/>
                <w:sz w:val="20"/>
              </w:rPr>
              <w:t xml:space="preserve">Propio, con rentas (serie principal)</w:t>
            </w:r>
          </w:p>
        </w:tc>
        <w:tc>
          <w:tcPr/>
          <w:p>
            <w:pPr>
              <w:pStyle w:val="Compact"/>
            </w:pPr>
            <w:r>
              <w:rPr>
                <w:rFonts w:ascii="Calibri" w:hAnsi="Calibri"/>
                <w:sz w:val="20"/>
              </w:rPr>
              <w:t xml:space="preserve">−2,66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Propio, sin rentas (cota conservadora)</w:t>
            </w:r>
          </w:p>
        </w:tc>
        <w:tc>
          <w:tcPr/>
          <w:p>
            <w:pPr>
              <w:pStyle w:val="Compact"/>
            </w:pPr>
            <w:r>
              <w:rPr>
                <w:rFonts w:ascii="Calibri" w:hAnsi="Calibri"/>
                <w:sz w:val="20"/>
              </w:rPr>
              <w:t xml:space="preserve">−3,67</w:t>
            </w:r>
          </w:p>
        </w:tc>
        <w:tc>
          <w:tcPr/>
          <w:p>
            <w:pPr>
              <w:pStyle w:val="Compact"/>
            </w:pPr>
            <w:r>
              <w:rPr>
                <w:rFonts w:ascii="Calibri" w:hAnsi="Calibri"/>
                <w:sz w:val="20"/>
              </w:rPr>
              <w:t xml:space="preserve">1,01</w:t>
            </w:r>
          </w:p>
        </w:tc>
      </w:tr>
      <w:tr>
        <w:tc>
          <w:tcPr/>
          <w:p>
            <w:pPr>
              <w:pStyle w:val="Compact"/>
            </w:pPr>
            <w:r>
              <w:rPr>
                <w:rFonts w:ascii="Calibri" w:hAnsi="Calibri"/>
                <w:sz w:val="20"/>
              </w:rPr>
              <w:t xml:space="preserve">Propio con rentas menos transferencia BCRA del FMI</w:t>
            </w:r>
          </w:p>
        </w:tc>
        <w:tc>
          <w:tcPr/>
          <w:p>
            <w:pPr>
              <w:pStyle w:val="Compact"/>
            </w:pPr>
            <w:r>
              <w:rPr>
                <w:rFonts w:ascii="Calibri" w:hAnsi="Calibri"/>
                <w:sz w:val="20"/>
              </w:rPr>
              <w:t xml:space="preserve">−3,56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Serie anterior (tabla escrita a mano)</w:t>
            </w:r>
          </w:p>
        </w:tc>
        <w:tc>
          <w:tcPr/>
          <w:p>
            <w:pPr>
              <w:pStyle w:val="Compact"/>
            </w:pPr>
            <w:r>
              <w:rPr>
                <w:rFonts w:ascii="Calibri" w:hAnsi="Calibri"/>
                <w:sz w:val="20"/>
              </w:rPr>
              <w:t xml:space="preserve">−2,90</w:t>
            </w:r>
          </w:p>
        </w:tc>
        <w:tc>
          <w:tcPr/>
          <w:p>
            <w:pPr>
              <w:pStyle w:val="Compact"/>
            </w:pPr>
            <w:r>
              <w:rPr>
                <w:rFonts w:ascii="Calibri" w:hAnsi="Calibri"/>
                <w:sz w:val="20"/>
              </w:rPr>
              <w:t xml:space="preserve">1,40</w:t>
            </w:r>
          </w:p>
        </w:tc>
      </w:tr>
      <w:tr>
        <w:tc>
          <w:tcPr/>
          <w:p>
            <w:pPr>
              <w:pStyle w:val="Compact"/>
            </w:pPr>
            <w:r>
              <w:rPr>
                <w:rFonts w:ascii="Calibri" w:hAnsi="Calibri"/>
                <w:sz w:val="20"/>
              </w:rPr>
              <w:t xml:space="preserve">FMI (2025), gobierno federal sin transferencias del BCRA</w:t>
            </w:r>
          </w:p>
        </w:tc>
        <w:tc>
          <w:tcPr/>
          <w:p>
            <w:pPr>
              <w:pStyle w:val="Compact"/>
            </w:pPr>
            <w:r>
              <w:rPr>
                <w:rFonts w:ascii="Calibri" w:hAnsi="Calibri"/>
                <w:sz w:val="20"/>
              </w:rPr>
              <w:t xml:space="preserve">−2,8</w:t>
            </w:r>
          </w:p>
        </w:tc>
        <w:tc>
          <w:tcPr/>
          <w:p>
            <w:pPr>
              <w:pStyle w:val="Compact"/>
            </w:pPr>
            <w:r>
              <w:rPr>
                <w:rFonts w:ascii="Calibri" w:hAnsi="Calibri"/>
                <w:sz w:val="20"/>
              </w:rPr>
              <w:t xml:space="preserve">1,8</w:t>
            </w:r>
          </w:p>
        </w:tc>
      </w:tr>
    </w:tbl>
    <w:p>
      <w:pPr>
        <w:pStyle w:val="BodyText"/>
      </w:pPr>
      <w:r>
        <w:t xml:space="preserve">Fuente:</w:t>
      </w:r>
      <w:r>
        <w:t xml:space="preserve"> </w:t>
      </w:r>
      <w:r>
        <w:rPr>
          <w:rStyle w:val="VerbatimChar"/>
        </w:rPr>
        <w:t xml:space="preserve">datos/procesados/resultado_primario_1996_2025_control.csv</w:t>
      </w:r>
      <w:r>
        <w:t xml:space="preserve">. La serie propia con rentas queda a 0,14 puntos del FMI en 2023 y a 0,02 en 2024, y los signos coinciden. Esa cercanía debe leerse con cuidado: el agregado propio es el sector público nacional con todas las rentas, y el del FMI es el gobierno federal sin las transferencias del BCRA, de modo que parte de la coincidencia puede ser casual. En 2023, descontando la transferencia del BCRA que informa el FMI, la serie propia daría −3,56, a 0,76 puntos de la cifra del FMI. La serie propia ya no es una tabla escrita a mano, pero el control contra el FMI sigue siendo de orden de magnitud por el cambio de perímetro y por los quiebres de metodología de 2006/2007 y 2014/2015 (sección 5.4).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Propio</w:t>
            </w:r>
          </w:p>
        </w:tc>
        <w:tc>
          <w:tcPr/>
          <w:p>
            <w:pPr>
              <w:pStyle w:val="Compact"/>
            </w:pPr>
            <w:r>
              <w:rPr>
                <w:rFonts w:ascii="Calibri" w:hAnsi="Calibri"/>
                <w:sz w:val="20"/>
              </w:rPr>
              <w:t xml:space="preserve">Contraste</w:t>
            </w:r>
          </w:p>
        </w:tc>
        <w:tc>
          <w:tcPr/>
          <w:p>
            <w:pPr>
              <w:pStyle w:val="Compact"/>
            </w:pPr>
            <w:r>
              <w:rPr>
                <w:rFonts w:ascii="Calibri" w:hAnsi="Calibri"/>
                <w:sz w:val="20"/>
              </w:rPr>
              <w:t xml:space="preserve">Fuente del contraste</w:t>
            </w:r>
          </w:p>
        </w:tc>
      </w:tr>
      <w:tr>
        <w:tc>
          <w:tcPr/>
          <w:p>
            <w:pPr>
              <w:pStyle w:val="Compact"/>
            </w:pPr>
            <w:r>
              <w:rPr>
                <w:rFonts w:ascii="Calibri" w:hAnsi="Calibri"/>
                <w:sz w:val="20"/>
              </w:rPr>
              <w:t xml:space="preserve">Crecimiento real del PIB 2023 (media anual del índice)</w:t>
            </w:r>
          </w:p>
        </w:tc>
        <w:tc>
          <w:tcPr/>
          <w:p>
            <w:pPr>
              <w:pStyle w:val="Compact"/>
            </w:pPr>
            <w:r>
              <w:rPr>
                <w:rFonts w:ascii="Calibri" w:hAnsi="Calibri"/>
                <w:sz w:val="20"/>
              </w:rPr>
              <w:t xml:space="preserve">−1,9 %</w:t>
            </w:r>
          </w:p>
        </w:tc>
        <w:tc>
          <w:tcPr/>
          <w:p>
            <w:pPr>
              <w:pStyle w:val="Compact"/>
            </w:pPr>
            <w:r>
              <w:rPr>
                <w:rFonts w:ascii="Calibri" w:hAnsi="Calibri"/>
                <w:sz w:val="20"/>
              </w:rPr>
              <w:t xml:space="preserve">−1,6 %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Crecimiento real del PIB 2024</w:t>
            </w:r>
          </w:p>
        </w:tc>
        <w:tc>
          <w:tcPr/>
          <w:p>
            <w:pPr>
              <w:pStyle w:val="Compact"/>
            </w:pPr>
            <w:r>
              <w:rPr>
                <w:rFonts w:ascii="Calibri" w:hAnsi="Calibri"/>
                <w:sz w:val="20"/>
              </w:rPr>
              <w:t xml:space="preserve">−1,4 %</w:t>
            </w:r>
          </w:p>
        </w:tc>
        <w:tc>
          <w:tcPr/>
          <w:p>
            <w:pPr>
              <w:pStyle w:val="Compact"/>
            </w:pPr>
            <w:r>
              <w:rPr>
                <w:rFonts w:ascii="Calibri" w:hAnsi="Calibri"/>
                <w:sz w:val="20"/>
              </w:rPr>
              <w:t xml:space="preserve">−1,7 %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Cociente USD/ARS al 31/12/2023</w:t>
            </w:r>
          </w:p>
        </w:tc>
        <w:tc>
          <w:tcPr/>
          <w:p>
            <w:pPr>
              <w:pStyle w:val="Compact"/>
            </w:pPr>
            <w:r>
              <w:rPr>
                <w:rFonts w:ascii="Calibri" w:hAnsi="Calibri"/>
                <w:sz w:val="20"/>
              </w:rPr>
              <w:t xml:space="preserve">808,45</w:t>
            </w:r>
          </w:p>
        </w:tc>
        <w:tc>
          <w:tcPr/>
          <w:p>
            <w:pPr>
              <w:pStyle w:val="Compact"/>
            </w:pPr>
            <w:r>
              <w:rPr>
                <w:rFonts w:ascii="Calibri" w:hAnsi="Calibri"/>
                <w:sz w:val="20"/>
              </w:rPr>
              <w:t xml:space="preserve">808,45</w:t>
            </w:r>
          </w:p>
        </w:tc>
        <w:tc>
          <w:tcPr/>
          <w:p>
            <w:pPr>
              <w:pStyle w:val="Compact"/>
            </w:pPr>
            <w:r>
              <w:rPr>
                <w:rFonts w:ascii="Calibri" w:hAnsi="Calibri"/>
                <w:sz w:val="20"/>
              </w:rPr>
              <w:t xml:space="preserve">MECON, hoja A.1.1 (informe 2023)</w:t>
            </w:r>
          </w:p>
        </w:tc>
      </w:tr>
      <w:tr>
        <w:tc>
          <w:tcPr/>
          <w:p>
            <w:pPr>
              <w:pStyle w:val="Compact"/>
            </w:pPr>
            <w:r>
              <w:rPr>
                <w:rFonts w:ascii="Calibri" w:hAnsi="Calibri"/>
                <w:sz w:val="20"/>
              </w:rPr>
              <w:t xml:space="preserve">Pasivos del BCRA 2023, con PIB anualizado del cuarto trimestre</w:t>
            </w:r>
          </w:p>
        </w:tc>
        <w:tc>
          <w:tcPr/>
          <w:p>
            <w:pPr>
              <w:pStyle w:val="Compact"/>
            </w:pPr>
            <w:r>
              <w:rPr>
                <w:rFonts w:ascii="Calibri" w:hAnsi="Calibri"/>
                <w:sz w:val="20"/>
              </w:rPr>
              <w:t xml:space="preserve">9,05 %</w:t>
            </w:r>
          </w:p>
        </w:tc>
        <w:tc>
          <w:tcPr/>
          <w:p>
            <w:pPr>
              <w:pStyle w:val="Compact"/>
            </w:pPr>
            <w:r>
              <w:rPr>
                <w:rFonts w:ascii="Calibri" w:hAnsi="Calibri"/>
                <w:sz w:val="20"/>
              </w:rPr>
              <w:t xml:space="preserve">13,3 % con el denominador adoptado</w:t>
            </w:r>
          </w:p>
        </w:tc>
        <w:tc>
          <w:tcPr/>
          <w:p>
            <w:pPr>
              <w:pStyle w:val="Compact"/>
            </w:pPr>
            <w:r>
              <w:rPr>
                <w:rStyle w:val="VerbatimChar"/>
                <w:rFonts w:ascii="Calibri" w:hAnsi="Calibri"/>
                <w:sz w:val="20"/>
              </w:rPr>
              <w:t xml:space="preserve">deuda_consolidada_1996_2025_control_fmi.csv</w:t>
            </w:r>
          </w:p>
        </w:tc>
      </w:tr>
    </w:tbl>
    <w:p>
      <w:pPr>
        <w:pStyle w:val="BodyText"/>
      </w:pPr>
      <w:r>
        <w:t xml:space="preserve">Las diferencias de crecimiento (0,3 puntos) son compatibles con revisiones de INDEC posteriores al informe del FMI. Ambos años pertenecen al tramo con base 2004 directa, de modo que el empalme de 1996-2003 no interviene.</w:t>
      </w:r>
    </w:p>
    <w:bookmarkEnd w:id="84"/>
    <w:bookmarkStart w:id="85" w:name="X33a369f85777ae1b8f66c2d89b242fbe0bb8662"/>
    <w:p>
      <w:pPr>
        <w:pStyle w:val="Heading3"/>
      </w:pPr>
      <w:r>
        <w:t xml:space="preserve">5.8.4 Control del T_BCRA contra el stock nominal del MECON</w:t>
      </w:r>
    </w:p>
    <w:p>
      <w:pPr>
        <w:pStyle w:val="FirstParagraph"/>
      </w:pPr>
      <w:r>
        <w:t xml:space="preserve">El Informe de Deuda del MECON publica, en la hoja A.1.9, el valor nominal de las Letras adquiridas por el BCRA (en miles de dólares). Es el insumo de la serie nominal de 5.3.4.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31/12/2023</w:t>
            </w:r>
          </w:p>
        </w:tc>
        <w:tc>
          <w:tcPr/>
          <w:p>
            <w:pPr>
              <w:pStyle w:val="Compact"/>
            </w:pPr>
            <w:r>
              <w:rPr>
                <w:rFonts w:ascii="Calibri" w:hAnsi="Calibri"/>
                <w:sz w:val="20"/>
              </w:rPr>
              <w:t xml:space="preserve">31/12/2024</w:t>
            </w:r>
          </w:p>
        </w:tc>
      </w:tr>
      <w:tr>
        <w:tc>
          <w:tcPr/>
          <w:p>
            <w:pPr>
              <w:pStyle w:val="Compact"/>
            </w:pPr>
            <w:r>
              <w:rPr>
                <w:rFonts w:ascii="Calibri" w:hAnsi="Calibri"/>
                <w:sz w:val="20"/>
              </w:rPr>
              <w:t xml:space="preserve">Letras Intransferibles, nominal MECON (miles de millones de USD)</w:t>
            </w:r>
          </w:p>
        </w:tc>
        <w:tc>
          <w:tcPr/>
          <w:p>
            <w:pPr>
              <w:pStyle w:val="Compact"/>
            </w:pPr>
            <w:r>
              <w:rPr>
                <w:rFonts w:ascii="Calibri" w:hAnsi="Calibri"/>
                <w:sz w:val="20"/>
              </w:rPr>
              <w:t xml:space="preserve">67,2</w:t>
            </w:r>
          </w:p>
        </w:tc>
        <w:tc>
          <w:tcPr/>
          <w:p>
            <w:pPr>
              <w:pStyle w:val="Compact"/>
            </w:pPr>
            <w:r>
              <w:rPr>
                <w:rFonts w:ascii="Calibri" w:hAnsi="Calibri"/>
                <w:sz w:val="20"/>
              </w:rPr>
              <w:t xml:space="preserve">69,3</w:t>
            </w:r>
          </w:p>
        </w:tc>
      </w:tr>
      <w:tr>
        <w:tc>
          <w:tcPr/>
          <w:p>
            <w:pPr>
              <w:pStyle w:val="Compact"/>
            </w:pPr>
            <w:r>
              <w:rPr>
                <w:rFonts w:ascii="Calibri" w:hAnsi="Calibri"/>
                <w:sz w:val="20"/>
              </w:rPr>
              <w:t xml:space="preserve">Tenencia del BCRA en moneda extranjera, valor contable (miles de millones de USD)</w:t>
            </w:r>
          </w:p>
        </w:tc>
        <w:tc>
          <w:tcPr/>
          <w:p>
            <w:pPr>
              <w:pStyle w:val="Compact"/>
            </w:pPr>
            <w:r>
              <w:rPr>
                <w:rFonts w:ascii="Calibri" w:hAnsi="Calibri"/>
                <w:sz w:val="20"/>
              </w:rPr>
              <w:t xml:space="preserve">89,2</w:t>
            </w:r>
          </w:p>
        </w:tc>
        <w:tc>
          <w:tcPr/>
          <w:p>
            <w:pPr>
              <w:pStyle w:val="Compact"/>
            </w:pPr>
            <w:r>
              <w:rPr>
                <w:rFonts w:ascii="Calibri" w:hAnsi="Calibri"/>
                <w:sz w:val="20"/>
              </w:rPr>
              <w:t xml:space="preserve">28,6</w:t>
            </w:r>
          </w:p>
        </w:tc>
      </w:tr>
      <w:tr>
        <w:tc>
          <w:tcPr/>
          <w:p>
            <w:pPr>
              <w:pStyle w:val="Compact"/>
            </w:pPr>
            <w:r>
              <w:rPr>
                <w:rFonts w:ascii="Calibri" w:hAnsi="Calibri"/>
                <w:sz w:val="20"/>
              </w:rPr>
              <w:t xml:space="preserve">Tenencia del BCRA, % del PIB: valor de libros</w:t>
            </w:r>
          </w:p>
        </w:tc>
        <w:tc>
          <w:tcPr/>
          <w:p>
            <w:pPr>
              <w:pStyle w:val="Compact"/>
            </w:pPr>
            <w:r>
              <w:rPr>
                <w:rFonts w:ascii="Calibri" w:hAnsi="Calibri"/>
                <w:sz w:val="20"/>
              </w:rPr>
              <w:t xml:space="preserve">48,6</w:t>
            </w:r>
          </w:p>
        </w:tc>
        <w:tc>
          <w:tcPr/>
          <w:p>
            <w:pPr>
              <w:pStyle w:val="Compact"/>
            </w:pPr>
            <w:r>
              <w:rPr>
                <w:rFonts w:ascii="Calibri" w:hAnsi="Calibri"/>
                <w:sz w:val="20"/>
              </w:rPr>
              <w:t xml:space="preserve">13,2</w:t>
            </w:r>
          </w:p>
        </w:tc>
      </w:tr>
      <w:tr>
        <w:tc>
          <w:tcPr/>
          <w:p>
            <w:pPr>
              <w:pStyle w:val="Compact"/>
            </w:pPr>
            <w:r>
              <w:rPr>
                <w:rFonts w:ascii="Calibri" w:hAnsi="Calibri"/>
                <w:sz w:val="20"/>
              </w:rPr>
              <w:t xml:space="preserve">Tenencia del BCRA, % del PIB: nominal piso</w:t>
            </w:r>
          </w:p>
        </w:tc>
        <w:tc>
          <w:tcPr/>
          <w:p>
            <w:pPr>
              <w:pStyle w:val="Compact"/>
            </w:pPr>
            <w:r>
              <w:rPr>
                <w:rFonts w:ascii="Calibri" w:hAnsi="Calibri"/>
                <w:sz w:val="20"/>
              </w:rPr>
              <w:t xml:space="preserve">48,6</w:t>
            </w:r>
          </w:p>
        </w:tc>
        <w:tc>
          <w:tcPr/>
          <w:p>
            <w:pPr>
              <w:pStyle w:val="Compact"/>
            </w:pPr>
            <w:r>
              <w:rPr>
                <w:rFonts w:ascii="Calibri" w:hAnsi="Calibri"/>
                <w:sz w:val="20"/>
              </w:rPr>
              <w:t xml:space="preserve">20,4</w:t>
            </w:r>
          </w:p>
        </w:tc>
      </w:tr>
    </w:tbl>
    <w:p>
      <w:pPr>
        <w:pStyle w:val="BodyText"/>
      </w:pPr>
      <w:r>
        <w:t xml:space="preserve">En 2023 la columna contable de moneda extranjera incluye otros créditos en dólares, por lo que supera al nominal de las Letras, y el piso conserva el valor de libros. Es la razón de que la variante estricta empeore 2023 (128,2). En 2024 el nominal de las Letras supera en 40,7 mil millones de USD a toda la tenencia en moneda extranjera que registra el Balance, y la tenencia sube 7,2 puntos del PIB. Eso confirma que el valor contable subestima la tenencia en 2024.</w:t>
      </w:r>
    </w:p>
    <w:bookmarkEnd w:id="85"/>
    <w:bookmarkEnd w:id="86"/>
    <w:bookmarkStart w:id="91" w:name="X53893ea74fc765be5bc0650fe40c4402adf70cb"/>
    <w:p>
      <w:pPr>
        <w:pStyle w:val="Heading2"/>
      </w:pPr>
      <w:r>
        <w:t xml:space="preserve">5.9 La diferencia con el FGS-ANSES y otras limitaciones de la deuda neta</w:t>
      </w:r>
    </w:p>
    <w:bookmarkStart w:id="87" w:name="dos-conceptos-distintos"/>
    <w:p>
      <w:pPr>
        <w:pStyle w:val="Heading3"/>
      </w:pPr>
      <w:r>
        <w:t xml:space="preserve">5.9.1 Dos conceptos distintos</w:t>
      </w:r>
    </w:p>
    <w:p>
      <w:pPr>
        <w:pStyle w:val="FirstParagraph"/>
      </w:pPr>
      <w:r>
        <w:t xml:space="preserve">La consolidación con el banco central (FMI, 2021) y la exclusión de las tenencias intra-públicas son operaciones distintas.</w:t>
      </w:r>
    </w:p>
    <w:p>
      <w:pPr>
        <w:pStyle w:val="Compact"/>
        <w:numPr>
          <w:ilvl w:val="0"/>
          <w:numId w:val="1014"/>
        </w:numPr>
      </w:pPr>
      <w:r>
        <w:rPr>
          <w:b/>
          <w:bCs/>
        </w:rPr>
        <w:t xml:space="preserve">Consolidación con el banco central.</w:t>
      </w:r>
      <w:r>
        <w:t xml:space="preserve"> </w:t>
      </w:r>
      <w:r>
        <w:t xml:space="preserve">Se netean los créditos del BCRA contra el Tesoro y se suman los pasivos de deuda del BCRA. Cambia el perímetro hacia el sector público ampliado con el banco central. Es lo que implementa la serie de esta tesis.</w:t>
      </w:r>
    </w:p>
    <w:p>
      <w:pPr>
        <w:pStyle w:val="Compact"/>
        <w:numPr>
          <w:ilvl w:val="0"/>
          <w:numId w:val="1014"/>
        </w:numPr>
      </w:pPr>
      <w:r>
        <w:rPr>
          <w:b/>
          <w:bCs/>
        </w:rPr>
        <w:t xml:space="preserve">Exclusión de tenencias intra-públicas.</w:t>
      </w:r>
      <w:r>
        <w:t xml:space="preserve"> </w:t>
      </w:r>
      <w:r>
        <w:t xml:space="preserve">Se resta de la deuda del Tesoro la parte cuyo acreedor es otra entidad pública (el FGS-ANSES, organismos de la seguridad social, bancos públicos). El FMI (2025, Annex II, Table 2) lo aplica en la línea 3,</w:t>
      </w:r>
      <w:r>
        <w:t xml:space="preserve"> </w:t>
      </w:r>
      <w:r>
        <w:t xml:space="preserve">“Deuda del Tesoro intra-sector público (BCRA y FGS)”</w:t>
      </w:r>
      <w:r>
        <w:t xml:space="preserve">.</w:t>
      </w:r>
    </w:p>
    <w:p>
      <w:pPr>
        <w:pStyle w:val="FirstParagraph"/>
      </w:pPr>
      <w:r>
        <w:t xml:space="preserve">Nuestra serie netea el BCRA, ahora a valor nominal, pero</w:t>
      </w:r>
      <w:r>
        <w:t xml:space="preserve"> </w:t>
      </w:r>
      <w:r>
        <w:rPr>
          <w:b/>
          <w:bCs/>
        </w:rPr>
        <w:t xml:space="preserve">no netea las tenencias del FGS-ANSES ni las de otros tenedores públicos</w:t>
      </w:r>
      <w:r>
        <w:t xml:space="preserve">. No se trata de una omisión por criterio, sino de falta de datos.</w:t>
      </w:r>
    </w:p>
    <w:bookmarkEnd w:id="87"/>
    <w:bookmarkStart w:id="88" w:name="por-qué-no-se-pudo-incluir"/>
    <w:p>
      <w:pPr>
        <w:pStyle w:val="Heading3"/>
      </w:pPr>
      <w:r>
        <w:t xml:space="preserve">5.9.2 Por qué no se pudo incluir</w:t>
      </w:r>
    </w:p>
    <w:p>
      <w:pPr>
        <w:pStyle w:val="FirstParagraph"/>
      </w:pPr>
      <w:r>
        <w:t xml:space="preserve">La serie de tenencias del FGS se publica en el Informe Estadístico Mensual y en los Anuarios del FGS de ANSES. El sitio de ANSES bloquea las descargas automatizadas con una protección anti-bot (HTTP 403). Los archivos guardados como</w:t>
      </w:r>
      <w:r>
        <w:t xml:space="preserve"> </w:t>
      </w:r>
      <w:r>
        <w:rPr>
          <w:rStyle w:val="VerbatimChar"/>
        </w:rPr>
        <w:t xml:space="preserve">datos/crudos/deuda_consolidada_neta/fgs_anuario2024.pdf</w:t>
      </w:r>
      <w:r>
        <w:t xml:space="preserve"> </w:t>
      </w:r>
      <w:r>
        <w:t xml:space="preserve">y</w:t>
      </w:r>
      <w:r>
        <w:t xml:space="preserve"> </w:t>
      </w:r>
      <w:r>
        <w:rPr>
          <w:rStyle w:val="VerbatimChar"/>
        </w:rPr>
        <w:t xml:space="preserve">p.html</w:t>
      </w:r>
      <w:r>
        <w:t xml:space="preserve"> </w:t>
      </w:r>
      <w:r>
        <w:t xml:space="preserve">son páginas HTML de bloqueo de 880 bytes, no el documento. Ninguna cifra del FGS está en los CSV (</w:t>
      </w:r>
      <w:r>
        <w:rPr>
          <w:rStyle w:val="VerbatimChar"/>
        </w:rPr>
        <w:t xml:space="preserve">tenencia_fgs_tesoro_pib</w:t>
      </w:r>
      <w:r>
        <w:t xml:space="preserve"> </w:t>
      </w:r>
      <w:r>
        <w:t xml:space="preserve">es vacía en las 120 filas,</w:t>
      </w:r>
      <w:r>
        <w:t xml:space="preserve"> </w:t>
      </w:r>
      <w:r>
        <w:rPr>
          <w:rStyle w:val="VerbatimChar"/>
        </w:rPr>
        <w:t xml:space="preserve">flag_fgs_faltante = 1</w:t>
      </w:r>
      <w:r>
        <w:t xml:space="preserve">). El MECON no ofrece una apertura trimestral por tenedor sectorial (la hoja A.4.5 clasifica por residencia), y el FMI da las tenencias solo para 2023-2026. Aproximar con una cifra no verificada violaría la regla de no fabricar datos.</w:t>
      </w:r>
    </w:p>
    <w:bookmarkEnd w:id="88"/>
    <w:bookmarkStart w:id="89" w:name="magnitud-y-dirección-del-sesgo"/>
    <w:p>
      <w:pPr>
        <w:pStyle w:val="Heading3"/>
      </w:pPr>
      <w:r>
        <w:t xml:space="preserve">5.9.3 Magnitud y dirección del sesgo</w:t>
      </w:r>
    </w:p>
    <w:p>
      <w:pPr>
        <w:pStyle w:val="Compact"/>
        <w:numPr>
          <w:ilvl w:val="0"/>
          <w:numId w:val="1015"/>
        </w:numPr>
      </w:pPr>
      <w:r>
        <w:rPr>
          <w:b/>
          <w:bCs/>
        </w:rPr>
        <w:t xml:space="preserve">Brecha 2023 y 2024.</w:t>
      </w:r>
      <w:r>
        <w:t xml:space="preserve"> </w:t>
      </w:r>
      <w:r>
        <w:t xml:space="preserve">El FMI resta 62,5 puntos del PIB en 2023 y 33,9 en 2024 por tenencias del BCRA y del FGS. Nosotros restamos 48,6 y 20,4 (solo BCRA, nominal). La diferencia es 13,9 y 13,5 puntos, y se traslada a la deuda neta: nuestra serie está por encima de la del FMI en 8,2 y 9,6 puntos (tabla 5.8.2), una vez compensadas las diferencias menores de bruta y pasivos.</w:t>
      </w:r>
    </w:p>
    <w:p>
      <w:pPr>
        <w:pStyle w:val="Compact"/>
        <w:numPr>
          <w:ilvl w:val="0"/>
          <w:numId w:val="1015"/>
        </w:numPr>
      </w:pPr>
      <w:r>
        <w:rPr>
          <w:b/>
          <w:bCs/>
        </w:rPr>
        <w:t xml:space="preserve">Qué parte es valuación.</w:t>
      </w:r>
      <w:r>
        <w:t xml:space="preserve"> </w:t>
      </w:r>
      <w:r>
        <w:t xml:space="preserve">Con la tenencia del BCRA a valor nominal, la valuación deja de ser una fuente de brecha en 2024: la brecha de la neta pasa de 16,8 a 9,6 puntos. Lo que resta (13,9 puntos en 2023 y 13,5 en 2024 en la línea 3) es un residuo que incluye al FGS, a otros tenedores públicos y a diferencias de cobertura.</w:t>
      </w:r>
      <w:r>
        <w:t xml:space="preserve"> </w:t>
      </w:r>
      <w:r>
        <w:rPr>
          <w:b/>
          <w:bCs/>
        </w:rPr>
        <w:t xml:space="preserve">No se puede asignar entre ellos con los datos disponibles.</w:t>
      </w:r>
      <w:r>
        <w:t xml:space="preserve"> </w:t>
      </w:r>
      <w:r>
        <w:t xml:space="preserve">La estabilidad de ese residuo entre 2023 y 2024 (13,9 y 13,5) es compatible con un componente de nivel relativamente constante, aunque con dos observaciones no es una prueba.</w:t>
      </w:r>
    </w:p>
    <w:p>
      <w:pPr>
        <w:pStyle w:val="Compact"/>
        <w:numPr>
          <w:ilvl w:val="0"/>
          <w:numId w:val="1015"/>
        </w:numPr>
      </w:pPr>
      <w:r>
        <w:rPr>
          <w:b/>
          <w:bCs/>
        </w:rPr>
        <w:t xml:space="preserve">Desde cuándo.</w:t>
      </w:r>
      <w:r>
        <w:t xml:space="preserve"> </w:t>
      </w:r>
      <w:r>
        <w:t xml:space="preserve">El FGS se crea por el Decreto 897/2007, dictado el 12 de julio de 2007 y publicado el 13 de julio de 2007 en el Boletín Oficial (Poder Ejecutivo Nacional, 2007, según la base normativa de la AFIP). Su importancia creció tras la incorporación de los fondos de las AFJP en 2008 (Decreto 2103/2008). Por eso,</w:t>
      </w:r>
      <w:r>
        <w:t xml:space="preserve"> </w:t>
      </w:r>
      <w:r>
        <w:rPr>
          <w:b/>
          <w:bCs/>
        </w:rPr>
        <w:t xml:space="preserve">desde 2007T3 nuestra serie neta es una cota superior de la neta del FMI</w:t>
      </w:r>
      <w:r>
        <w:t xml:space="preserve">. Antes de esa fecha el FGS no existe como tenedor, y los 46 trimestres de 1996T1 a 2007T2 tienen todos los componentes (bandera</w:t>
      </w:r>
      <w:r>
        <w:t xml:space="preserve"> </w:t>
      </w:r>
      <w:r>
        <w:rPr>
          <w:rStyle w:val="VerbatimChar"/>
        </w:rPr>
        <w:t xml:space="preserve">comparable_fmi = 1</w:t>
      </w:r>
      <w:r>
        <w:t xml:space="preserve">). Para ese tramo no hay cifra del FMI con la que contrastar.</w:t>
      </w:r>
    </w:p>
    <w:p>
      <w:pPr>
        <w:pStyle w:val="Compact"/>
        <w:numPr>
          <w:ilvl w:val="0"/>
          <w:numId w:val="1015"/>
        </w:numPr>
      </w:pPr>
      <w:r>
        <w:rPr>
          <w:b/>
          <w:bCs/>
        </w:rPr>
        <w:t xml:space="preserve">Otras fuentes de brecha y su signo.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Fuente</w:t>
            </w:r>
          </w:p>
        </w:tc>
        <w:tc>
          <w:tcPr/>
          <w:p>
            <w:pPr>
              <w:pStyle w:val="Compact"/>
            </w:pPr>
            <w:r>
              <w:rPr>
                <w:rFonts w:ascii="Calibri" w:hAnsi="Calibri"/>
                <w:sz w:val="20"/>
              </w:rPr>
              <w:t xml:space="preserve">Efecto sobre nuestra deuda neta</w:t>
            </w:r>
          </w:p>
        </w:tc>
      </w:tr>
      <w:tr>
        <w:tc>
          <w:tcPr/>
          <w:p>
            <w:pPr>
              <w:pStyle w:val="Compact"/>
            </w:pPr>
            <w:r>
              <w:rPr>
                <w:rFonts w:ascii="Calibri" w:hAnsi="Calibri"/>
                <w:sz w:val="20"/>
              </w:rPr>
              <w:t xml:space="preserve">FGS-ANSES y otros tenedores públicos sin netear</w:t>
            </w:r>
          </w:p>
        </w:tc>
        <w:tc>
          <w:tcPr/>
          <w:p>
            <w:pPr>
              <w:pStyle w:val="Compact"/>
            </w:pPr>
            <w:r>
              <w:rPr>
                <w:rFonts w:ascii="Calibri" w:hAnsi="Calibri"/>
                <w:sz w:val="20"/>
              </w:rPr>
              <w:t xml:space="preserve">Sobreestima</w:t>
            </w:r>
          </w:p>
        </w:tc>
      </w:tr>
      <w:tr>
        <w:tc>
          <w:tcPr/>
          <w:p>
            <w:pPr>
              <w:pStyle w:val="Compact"/>
            </w:pPr>
            <w:r>
              <w:rPr>
                <w:rFonts w:ascii="Calibri" w:hAnsi="Calibri"/>
                <w:sz w:val="20"/>
              </w:rPr>
              <w:t xml:space="preserve">Letras Intransferibles interpoladas o reconstruidas entre anclas (24 y 32 trimestres)</w:t>
            </w:r>
          </w:p>
        </w:tc>
        <w:tc>
          <w:tcPr/>
          <w:p>
            <w:pPr>
              <w:pStyle w:val="Compact"/>
            </w:pPr>
            <w:r>
              <w:rPr>
                <w:rFonts w:ascii="Calibri" w:hAnsi="Calibri"/>
                <w:sz w:val="20"/>
              </w:rPr>
              <w:t xml:space="preserve">Ruido sin signo definido</w:t>
            </w:r>
          </w:p>
        </w:tc>
      </w:tr>
      <w:tr>
        <w:tc>
          <w:tcPr/>
          <w:p>
            <w:pPr>
              <w:pStyle w:val="Compact"/>
            </w:pPr>
            <w:r>
              <w:rPr>
                <w:rFonts w:ascii="Calibri" w:hAnsi="Calibri"/>
                <w:sz w:val="20"/>
              </w:rPr>
              <w:t xml:space="preserve">Trimestres sin dato nominal (hasta 2005T4), con valor de libros</w:t>
            </w:r>
          </w:p>
        </w:tc>
        <w:tc>
          <w:tcPr/>
          <w:p>
            <w:pPr>
              <w:pStyle w:val="Compact"/>
            </w:pPr>
            <w:r>
              <w:rPr>
                <w:rFonts w:ascii="Calibri" w:hAnsi="Calibri"/>
                <w:sz w:val="20"/>
              </w:rPr>
              <w:t xml:space="preserve">Sin efecto relevante, las Letras no existían</w:t>
            </w:r>
          </w:p>
        </w:tc>
      </w:tr>
      <w:tr>
        <w:tc>
          <w:tcPr/>
          <w:p>
            <w:pPr>
              <w:pStyle w:val="Compact"/>
            </w:pPr>
            <w:r>
              <w:rPr>
                <w:rFonts w:ascii="Calibri" w:hAnsi="Calibri"/>
                <w:sz w:val="20"/>
              </w:rPr>
              <w:t xml:space="preserve">Swap con el PBoC activado omitido (desde 2020)</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Pases en neto, con trimestres negativos (2024T3-2025T1)</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Bruta del MECON excluye intereses capitalizados,</w:t>
            </w:r>
            <w:r>
              <w:rPr>
                <w:rFonts w:ascii="Calibri" w:hAnsi="Calibri"/>
                <w:sz w:val="20"/>
              </w:rPr>
              <w:t xml:space="preserve"> </w:t>
            </w:r>
            <w:r>
              <w:rPr>
                <w:rFonts w:ascii="Calibri" w:hAnsi="Calibri"/>
                <w:i/>
                <w:iCs/>
                <w:sz w:val="20"/>
              </w:rPr>
              <w:t xml:space="preserve">holdouts</w:t>
            </w:r>
            <w:r>
              <w:rPr>
                <w:rFonts w:ascii="Calibri" w:hAnsi="Calibri"/>
                <w:sz w:val="20"/>
              </w:rPr>
              <w:t xml:space="preserve"> </w:t>
            </w:r>
            <w:r>
              <w:rPr>
                <w:rFonts w:ascii="Calibri" w:hAnsi="Calibri"/>
                <w:sz w:val="20"/>
              </w:rPr>
              <w:t xml:space="preserve">y cupón PIB</w:t>
            </w:r>
          </w:p>
        </w:tc>
        <w:tc>
          <w:tcPr/>
          <w:p>
            <w:pPr>
              <w:pStyle w:val="Compact"/>
            </w:pPr>
            <w:r>
              <w:rPr>
                <w:rFonts w:ascii="Calibri" w:hAnsi="Calibri"/>
                <w:sz w:val="20"/>
              </w:rPr>
              <w:t xml:space="preserve">Subestima</w:t>
            </w:r>
          </w:p>
        </w:tc>
      </w:tr>
    </w:tbl>
    <w:p>
      <w:pPr>
        <w:pStyle w:val="BodyText"/>
      </w:pPr>
      <w:r>
        <w:t xml:space="preserve">El balance de las fuentes es una sobreestimación en 2023 y 2024 y probablemente en todo 2007-2025, de entre 8 y 10 puntos del PIB en esos dos años de control.</w:t>
      </w:r>
    </w:p>
    <w:bookmarkEnd w:id="89"/>
    <w:bookmarkStart w:id="90" w:name="cómo-se-trata-en-el-análisis"/>
    <w:p>
      <w:pPr>
        <w:pStyle w:val="Heading3"/>
      </w:pPr>
      <w:r>
        <w:t xml:space="preserve">5.9.4 Cómo se trata en el análisis</w:t>
      </w:r>
    </w:p>
    <w:p>
      <w:pPr>
        <w:pStyle w:val="FirstParagraph"/>
      </w:pPr>
      <w:r>
        <w:t xml:space="preserve">La serie se presenta como</w:t>
      </w:r>
      <w:r>
        <w:t xml:space="preserve"> </w:t>
      </w:r>
      <w:r>
        <w:rPr>
          <w:b/>
          <w:bCs/>
        </w:rPr>
        <w:t xml:space="preserve">deuda neta consolidada con el BCRA, a valor nominal, sin neteo del FGS</w:t>
      </w:r>
      <w:r>
        <w:t xml:space="preserve">, y no como</w:t>
      </w:r>
      <w:r>
        <w:t xml:space="preserve"> </w:t>
      </w:r>
      <w:r>
        <w:t xml:space="preserve">“la deuda neta del FMI”</w:t>
      </w:r>
      <w:r>
        <w:t xml:space="preserve">. En el modelo entra rezagada y cumple una función de retroalimentación, de modo que la corrección de nivel no cambia la dinámica si la brecha es aproximadamente estable. Con la valuación nominal la brecha pasa de 8,2 a 9,6 puntos entre 2023 y 2024, una variación de 1,4 puntos, frente a los 8,6 puntos (de 8,2 a 16,8) que tenía con valor de libros. La condición de brecha estable se cumple mucho mejor que antes. El sistema se estima además con la deuda neta a valor de libros y con la deuda bruta como series de contraste (</w:t>
      </w:r>
      <w:r>
        <w:rPr>
          <w:rStyle w:val="VerbatimChar"/>
        </w:rPr>
        <w:t xml:space="preserve">deuda_consolidada_neta_1996_2025.csv</w:t>
      </w:r>
      <w:r>
        <w:t xml:space="preserve"> </w:t>
      </w:r>
      <w:r>
        <w:t xml:space="preserve">y</w:t>
      </w:r>
      <w:r>
        <w:t xml:space="preserve"> </w:t>
      </w:r>
      <w:r>
        <w:rPr>
          <w:rStyle w:val="VerbatimChar"/>
        </w:rPr>
        <w:t xml:space="preserve">deuda_consolidada_1996_2025.csv</w:t>
      </w:r>
      <w:r>
        <w:t xml:space="preserve">), de modo que la conclusión pueda evaluarse con tres medidas. El cierre de la brecha restante exige dos insumos: las series de tenencias del FGS en ANSES (descarga manual) y el saldo del swap activado (estados contables del BCRA).</w:t>
      </w:r>
    </w:p>
    <w:bookmarkEnd w:id="90"/>
    <w:bookmarkEnd w:id="91"/>
    <w:bookmarkStart w:id="92" w:name="estadísticos-descriptivos"/>
    <w:p>
      <w:pPr>
        <w:pStyle w:val="Heading2"/>
      </w:pPr>
      <w:r>
        <w:t xml:space="preserve">5.10 Estadísticos descriptivos</w:t>
      </w:r>
    </w:p>
    <w:p>
      <w:pPr>
        <w:pStyle w:val="FirstParagraph"/>
      </w:pPr>
      <w:r>
        <w:t xml:space="preserve">Muestra 1996T1-2025T4 (120 trimestres). El crecimiento y la variación de la Fed pierden una observación por la primera diferencia; la muestra efectiva del sistema son 117 trimestres (1996T4-2025T4). Las variables del sistema de estimación son las filas 1, 6 y 8 a 12 (el resultado primario en su versión</w:t>
      </w:r>
      <w:r>
        <w:t xml:space="preserve"> </w:t>
      </w:r>
      <w:r>
        <w:rPr>
          <w:rStyle w:val="VerbatimChar"/>
        </w:rPr>
        <w:t xml:space="preserve">pb_pib_trim</w:t>
      </w:r>
      <w:r>
        <w:t xml:space="preser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 est.</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c>
          <w:tcPr/>
          <w:p>
            <w:pPr>
              <w:pStyle w:val="Compact"/>
            </w:pPr>
            <w:r>
              <w:rPr>
                <w:rFonts w:ascii="Calibri" w:hAnsi="Calibri"/>
                <w:sz w:val="20"/>
              </w:rPr>
              <w:t xml:space="preserve">n</w:t>
            </w:r>
          </w:p>
        </w:tc>
      </w:tr>
      <w:tr>
        <w:tc>
          <w:tcPr/>
          <w:p>
            <w:pPr>
              <w:pStyle w:val="Compact"/>
            </w:pPr>
            <w:r>
              <w:rPr>
                <w:rFonts w:ascii="Calibri" w:hAnsi="Calibri"/>
                <w:sz w:val="20"/>
              </w:rPr>
              <w:t xml:space="preserve">Deuda consolidada neta, nominal piso (% PIB)</w:t>
            </w:r>
          </w:p>
        </w:tc>
        <w:tc>
          <w:tcPr/>
          <w:p>
            <w:pPr>
              <w:pStyle w:val="Compact"/>
            </w:pPr>
            <w:r>
              <w:rPr>
                <w:rFonts w:ascii="Calibri" w:hAnsi="Calibri"/>
                <w:sz w:val="20"/>
              </w:rPr>
              <w:t xml:space="preserve">55,97</w:t>
            </w:r>
          </w:p>
        </w:tc>
        <w:tc>
          <w:tcPr/>
          <w:p>
            <w:pPr>
              <w:pStyle w:val="Compact"/>
            </w:pPr>
            <w:r>
              <w:rPr>
                <w:rFonts w:ascii="Calibri" w:hAnsi="Calibri"/>
                <w:sz w:val="20"/>
              </w:rPr>
              <w:t xml:space="preserve">26,89</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consolidada neta, valor de libros (% PIB)</w:t>
            </w:r>
          </w:p>
        </w:tc>
        <w:tc>
          <w:tcPr/>
          <w:p>
            <w:pPr>
              <w:pStyle w:val="Compact"/>
            </w:pPr>
            <w:r>
              <w:rPr>
                <w:rFonts w:ascii="Calibri" w:hAnsi="Calibri"/>
                <w:sz w:val="20"/>
              </w:rPr>
              <w:t xml:space="preserve">56,55</w:t>
            </w:r>
          </w:p>
        </w:tc>
        <w:tc>
          <w:tcPr/>
          <w:p>
            <w:pPr>
              <w:pStyle w:val="Compact"/>
            </w:pPr>
            <w:r>
              <w:rPr>
                <w:rFonts w:ascii="Calibri" w:hAnsi="Calibri"/>
                <w:sz w:val="20"/>
              </w:rPr>
              <w:t xml:space="preserve">27,15</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federal bruta (% PIB)</w:t>
            </w:r>
          </w:p>
        </w:tc>
        <w:tc>
          <w:tcPr/>
          <w:p>
            <w:pPr>
              <w:pStyle w:val="Compact"/>
            </w:pPr>
            <w:r>
              <w:rPr>
                <w:rFonts w:ascii="Calibri" w:hAnsi="Calibri"/>
                <w:sz w:val="20"/>
              </w:rPr>
              <w:t xml:space="preserve">64,37</w:t>
            </w:r>
          </w:p>
        </w:tc>
        <w:tc>
          <w:tcPr/>
          <w:p>
            <w:pPr>
              <w:pStyle w:val="Compact"/>
            </w:pPr>
            <w:r>
              <w:rPr>
                <w:rFonts w:ascii="Calibri" w:hAnsi="Calibri"/>
                <w:sz w:val="20"/>
              </w:rPr>
              <w:t xml:space="preserve">31,45</w:t>
            </w:r>
          </w:p>
        </w:tc>
        <w:tc>
          <w:tcPr/>
          <w:p>
            <w:pPr>
              <w:pStyle w:val="Compact"/>
            </w:pPr>
            <w:r>
              <w:rPr>
                <w:rFonts w:ascii="Calibri" w:hAnsi="Calibri"/>
                <w:sz w:val="20"/>
              </w:rPr>
              <w:t xml:space="preserve">31,86</w:t>
            </w:r>
          </w:p>
        </w:tc>
        <w:tc>
          <w:tcPr/>
          <w:p>
            <w:pPr>
              <w:pStyle w:val="Compact"/>
            </w:pPr>
            <w:r>
              <w:rPr>
                <w:rFonts w:ascii="Calibri" w:hAnsi="Calibri"/>
                <w:sz w:val="20"/>
              </w:rPr>
              <w:t xml:space="preserve">154,59</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Tenencia del BCRA de deuda del Tesoro, nominal piso (% PIB)</w:t>
            </w:r>
          </w:p>
        </w:tc>
        <w:tc>
          <w:tcPr/>
          <w:p>
            <w:pPr>
              <w:pStyle w:val="Compact"/>
            </w:pPr>
            <w:r>
              <w:rPr>
                <w:rFonts w:ascii="Calibri" w:hAnsi="Calibri"/>
                <w:sz w:val="20"/>
              </w:rPr>
              <w:t xml:space="preserve">12,98</w:t>
            </w:r>
          </w:p>
        </w:tc>
        <w:tc>
          <w:tcPr/>
          <w:p>
            <w:pPr>
              <w:pStyle w:val="Compact"/>
            </w:pPr>
            <w:r>
              <w:rPr>
                <w:rFonts w:ascii="Calibri" w:hAnsi="Calibri"/>
                <w:sz w:val="20"/>
              </w:rPr>
              <w:t xml:space="preserve">8,07</w:t>
            </w:r>
          </w:p>
        </w:tc>
        <w:tc>
          <w:tcPr/>
          <w:p>
            <w:pPr>
              <w:pStyle w:val="Compact"/>
            </w:pPr>
            <w:r>
              <w:rPr>
                <w:rFonts w:ascii="Calibri" w:hAnsi="Calibri"/>
                <w:sz w:val="20"/>
              </w:rPr>
              <w:t xml:space="preserve">1,82</w:t>
            </w:r>
          </w:p>
        </w:tc>
        <w:tc>
          <w:tcPr/>
          <w:p>
            <w:pPr>
              <w:pStyle w:val="Compact"/>
            </w:pPr>
            <w:r>
              <w:rPr>
                <w:rFonts w:ascii="Calibri" w:hAnsi="Calibri"/>
                <w:sz w:val="20"/>
              </w:rPr>
              <w:t xml:space="preserve">48,57</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Pasivos remunerados del BCRA (% PIB)</w:t>
            </w:r>
          </w:p>
        </w:tc>
        <w:tc>
          <w:tcPr/>
          <w:p>
            <w:pPr>
              <w:pStyle w:val="Compact"/>
            </w:pPr>
            <w:r>
              <w:rPr>
                <w:rFonts w:ascii="Calibri" w:hAnsi="Calibri"/>
                <w:sz w:val="20"/>
              </w:rPr>
              <w:t xml:space="preserve">5,22</w:t>
            </w:r>
          </w:p>
        </w:tc>
        <w:tc>
          <w:tcPr/>
          <w:p>
            <w:pPr>
              <w:pStyle w:val="Compact"/>
            </w:pPr>
            <w:r>
              <w:rPr>
                <w:rFonts w:ascii="Calibri" w:hAnsi="Calibri"/>
                <w:sz w:val="20"/>
              </w:rPr>
              <w:t xml:space="preserve">3,53</w:t>
            </w:r>
          </w:p>
        </w:tc>
        <w:tc>
          <w:tcPr/>
          <w:p>
            <w:pPr>
              <w:pStyle w:val="Compact"/>
            </w:pPr>
            <w:r>
              <w:rPr>
                <w:rFonts w:ascii="Calibri" w:hAnsi="Calibri"/>
                <w:sz w:val="20"/>
              </w:rPr>
              <w:t xml:space="preserve">−2,29</w:t>
            </w:r>
          </w:p>
        </w:tc>
        <w:tc>
          <w:tcPr/>
          <w:p>
            <w:pPr>
              <w:pStyle w:val="Compact"/>
            </w:pPr>
            <w:r>
              <w:rPr>
                <w:rFonts w:ascii="Calibri" w:hAnsi="Calibri"/>
                <w:sz w:val="20"/>
              </w:rPr>
              <w:t xml:space="preserve">14,58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flujo trimestral anualizado,</w:t>
            </w:r>
            <w:r>
              <w:rPr>
                <w:rFonts w:ascii="Calibri" w:hAnsi="Calibri"/>
                <w:sz w:val="20"/>
              </w:rPr>
              <w:t xml:space="preserve"> </w:t>
            </w:r>
            <w:r>
              <w:rPr>
                <w:rStyle w:val="VerbatimChar"/>
                <w:rFonts w:ascii="Calibri" w:hAnsi="Calibri"/>
                <w:sz w:val="20"/>
              </w:rPr>
              <w:t xml:space="preserve">pb_pib_trim</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−0,02</w:t>
            </w:r>
          </w:p>
        </w:tc>
        <w:tc>
          <w:tcPr/>
          <w:p>
            <w:pPr>
              <w:pStyle w:val="Compact"/>
            </w:pPr>
            <w:r>
              <w:rPr>
                <w:rFonts w:ascii="Calibri" w:hAnsi="Calibri"/>
                <w:sz w:val="20"/>
              </w:rPr>
              <w:t xml:space="preserve">3,11</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suma de cuatro trimestres,</w:t>
            </w:r>
            <w:r>
              <w:rPr>
                <w:rFonts w:ascii="Calibri" w:hAnsi="Calibri"/>
                <w:sz w:val="20"/>
              </w:rPr>
              <w:t xml:space="preserve"> </w:t>
            </w:r>
            <w:r>
              <w:rPr>
                <w:rStyle w:val="VerbatimChar"/>
                <w:rFonts w:ascii="Calibri" w:hAnsi="Calibri"/>
                <w:sz w:val="20"/>
              </w:rPr>
              <w:t xml:space="preserve">pb_pib</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0,05</w:t>
            </w:r>
          </w:p>
        </w:tc>
        <w:tc>
          <w:tcPr/>
          <w:p>
            <w:pPr>
              <w:pStyle w:val="Compact"/>
            </w:pPr>
            <w:r>
              <w:rPr>
                <w:rFonts w:ascii="Calibri" w:hAnsi="Calibri"/>
                <w:sz w:val="20"/>
              </w:rPr>
              <w:t xml:space="preserve">2,34</w:t>
            </w:r>
          </w:p>
        </w:tc>
        <w:tc>
          <w:tcPr/>
          <w:p>
            <w:pPr>
              <w:pStyle w:val="Compact"/>
            </w:pPr>
            <w:r>
              <w:rPr>
                <w:rFonts w:ascii="Calibri" w:hAnsi="Calibri"/>
                <w:sz w:val="20"/>
              </w:rPr>
              <w:t xml:space="preserve">−6,43</w:t>
            </w:r>
          </w:p>
        </w:tc>
        <w:tc>
          <w:tcPr/>
          <w:p>
            <w:pPr>
              <w:pStyle w:val="Compact"/>
            </w:pPr>
            <w:r>
              <w:rPr>
                <w:rFonts w:ascii="Calibri" w:hAnsi="Calibri"/>
                <w:sz w:val="20"/>
              </w:rPr>
              <w:t xml:space="preserve">3,93</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Crecimiento real del PIB (pp trimestral, 100·Δln)</w:t>
            </w:r>
          </w:p>
        </w:tc>
        <w:tc>
          <w:tcPr/>
          <w:p>
            <w:pPr>
              <w:pStyle w:val="Compact"/>
            </w:pPr>
            <w:r>
              <w:rPr>
                <w:rFonts w:ascii="Calibri" w:hAnsi="Calibri"/>
                <w:sz w:val="20"/>
              </w:rPr>
              <w:t xml:space="preserve">0,48</w:t>
            </w:r>
          </w:p>
        </w:tc>
        <w:tc>
          <w:tcPr/>
          <w:p>
            <w:pPr>
              <w:pStyle w:val="Compact"/>
            </w:pPr>
            <w:r>
              <w:rPr>
                <w:rFonts w:ascii="Calibri" w:hAnsi="Calibri"/>
                <w:sz w:val="20"/>
              </w:rPr>
              <w:t xml:space="preserve">7,29</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EMBI+ (pb)</w:t>
            </w:r>
          </w:p>
        </w:tc>
        <w:tc>
          <w:tcPr/>
          <w:p>
            <w:pPr>
              <w:pStyle w:val="Compact"/>
            </w:pPr>
            <w:r>
              <w:rPr>
                <w:rFonts w:ascii="Calibri" w:hAnsi="Calibri"/>
                <w:sz w:val="20"/>
              </w:rPr>
              <w:t xml:space="preserve">1483,95</w:t>
            </w:r>
          </w:p>
        </w:tc>
        <w:tc>
          <w:tcPr/>
          <w:p>
            <w:pPr>
              <w:pStyle w:val="Compact"/>
            </w:pPr>
            <w:r>
              <w:rPr>
                <w:rFonts w:ascii="Calibri" w:hAnsi="Calibri"/>
                <w:sz w:val="20"/>
              </w:rPr>
              <w:t xml:space="preserve">1573,84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TCRM (dic. 2001 = 1)</w:t>
            </w:r>
          </w:p>
        </w:tc>
        <w:tc>
          <w:tcPr/>
          <w:p>
            <w:pPr>
              <w:pStyle w:val="Compact"/>
            </w:pPr>
            <w:r>
              <w:rPr>
                <w:rFonts w:ascii="Calibri" w:hAnsi="Calibri"/>
                <w:sz w:val="20"/>
              </w:rPr>
              <w:t xml:space="preserve">1,63</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Tasa de política de la Fed (%)</w:t>
            </w:r>
          </w:p>
        </w:tc>
        <w:tc>
          <w:tcPr/>
          <w:p>
            <w:pPr>
              <w:pStyle w:val="Compact"/>
            </w:pPr>
            <w:r>
              <w:rPr>
                <w:rFonts w:ascii="Calibri" w:hAnsi="Calibri"/>
                <w:sz w:val="20"/>
              </w:rPr>
              <w:t xml:space="preserve">2,08</w:t>
            </w:r>
          </w:p>
        </w:tc>
        <w:tc>
          <w:tcPr/>
          <w:p>
            <w:pPr>
              <w:pStyle w:val="Compact"/>
            </w:pPr>
            <w:r>
              <w:rPr>
                <w:rFonts w:ascii="Calibri" w:hAnsi="Calibri"/>
                <w:sz w:val="20"/>
              </w:rPr>
              <w:t xml:space="preserve">2,67</w:t>
            </w:r>
          </w:p>
        </w:tc>
        <w:tc>
          <w:tcPr/>
          <w:p>
            <w:pPr>
              <w:pStyle w:val="Compact"/>
            </w:pPr>
            <w:r>
              <w:rPr>
                <w:rFonts w:ascii="Calibri" w:hAnsi="Calibri"/>
                <w:sz w:val="20"/>
              </w:rPr>
              <w:t xml:space="preserve">−2,92</w:t>
            </w:r>
          </w:p>
        </w:tc>
        <w:tc>
          <w:tcPr/>
          <w:p>
            <w:pPr>
              <w:pStyle w:val="Compact"/>
            </w:pPr>
            <w:r>
              <w:rPr>
                <w:rFonts w:ascii="Calibri" w:hAnsi="Calibri"/>
                <w:sz w:val="20"/>
              </w:rPr>
              <w:t xml:space="preserve">6,52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Variación de la tasa de la Fed (pp)</w:t>
            </w:r>
          </w:p>
        </w:tc>
        <w:tc>
          <w:tcPr/>
          <w:p>
            <w:pPr>
              <w:pStyle w:val="Compact"/>
            </w:pPr>
            <w:r>
              <w:rPr>
                <w:rFonts w:ascii="Calibri" w:hAnsi="Calibri"/>
                <w:sz w:val="20"/>
              </w:rPr>
              <w:t xml:space="preserve">−0,01</w:t>
            </w:r>
          </w:p>
        </w:tc>
        <w:tc>
          <w:tcPr/>
          <w:p>
            <w:pPr>
              <w:pStyle w:val="Compact"/>
            </w:pPr>
            <w:r>
              <w:rPr>
                <w:rFonts w:ascii="Calibri" w:hAnsi="Calibri"/>
                <w:sz w:val="20"/>
              </w:rPr>
              <w:t xml:space="preserve">0,50</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VIX (puntos)</w:t>
            </w:r>
          </w:p>
        </w:tc>
        <w:tc>
          <w:tcPr/>
          <w:p>
            <w:pPr>
              <w:pStyle w:val="Compact"/>
            </w:pPr>
            <w:r>
              <w:rPr>
                <w:rFonts w:ascii="Calibri" w:hAnsi="Calibri"/>
                <w:sz w:val="20"/>
              </w:rPr>
              <w:t xml:space="preserve">20,15</w:t>
            </w:r>
          </w:p>
        </w:tc>
        <w:tc>
          <w:tcPr/>
          <w:p>
            <w:pPr>
              <w:pStyle w:val="Compact"/>
            </w:pPr>
            <w:r>
              <w:rPr>
                <w:rFonts w:ascii="Calibri" w:hAnsi="Calibri"/>
                <w:sz w:val="20"/>
              </w:rPr>
              <w:t xml:space="preserve">7,11</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c>
          <w:tcPr/>
          <w:p>
            <w:pPr>
              <w:pStyle w:val="Compact"/>
            </w:pPr>
            <w:r>
              <w:rPr>
                <w:rFonts w:ascii="Calibri" w:hAnsi="Calibri"/>
                <w:sz w:val="20"/>
              </w:rPr>
              <w:t xml:space="preserve">120</w:t>
            </w:r>
          </w:p>
        </w:tc>
      </w:tr>
    </w:tbl>
    <w:p>
      <w:pPr>
        <w:pStyle w:val="BodyText"/>
      </w:pPr>
      <w:r>
        <w:t xml:space="preserve">Fuente: cálculo propio sobre los CSV citados en 5.1. La desviación estándar es muestral (ddof = 1). Los depósitos del Tesoro en el BCRA tienen media de 0,64 % del PIB y desvío de 0,77, y no forman parte de las estadísticas del sistema. El resultado primario trimestral tiene un desvío mayor que el de la suma de cuatro trimestres por su estacionalidad (el mínimo, −12,16, ocurre en 2020T2 y el máximo, 7,02, en 2004T2). El crecimiento del PIB tiene un desvío alto porque la serie conserva la estacionalidad de INDEC y porque el tramo 1996-2003 contiene variaciones trimestrales de la crisis de 2001-2002 (mínimo en 2002T1, máximo en 2010T2). El máximo de la deuda neta ocurre en 2002T3 y el mínimo en 2013T3. El máximo del EMBI+ ocurre en 2002T3 y el mínimo en 2007T1.</w:t>
      </w:r>
    </w:p>
    <w:bookmarkEnd w:id="92"/>
    <w:bookmarkStart w:id="93" w:name="resumen-de-limitaciones-de-datos"/>
    <w:p>
      <w:pPr>
        <w:pStyle w:val="Heading2"/>
      </w:pPr>
      <w:r>
        <w:t xml:space="preserve">5.11 Resumen de limitaciones de datos</w:t>
      </w:r>
    </w:p>
    <w:p>
      <w:pPr>
        <w:pStyle w:val="Compact"/>
        <w:numPr>
          <w:ilvl w:val="0"/>
          <w:numId w:val="1016"/>
        </w:numPr>
      </w:pPr>
      <w:r>
        <w:rPr>
          <w:b/>
          <w:bCs/>
        </w:rPr>
        <w:t xml:space="preserve">Deuda neta sin FGS.</w:t>
      </w:r>
      <w:r>
        <w:t xml:space="preserve"> </w:t>
      </w:r>
      <w:r>
        <w:t xml:space="preserve">Cota superior de la neta del FMI desde 2007T3, con una brecha de 8,2 puntos en 2023 y 9,6 en 2024 (secciones 5.8 y 5.9).</w:t>
      </w:r>
    </w:p>
    <w:p>
      <w:pPr>
        <w:pStyle w:val="Compact"/>
        <w:numPr>
          <w:ilvl w:val="0"/>
          <w:numId w:val="1016"/>
        </w:numPr>
      </w:pPr>
      <w:r>
        <w:rPr>
          <w:b/>
          <w:bCs/>
        </w:rPr>
        <w:t xml:space="preserve">Resultado primario.</w:t>
      </w:r>
      <w:r>
        <w:t xml:space="preserve"> </w:t>
      </w:r>
      <w:r>
        <w:t xml:space="preserve">Incluye todas las rentas de la propiedad, entre ellas las utilidades del BCRA que la API no permite separar. Perímetro del sector público nacional, no del gobierno federal del FMI, y quiebres de metodología en 2006/2007 y 2014/2015 sin período de solapamiento.</w:t>
      </w:r>
    </w:p>
    <w:p>
      <w:pPr>
        <w:pStyle w:val="Compact"/>
        <w:numPr>
          <w:ilvl w:val="0"/>
          <w:numId w:val="1016"/>
        </w:numPr>
      </w:pPr>
      <w:r>
        <w:rPr>
          <w:b/>
          <w:bCs/>
        </w:rPr>
        <w:t xml:space="preserve">Valuación nominal de la tenencia del BCRA.</w:t>
      </w:r>
      <w:r>
        <w:t xml:space="preserve"> </w:t>
      </w:r>
      <w:r>
        <w:t xml:space="preserve">Hay dato nominal en 80 de 120 trimestres; 24 están interpolados y 39 reconstruidos con fechas de emisión o hacia atrás. Los 40 trimestres anteriores a 2006 conservan el valor de libros porque las Letras no existían.</w:t>
      </w:r>
    </w:p>
    <w:p>
      <w:pPr>
        <w:pStyle w:val="Compact"/>
        <w:numPr>
          <w:ilvl w:val="0"/>
          <w:numId w:val="1016"/>
        </w:numPr>
      </w:pPr>
      <w:r>
        <w:rPr>
          <w:b/>
          <w:bCs/>
        </w:rPr>
        <w:t xml:space="preserve">Empalme 1996-2003</w:t>
      </w:r>
      <w:r>
        <w:t xml:space="preserve"> </w:t>
      </w:r>
      <w:r>
        <w:t xml:space="preserve">del PIB real (base 1993 a base 2004, coeficiente k = 1,751) y del PIB nominal (coeficiente 1,0837). Incertidumbre de nivel por el coeficiente de enlace, sin efecto sobre las tasas de crecimiento del PIB real.</w:t>
      </w:r>
    </w:p>
    <w:p>
      <w:pPr>
        <w:pStyle w:val="Compact"/>
        <w:numPr>
          <w:ilvl w:val="0"/>
          <w:numId w:val="1016"/>
        </w:numPr>
      </w:pPr>
      <w:r>
        <w:rPr>
          <w:b/>
          <w:bCs/>
        </w:rPr>
        <w:t xml:space="preserve">Seis trimestres de deuda bruta interpolados</w:t>
      </w:r>
      <w:r>
        <w:t xml:space="preserve"> </w:t>
      </w:r>
      <w:r>
        <w:t xml:space="preserve">(1996-1997) y</w:t>
      </w:r>
      <w:r>
        <w:t xml:space="preserve"> </w:t>
      </w:r>
      <w:r>
        <w:rPr>
          <w:b/>
          <w:bCs/>
        </w:rPr>
        <w:t xml:space="preserve">cuatro de TCRM retropolados</w:t>
      </w:r>
      <w:r>
        <w:t xml:space="preserve"> </w:t>
      </w:r>
      <w:r>
        <w:t xml:space="preserve">(1996).</w:t>
      </w:r>
    </w:p>
    <w:p>
      <w:pPr>
        <w:pStyle w:val="Compact"/>
        <w:numPr>
          <w:ilvl w:val="0"/>
          <w:numId w:val="1016"/>
        </w:numPr>
      </w:pPr>
      <w:r>
        <w:rPr>
          <w:b/>
          <w:bCs/>
        </w:rPr>
        <w:t xml:space="preserve">Swap con el PBoC</w:t>
      </w:r>
      <w:r>
        <w:t xml:space="preserve"> </w:t>
      </w:r>
      <w:r>
        <w:t xml:space="preserve">y</w:t>
      </w:r>
      <w:r>
        <w:t xml:space="preserve"> </w:t>
      </w:r>
      <w:r>
        <w:rPr>
          <w:b/>
          <w:bCs/>
        </w:rPr>
        <w:t xml:space="preserve">pases en neto</w:t>
      </w:r>
      <w:r>
        <w:t xml:space="preserve"> </w:t>
      </w:r>
      <w:r>
        <w:t xml:space="preserve">en los pasivos del BCRA.</w:t>
      </w:r>
    </w:p>
    <w:p>
      <w:pPr>
        <w:pStyle w:val="Compact"/>
        <w:numPr>
          <w:ilvl w:val="0"/>
          <w:numId w:val="1016"/>
        </w:numPr>
      </w:pPr>
      <w:r>
        <w:rPr>
          <w:b/>
          <w:bCs/>
        </w:rPr>
        <w:t xml:space="preserve">Denominador</w:t>
      </w:r>
      <w:r>
        <w:t xml:space="preserve"> </w:t>
      </w:r>
      <w:r>
        <w:t xml:space="preserve">con rezago en períodos de inflación alta.</w:t>
      </w:r>
    </w:p>
    <w:bookmarkEnd w:id="93"/>
    <w:bookmarkEnd w:id="94"/>
    <w:bookmarkStart w:id="113" w:name="resultados"/>
    <w:p>
      <w:pPr>
        <w:pStyle w:val="Heading1"/>
      </w:pPr>
      <w:r>
        <w:t xml:space="preserve">6. Resultados</w:t>
      </w:r>
    </w:p>
    <w:p>
      <w:pPr>
        <w:pStyle w:val="FirstParagraph"/>
      </w:pPr>
      <w:r>
        <w:t xml:space="preserve">Todos los resultados de este capítulo salen de la misma muestra efectiva, 1998T2-2025T4 (111 trimestres), y del mismo escenario base, el del FMI (2025, anexo II). La especificación principal usa la deuda consolidada neta con las Letras Intransferibles a valor nominal, que parte de 61,0% del PIB en diciembre de 2025. Las cifras se pueden reproducir con</w:t>
      </w:r>
      <w:r>
        <w:t xml:space="preserve"> </w:t>
      </w:r>
      <w:r>
        <w:rPr>
          <w:rStyle w:val="VerbatimChar"/>
        </w:rPr>
        <w:t xml:space="preserve">codigo/modelos/fase24_svarx_1996_2025.py</w:t>
      </w:r>
      <w:r>
        <w:t xml:space="preserve"> </w:t>
      </w:r>
      <w:r>
        <w:t xml:space="preserve">y</w:t>
      </w:r>
      <w:r>
        <w:t xml:space="preserve"> </w:t>
      </w:r>
      <w:r>
        <w:rPr>
          <w:rStyle w:val="VerbatimChar"/>
        </w:rPr>
        <w:t xml:space="preserve">codigo/modelos/fase25_simulacion_dsa_svarx.py</w:t>
      </w:r>
      <w:r>
        <w:t xml:space="preserve">.</w:t>
      </w:r>
    </w:p>
    <w:bookmarkStart w:id="98" w:name="el-svarx-estimado"/>
    <w:p>
      <w:pPr>
        <w:pStyle w:val="Heading2"/>
      </w:pPr>
      <w:r>
        <w:t xml:space="preserve">6.1 El SVARX estimado</w:t>
      </w:r>
    </w:p>
    <w:p>
      <w:pPr>
        <w:pStyle w:val="FirstParagraph"/>
      </w:pPr>
      <w:r>
        <w:rPr>
          <w:b/>
          <w:bCs/>
        </w:rPr>
        <w:t xml:space="preserve">Rezagos y diagnósticos.</w:t>
      </w:r>
      <w:r>
        <w:t xml:space="preserve"> </w:t>
      </w:r>
      <w:r>
        <w:t xml:space="preserve">Con la regla de la sección 4.5, el modelo usa tres rezagos. La raíz de mayor módulo del polinomio característico es 0,96, de modo que el sistema es estable y tiene representación de medias móviles. La prueba de Portmanteau con 12 rezagos da un p-valor de 0,036: queda algo de autocorrelación en los residuos, que se informa como limitación. Los residuos no son normales (p &lt; 0,001), lo que justifica remuestrear shocks históricos en lugar de suponer normalidad. La prueba ARCH-LM con cuatro rezagos no detecta heterocedasticidad condicional en ninguna ecuación (p-valores entre 0,87 y 0,99). El</w:t>
      </w:r>
      <w:r>
        <w:t xml:space="preserve"> </w:t>
      </w:r>
      <w:r>
        <w:rPr>
          <w:i/>
          <w:iCs/>
        </w:rPr>
        <w:t xml:space="preserve">bootstrap</w:t>
      </w:r>
      <w:r>
        <w:t xml:space="preserve"> </w:t>
      </w:r>
      <w:r>
        <w:t xml:space="preserve">salvaje es válido con y sin heterocedasticidad, así que su uso no depende de este resultado.</w:t>
      </w:r>
    </w:p>
    <w:p>
      <w:pPr>
        <w:pStyle w:val="BodyText"/>
      </w:pPr>
      <w:r>
        <w:rPr>
          <w:b/>
          <w:bCs/>
        </w:rPr>
        <w:t xml:space="preserve">Reacción fiscal.</w:t>
      </w:r>
      <w:r>
        <w:t xml:space="preserve"> </w:t>
      </w:r>
      <w:r>
        <w:t xml:space="preserve">El coeficiente de la deuda rezagada en la ecuación del resultado primario es 0,051 (p = 0,019), con un intervalo de 90% del</w:t>
      </w:r>
      <w:r>
        <w:t xml:space="preserve"> </w:t>
      </w:r>
      <w:r>
        <w:rPr>
          <w:i/>
          <w:iCs/>
        </w:rPr>
        <w:t xml:space="preserve">bootstrap</w:t>
      </w:r>
      <w:r>
        <w:t xml:space="preserve"> </w:t>
      </w:r>
      <w:r>
        <w:t xml:space="preserve">de [0,020; 0,082]. Diez puntos más de deuda en relación con el PIB se asocian, en promedio, con medio punto más de superávit primario. El resultado no depende del perímetro de la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 de deuda</w:t>
            </w:r>
          </w:p>
        </w:tc>
        <w:tc>
          <w:tcPr/>
          <w:p>
            <w:pPr>
              <w:pStyle w:val="Compact"/>
            </w:pPr>
            <w:r>
              <w:rPr>
                <w:rFonts w:ascii="Calibri" w:hAnsi="Calibri"/>
                <w:sz w:val="20"/>
              </w:rPr>
              <w:t xml:space="preserve">Rezagos</w:t>
            </w:r>
          </w:p>
        </w:tc>
        <w:tc>
          <w:tcPr/>
          <w:p>
            <w:pPr>
              <w:pStyle w:val="Compact"/>
            </w:pPr>
            <w:r>
              <w:rPr>
                <w:rFonts w:ascii="Calibri" w:hAnsi="Calibri"/>
                <w:sz w:val="20"/>
              </w:rPr>
              <w:t xml:space="preserve">Reacción fiscal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Consolidada neta, Letras a valor nominal (principal)</w:t>
            </w:r>
          </w:p>
        </w:tc>
        <w:tc>
          <w:tcPr/>
          <w:p>
            <w:pPr>
              <w:pStyle w:val="Compact"/>
            </w:pPr>
            <w:r>
              <w:rPr>
                <w:rFonts w:ascii="Calibri" w:hAnsi="Calibri"/>
                <w:sz w:val="20"/>
              </w:rPr>
              <w:t xml:space="preserve">3</w:t>
            </w:r>
          </w:p>
        </w:tc>
        <w:tc>
          <w:tcPr/>
          <w:p>
            <w:pPr>
              <w:pStyle w:val="Compact"/>
            </w:pPr>
            <w:r>
              <w:rPr>
                <w:rFonts w:ascii="Calibri" w:hAnsi="Calibri"/>
                <w:sz w:val="20"/>
              </w:rPr>
              <w:t xml:space="preserve">0,051</w:t>
            </w:r>
          </w:p>
        </w:tc>
        <w:tc>
          <w:tcPr/>
          <w:p>
            <w:pPr>
              <w:pStyle w:val="Compact"/>
            </w:pPr>
            <w:r>
              <w:rPr>
                <w:rFonts w:ascii="Calibri" w:hAnsi="Calibri"/>
                <w:sz w:val="20"/>
              </w:rPr>
              <w:t xml:space="preserve">[0,020; 0,082]</w:t>
            </w:r>
          </w:p>
        </w:tc>
      </w:tr>
      <w:tr>
        <w:tc>
          <w:tcPr/>
          <w:p>
            <w:pPr>
              <w:pStyle w:val="Compact"/>
            </w:pPr>
            <w:r>
              <w:rPr>
                <w:rFonts w:ascii="Calibri" w:hAnsi="Calibri"/>
                <w:sz w:val="20"/>
              </w:rPr>
              <w:t xml:space="preserve">Consolidada neta, Letras a valor libros</w:t>
            </w:r>
          </w:p>
        </w:tc>
        <w:tc>
          <w:tcPr/>
          <w:p>
            <w:pPr>
              <w:pStyle w:val="Compact"/>
            </w:pPr>
            <w:r>
              <w:rPr>
                <w:rFonts w:ascii="Calibri" w:hAnsi="Calibri"/>
                <w:sz w:val="20"/>
              </w:rPr>
              <w:t xml:space="preserve">3</w:t>
            </w:r>
          </w:p>
        </w:tc>
        <w:tc>
          <w:tcPr/>
          <w:p>
            <w:pPr>
              <w:pStyle w:val="Compact"/>
            </w:pPr>
            <w:r>
              <w:rPr>
                <w:rFonts w:ascii="Calibri" w:hAnsi="Calibri"/>
                <w:sz w:val="20"/>
              </w:rPr>
              <w:t xml:space="preserve">0,053</w:t>
            </w:r>
          </w:p>
        </w:tc>
        <w:tc>
          <w:tcPr/>
          <w:p>
            <w:pPr>
              <w:pStyle w:val="Compact"/>
            </w:pPr>
            <w:r>
              <w:rPr>
                <w:rFonts w:ascii="Calibri" w:hAnsi="Calibri"/>
                <w:sz w:val="20"/>
              </w:rPr>
              <w:t xml:space="preserve">[0,021; 0,085]</w:t>
            </w:r>
          </w:p>
        </w:tc>
      </w:tr>
      <w:tr>
        <w:tc>
          <w:tcPr/>
          <w:p>
            <w:pPr>
              <w:pStyle w:val="Compact"/>
            </w:pPr>
            <w:r>
              <w:rPr>
                <w:rFonts w:ascii="Calibri" w:hAnsi="Calibri"/>
                <w:sz w:val="20"/>
              </w:rPr>
              <w:t xml:space="preserve">Consolidada bruta</w:t>
            </w:r>
          </w:p>
        </w:tc>
        <w:tc>
          <w:tcPr/>
          <w:p>
            <w:pPr>
              <w:pStyle w:val="Compact"/>
            </w:pPr>
            <w:r>
              <w:rPr>
                <w:rFonts w:ascii="Calibri" w:hAnsi="Calibri"/>
                <w:sz w:val="20"/>
              </w:rPr>
              <w:t xml:space="preserve">4</w:t>
            </w:r>
          </w:p>
        </w:tc>
        <w:tc>
          <w:tcPr/>
          <w:p>
            <w:pPr>
              <w:pStyle w:val="Compact"/>
            </w:pPr>
            <w:r>
              <w:rPr>
                <w:rFonts w:ascii="Calibri" w:hAnsi="Calibri"/>
                <w:sz w:val="20"/>
              </w:rPr>
              <w:t xml:space="preserve">0,054</w:t>
            </w:r>
          </w:p>
        </w:tc>
        <w:tc>
          <w:tcPr/>
          <w:p>
            <w:pPr>
              <w:pStyle w:val="Compact"/>
            </w:pPr>
            <w:r>
              <w:rPr>
                <w:rFonts w:ascii="Calibri" w:hAnsi="Calibri"/>
                <w:sz w:val="20"/>
              </w:rPr>
              <w:t xml:space="preserve">[0,027; 0,079]</w:t>
            </w:r>
          </w:p>
        </w:tc>
      </w:tr>
    </w:tbl>
    <w:p>
      <w:pPr>
        <w:pStyle w:val="BodyText"/>
      </w:pPr>
      <w:r>
        <w:t xml:space="preserve">El signo coincide con el que encuentran Celasun et al. (2006) en su panel de economías emergentes. La política fiscal argentina respondió a la deuda en el período, pero con un coeficiente chico. La simulación muestra si esa respuesta alcanza para estabilizarla.</w:t>
      </w:r>
    </w:p>
    <w:p>
      <w:pPr>
        <w:pStyle w:val="BodyText"/>
      </w:pPr>
      <w:r>
        <w:rPr>
          <w:b/>
          <w:bCs/>
        </w:rPr>
        <w:t xml:space="preserve">Retroalimentación de la deuda.</w:t>
      </w:r>
      <w:r>
        <w:t xml:space="preserve"> </w:t>
      </w:r>
      <w:r>
        <w:t xml:space="preserve">La deuda rezagada entra en las cuatro ecuaciones del sistema, de modo que la deuda responde a los shocks y a su vez los afecta (Favero y Giavazzi, 2007). El efecto más claro es sobre el riesgo país: un punto más de deuda en relación con el PIB eleva el EMBI+ del trimestre siguiente en 22 puntos básicos, con un intervalo de 90% del bootstrap de [11; 41]. El crecimiento también responde con signo positivo, [0,02; 0,12], y el tipo de cambio real no responde, [-0,002; 0,003]. Junto con la reacción fiscal, el sistema tiene así dos mecanismos que actúan en sentidos opuestos cuando la deuda sube: el riesgo país la encarece y el superávit primario la reduce.</w:t>
      </w:r>
    </w:p>
    <w:p>
      <w:pPr>
        <w:pStyle w:val="BodyText"/>
      </w:pPr>
      <w:r>
        <w:rPr>
          <w:b/>
          <w:bCs/>
        </w:rPr>
        <w:t xml:space="preserve">Respuesta a la tasa de la FED.</w:t>
      </w:r>
      <w:r>
        <w:t xml:space="preserve"> </w:t>
      </w:r>
      <w:r>
        <w:t xml:space="preserve">Un aumento de un desvío estándar en la tasa de política de la FED (0,50 puntos porcentuales) no produce respuestas sistemáticas de las variables domésticas (Figura 6.1). El EMBI+ sube 9 puntos básicos en el trimestre del shock, con un intervalo de 90% de [-83; 103], y 12 puntos básicos a los dos años, con un intervalo de [-14; 42]. De las 84 respuestas estimadas (cuatro variables en 21 horizontes), solo tres tienen una banda de 90% que excluye el cero: el crecimiento en el trimestre del shock (+0,5 puntos), el resultado primario un trimestre después (-0,35 puntos del PIB) y el tipo de cambio real tres trimestres después (una leve apreciación). Con bandas de 90%, el azar ya produciría unas ocho exclusiones aunque la FED no tuviera ningún efecto, y los signos del crecimiento y del tipo de cambio real son los contrarios a los que predice la teoría. Con 111 trimestres y un shock chico, el modelo no puede distinguir los efectos indirectos de la FED del ruido.</w:t>
      </w:r>
    </w:p>
    <w:p>
      <w:pPr>
        <w:pStyle w:val="CaptionedFigure"/>
      </w:pPr>
      <w:r>
        <w:drawing>
          <wp:inline>
            <wp:extent cx="5334000" cy="3501390"/>
            <wp:effectExtent b="0" l="0" r="0" t="0"/>
            <wp:docPr descr="Figura 6.1. Respuestas al impulso ante una suba de la tasa de la FED. Aumento de un desvío estándar (0,50 puntos porcentuales) de la tasa de política; deuda consolidada neta, tres rezagos; bandas de 90% del bootstrap salvaje (1.000 réplicas)." title="" id="96" name="Picture"/>
            <a:graphic>
              <a:graphicData uri="http://schemas.openxmlformats.org/drawingml/2006/picture">
                <pic:pic>
                  <pic:nvPicPr>
                    <pic:cNvPr descr="../tesis/figuras/fig6_1_respuesta_fed.png" id="97" name="Picture"/>
                    <pic:cNvPicPr>
                      <a:picLocks noChangeArrowheads="1" noChangeAspect="1"/>
                    </pic:cNvPicPr>
                  </pic:nvPicPr>
                  <pic:blipFill>
                    <a:blip r:embed="rId95"/>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 puntos porcentuales) de la tasa de política; deuda consolidada neta, tres rezagos; bandas de 90% del bootstrap salvaje (1.000 réplicas).</w:t>
      </w:r>
    </w:p>
    <w:bookmarkEnd w:id="98"/>
    <w:bookmarkStart w:id="102" w:name="el-gráfico-de-abanico"/>
    <w:p>
      <w:pPr>
        <w:pStyle w:val="Heading2"/>
      </w:pPr>
      <w:r>
        <w:t xml:space="preserve">6.2 El gráfico de abanico</w:t>
      </w:r>
    </w:p>
    <w:p>
      <w:pPr>
        <w:pStyle w:val="FirstParagraph"/>
      </w:pPr>
      <w:r>
        <w:t xml:space="preserve">La Tabla 6.1 resume la distribución de la deuda simulada. La mediana baja de 61,0% del PIB en 2025 a 35,9% en 2030 y a 16,7% en 2035. La Figura 6.2 muestra el abanico. La caída la determina el escenario base del FMI, que combina un superávit primario de alrededor de 2,5% del PIB con una tasa de interés efectiva de alrededor de 4% y un deflactor del PIB que crece cerca de 7,5% por año. Con esos supuestos, la tasa real que paga la deuda es negativa y la licua año tras año.</w:t>
      </w:r>
    </w:p>
    <w:p>
      <w:pPr>
        <w:pStyle w:val="BodyText"/>
      </w:pPr>
      <w:r>
        <w:rPr>
          <w:b/>
          <w:bCs/>
        </w:rPr>
        <w:t xml:space="preserve">Tabla 6.1. Deuda consolidada neta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46,0</w:t>
            </w:r>
          </w:p>
        </w:tc>
        <w:tc>
          <w:tcPr/>
          <w:p>
            <w:pPr>
              <w:pStyle w:val="Compact"/>
            </w:pPr>
            <w:r>
              <w:rPr>
                <w:rFonts w:ascii="Calibri" w:hAnsi="Calibri"/>
                <w:sz w:val="20"/>
              </w:rPr>
              <w:t xml:space="preserve">49,7</w:t>
            </w:r>
          </w:p>
        </w:tc>
        <w:tc>
          <w:tcPr/>
          <w:p>
            <w:pPr>
              <w:pStyle w:val="Compact"/>
            </w:pPr>
            <w:r>
              <w:rPr>
                <w:rFonts w:ascii="Calibri" w:hAnsi="Calibri"/>
                <w:sz w:val="20"/>
              </w:rPr>
              <w:t xml:space="preserve">52,8</w:t>
            </w:r>
          </w:p>
        </w:tc>
        <w:tc>
          <w:tcPr/>
          <w:p>
            <w:pPr>
              <w:pStyle w:val="Compact"/>
            </w:pPr>
            <w:r>
              <w:rPr>
                <w:rFonts w:ascii="Calibri" w:hAnsi="Calibri"/>
                <w:sz w:val="20"/>
              </w:rPr>
              <w:t xml:space="preserve">56,9</w:t>
            </w:r>
          </w:p>
        </w:tc>
        <w:tc>
          <w:tcPr/>
          <w:p>
            <w:pPr>
              <w:pStyle w:val="Compact"/>
            </w:pPr>
            <w:r>
              <w:rPr>
                <w:rFonts w:ascii="Calibri" w:hAnsi="Calibri"/>
                <w:sz w:val="20"/>
              </w:rPr>
              <w:t xml:space="preserve">64,5</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37,7</w:t>
            </w:r>
          </w:p>
        </w:tc>
        <w:tc>
          <w:tcPr/>
          <w:p>
            <w:pPr>
              <w:pStyle w:val="Compact"/>
            </w:pPr>
            <w:r>
              <w:rPr>
                <w:rFonts w:ascii="Calibri" w:hAnsi="Calibri"/>
                <w:sz w:val="20"/>
              </w:rPr>
              <w:t xml:space="preserve">41,9</w:t>
            </w:r>
          </w:p>
        </w:tc>
        <w:tc>
          <w:tcPr/>
          <w:p>
            <w:pPr>
              <w:pStyle w:val="Compact"/>
            </w:pPr>
            <w:r>
              <w:rPr>
                <w:rFonts w:ascii="Calibri" w:hAnsi="Calibri"/>
                <w:sz w:val="20"/>
              </w:rPr>
              <w:t xml:space="preserve">45,6</w:t>
            </w:r>
          </w:p>
        </w:tc>
        <w:tc>
          <w:tcPr/>
          <w:p>
            <w:pPr>
              <w:pStyle w:val="Compact"/>
            </w:pPr>
            <w:r>
              <w:rPr>
                <w:rFonts w:ascii="Calibri" w:hAnsi="Calibri"/>
                <w:sz w:val="20"/>
              </w:rPr>
              <w:t xml:space="preserve">50,0</w:t>
            </w:r>
          </w:p>
        </w:tc>
        <w:tc>
          <w:tcPr/>
          <w:p>
            <w:pPr>
              <w:pStyle w:val="Compact"/>
            </w:pPr>
            <w:r>
              <w:rPr>
                <w:rFonts w:ascii="Calibri" w:hAnsi="Calibri"/>
                <w:sz w:val="20"/>
              </w:rPr>
              <w:t xml:space="preserve">57,9</w:t>
            </w:r>
          </w:p>
        </w:tc>
      </w:tr>
      <w:tr>
        <w:tc>
          <w:tcPr/>
          <w:p>
            <w:pPr>
              <w:pStyle w:val="Compact"/>
            </w:pPr>
            <w:r>
              <w:rPr>
                <w:rFonts w:ascii="Calibri" w:hAnsi="Calibri"/>
                <w:sz w:val="20"/>
              </w:rPr>
              <w:t xml:space="preserve">2030</w:t>
            </w:r>
          </w:p>
        </w:tc>
        <w:tc>
          <w:tcPr/>
          <w:p>
            <w:pPr>
              <w:pStyle w:val="Compact"/>
            </w:pPr>
            <w:r>
              <w:rPr>
                <w:rFonts w:ascii="Calibri" w:hAnsi="Calibri"/>
                <w:sz w:val="20"/>
              </w:rPr>
              <w:t xml:space="preserve">25,9</w:t>
            </w:r>
          </w:p>
        </w:tc>
        <w:tc>
          <w:tcPr/>
          <w:p>
            <w:pPr>
              <w:pStyle w:val="Compact"/>
            </w:pPr>
            <w:r>
              <w:rPr>
                <w:rFonts w:ascii="Calibri" w:hAnsi="Calibri"/>
                <w:sz w:val="20"/>
              </w:rPr>
              <w:t xml:space="preserve">31,2</w:t>
            </w:r>
          </w:p>
        </w:tc>
        <w:tc>
          <w:tcPr/>
          <w:p>
            <w:pPr>
              <w:pStyle w:val="Compact"/>
            </w:pPr>
            <w:r>
              <w:rPr>
                <w:rFonts w:ascii="Calibri" w:hAnsi="Calibri"/>
                <w:sz w:val="20"/>
              </w:rPr>
              <w:t xml:space="preserve">35,9</w:t>
            </w:r>
          </w:p>
        </w:tc>
        <w:tc>
          <w:tcPr/>
          <w:p>
            <w:pPr>
              <w:pStyle w:val="Compact"/>
            </w:pPr>
            <w:r>
              <w:rPr>
                <w:rFonts w:ascii="Calibri" w:hAnsi="Calibri"/>
                <w:sz w:val="20"/>
              </w:rPr>
              <w:t xml:space="preserve">40,7</w:t>
            </w:r>
          </w:p>
        </w:tc>
        <w:tc>
          <w:tcPr/>
          <w:p>
            <w:pPr>
              <w:pStyle w:val="Compact"/>
            </w:pPr>
            <w:r>
              <w:rPr>
                <w:rFonts w:ascii="Calibri" w:hAnsi="Calibri"/>
                <w:sz w:val="20"/>
              </w:rPr>
              <w:t xml:space="preserve">49,6</w:t>
            </w:r>
          </w:p>
        </w:tc>
      </w:tr>
      <w:tr>
        <w:tc>
          <w:tcPr/>
          <w:p>
            <w:pPr>
              <w:pStyle w:val="Compact"/>
            </w:pPr>
            <w:r>
              <w:rPr>
                <w:rFonts w:ascii="Calibri" w:hAnsi="Calibri"/>
                <w:sz w:val="20"/>
              </w:rPr>
              <w:t xml:space="preserve">2032</w:t>
            </w:r>
          </w:p>
        </w:tc>
        <w:tc>
          <w:tcPr/>
          <w:p>
            <w:pPr>
              <w:pStyle w:val="Compact"/>
            </w:pPr>
            <w:r>
              <w:rPr>
                <w:rFonts w:ascii="Calibri" w:hAnsi="Calibri"/>
                <w:sz w:val="20"/>
              </w:rPr>
              <w:t xml:space="preserve">15,0</w:t>
            </w:r>
          </w:p>
        </w:tc>
        <w:tc>
          <w:tcPr/>
          <w:p>
            <w:pPr>
              <w:pStyle w:val="Compact"/>
            </w:pPr>
            <w:r>
              <w:rPr>
                <w:rFonts w:ascii="Calibri" w:hAnsi="Calibri"/>
                <w:sz w:val="20"/>
              </w:rPr>
              <w:t xml:space="preserve">21,1</w:t>
            </w:r>
          </w:p>
        </w:tc>
        <w:tc>
          <w:tcPr/>
          <w:p>
            <w:pPr>
              <w:pStyle w:val="Compact"/>
            </w:pPr>
            <w:r>
              <w:rPr>
                <w:rFonts w:ascii="Calibri" w:hAnsi="Calibri"/>
                <w:sz w:val="20"/>
              </w:rPr>
              <w:t xml:space="preserve">26,9</w:t>
            </w:r>
          </w:p>
        </w:tc>
        <w:tc>
          <w:tcPr/>
          <w:p>
            <w:pPr>
              <w:pStyle w:val="Compact"/>
            </w:pPr>
            <w:r>
              <w:rPr>
                <w:rFonts w:ascii="Calibri" w:hAnsi="Calibri"/>
                <w:sz w:val="20"/>
              </w:rPr>
              <w:t xml:space="preserve">32,7</w:t>
            </w:r>
          </w:p>
        </w:tc>
        <w:tc>
          <w:tcPr/>
          <w:p>
            <w:pPr>
              <w:pStyle w:val="Compact"/>
            </w:pPr>
            <w:r>
              <w:rPr>
                <w:rFonts w:ascii="Calibri" w:hAnsi="Calibri"/>
                <w:sz w:val="20"/>
              </w:rPr>
              <w:t xml:space="preserve">44,2</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2,2</w:t>
            </w:r>
          </w:p>
        </w:tc>
        <w:tc>
          <w:tcPr/>
          <w:p>
            <w:pPr>
              <w:pStyle w:val="Compact"/>
            </w:pPr>
            <w:r>
              <w:rPr>
                <w:rFonts w:ascii="Calibri" w:hAnsi="Calibri"/>
                <w:sz w:val="20"/>
              </w:rPr>
              <w:t xml:space="preserve">9,6</w:t>
            </w:r>
          </w:p>
        </w:tc>
        <w:tc>
          <w:tcPr/>
          <w:p>
            <w:pPr>
              <w:pStyle w:val="Compact"/>
            </w:pPr>
            <w:r>
              <w:rPr>
                <w:rFonts w:ascii="Calibri" w:hAnsi="Calibri"/>
                <w:sz w:val="20"/>
              </w:rPr>
              <w:t xml:space="preserve">16,7</w:t>
            </w:r>
          </w:p>
        </w:tc>
        <w:tc>
          <w:tcPr/>
          <w:p>
            <w:pPr>
              <w:pStyle w:val="Compact"/>
            </w:pPr>
            <w:r>
              <w:rPr>
                <w:rFonts w:ascii="Calibri" w:hAnsi="Calibri"/>
                <w:sz w:val="20"/>
              </w:rPr>
              <w:t xml:space="preserve">23,7</w:t>
            </w:r>
          </w:p>
        </w:tc>
        <w:tc>
          <w:tcPr/>
          <w:p>
            <w:pPr>
              <w:pStyle w:val="Compact"/>
            </w:pPr>
            <w:r>
              <w:rPr>
                <w:rFonts w:ascii="Calibri" w:hAnsi="Calibri"/>
                <w:sz w:val="20"/>
              </w:rPr>
              <w:t xml:space="preserve">38,5</w:t>
            </w:r>
          </w:p>
        </w:tc>
      </w:tr>
    </w:tbl>
    <w:p>
      <w:pPr>
        <w:pStyle w:val="CaptionedFigure"/>
      </w:pPr>
      <w:r>
        <w:drawing>
          <wp:inline>
            <wp:extent cx="5334000" cy="3048000"/>
            <wp:effectExtent b="0" l="0" r="0" t="0"/>
            <wp:docPr descr="Figura 6.2. Gráfico de abanico de la deuda consolidada neta simulada, 2025-2035 (% del PIB). Escenario base del FMI (2025) con shocks estructurales del SVARX; 300 réplicas de parámetros por 400 trayectorias." title="" id="100" name="Picture"/>
            <a:graphic>
              <a:graphicData uri="http://schemas.openxmlformats.org/drawingml/2006/picture">
                <pic:pic>
                  <pic:nvPicPr>
                    <pic:cNvPr descr="../tesis/figuras/fig6_2_abanico_deuda_neta.png" id="101" name="Picture"/>
                    <pic:cNvPicPr>
                      <a:picLocks noChangeArrowheads="1" noChangeAspect="1"/>
                    </pic:cNvPicPr>
                  </pic:nvPicPr>
                  <pic:blipFill>
                    <a:blip r:embed="rId9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consolidada neta simulada, 2025-2035 (% del PIB). Escenario base del FMI (2025) con shocks estructurales del SVARX; 300 réplicas de parámetros por 400 trayectorias.</w:t>
      </w:r>
    </w:p>
    <w:p>
      <w:pPr>
        <w:pStyle w:val="BodyText"/>
      </w:pPr>
      <w:r>
        <w:t xml:space="preserve">El ancho del abanico entre los percentiles 5 y 95 es de 19,4 puntos en 2030, con un intervalo de 90% de [15,4; 24,3]. El del FMI para la deuda federal bruta es 74,2 (FMI, 2025, anexo II, cuadro 7). El Capítulo 7 analiza esta diferencia.</w:t>
      </w:r>
    </w:p>
    <w:bookmarkEnd w:id="102"/>
    <w:bookmarkStart w:id="106"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 El contraste compara la contribución de cada bloque de shocks a la varianza de la deuda simulada en 2035.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 shocks</w:t>
            </w:r>
          </w:p>
        </w:tc>
        <w:tc>
          <w:tcPr/>
          <w:p>
            <w:pPr>
              <w:pStyle w:val="Compact"/>
            </w:pPr>
            <w:r>
              <w:rPr>
                <w:rFonts w:ascii="Calibri" w:hAnsi="Calibri"/>
                <w:sz w:val="20"/>
              </w:rPr>
              <w:t xml:space="preserve">Participación en la varianza de la deuda en 2035</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19,4%</w:t>
            </w:r>
          </w:p>
        </w:tc>
        <w:tc>
          <w:tcPr/>
          <w:p>
            <w:pPr>
              <w:pStyle w:val="Compact"/>
            </w:pPr>
            <w:r>
              <w:rPr>
                <w:rFonts w:ascii="Calibri" w:hAnsi="Calibri"/>
                <w:sz w:val="20"/>
              </w:rPr>
              <w:t xml:space="preserve">[3,5; 41,2]</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21,6%</w:t>
            </w:r>
          </w:p>
        </w:tc>
        <w:tc>
          <w:tcPr/>
          <w:p>
            <w:pPr>
              <w:pStyle w:val="Compact"/>
            </w:pPr>
            <w:r>
              <w:rPr>
                <w:rFonts w:ascii="Calibri" w:hAnsi="Calibri"/>
                <w:sz w:val="20"/>
              </w:rPr>
              <w:t xml:space="preserve">[3,9; 49,9]</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59,0%</w:t>
            </w:r>
          </w:p>
        </w:tc>
        <w:tc>
          <w:tcPr/>
          <w:p>
            <w:pPr>
              <w:pStyle w:val="Compact"/>
            </w:pPr>
            <w:r>
              <w:rPr>
                <w:rFonts w:ascii="Calibri" w:hAnsi="Calibri"/>
                <w:sz w:val="20"/>
              </w:rPr>
              <w:t xml:space="preserve">[12,5; 89,5]</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61,2 puntos</w:t>
            </w:r>
          </w:p>
        </w:tc>
        <w:tc>
          <w:tcPr/>
          <w:p>
            <w:pPr>
              <w:pStyle w:val="Compact"/>
            </w:pPr>
            <w:r>
              <w:rPr>
                <w:rFonts w:ascii="Calibri" w:hAnsi="Calibri"/>
                <w:sz w:val="20"/>
              </w:rPr>
              <w:t xml:space="preserve">[17,5; 93,0]</w:t>
            </w:r>
          </w:p>
        </w:tc>
      </w:tr>
    </w:tbl>
    <w:p>
      <w:pPr>
        <w:pStyle w:val="BodyText"/>
      </w:pPr>
      <w:r>
        <w:t xml:space="preserve">Los shocks no fiscales explican cerca de cuatro quintos de la incertidumbre sobre la deuda en 2035, y el intervalo de la diferencia con el fiscal excluye el cero.</w:t>
      </w:r>
      <w:r>
        <w:t xml:space="preserve"> </w:t>
      </w:r>
      <w:r>
        <w:rPr>
          <w:b/>
          <w:bCs/>
        </w:rPr>
        <w:t xml:space="preserve">H1a queda respaldada.</w:t>
      </w:r>
      <w:r>
        <w:t xml:space="preserve"> </w:t>
      </w:r>
      <w:r>
        <w:t xml:space="preserve">El bloque cambiario y de riesgo es el que más pesa. El resultado es coherente con la reacción fiscal positiva de la sección 6.1: el superávit responde a la deuda, pero la variabilidad de la deuda la dominan el tipo de cambio real y el riesgo país.</w:t>
      </w:r>
    </w:p>
    <w:p>
      <w:pPr>
        <w:pStyle w:val="CaptionedFigure"/>
      </w:pPr>
      <w:r>
        <w:drawing>
          <wp:inline>
            <wp:extent cx="5334000" cy="2667000"/>
            <wp:effectExtent b="0" l="0" r="0" t="0"/>
            <wp:docPr descr="Figura 6.3. Varianza de la deuda en 2035 por bloque de shocks. Participación de cada bloque de shocks estructurales en la varianza de la deuda simulada en 2035. Las barras de error son el intervalo de 90% entre réplicas de parámetros." title="" id="104" name="Picture"/>
            <a:graphic>
              <a:graphicData uri="http://schemas.openxmlformats.org/drawingml/2006/picture">
                <pic:pic>
                  <pic:nvPicPr>
                    <pic:cNvPr descr="../tesis/figuras/fig6_3_varianza_por_bloque.png" id="105" name="Picture"/>
                    <pic:cNvPicPr>
                      <a:picLocks noChangeArrowheads="1" noChangeAspect="1"/>
                    </pic:cNvPicPr>
                  </pic:nvPicPr>
                  <pic:blipFill>
                    <a:blip r:embed="rId10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6.3. Varianza de la deuda en 2035 por bloque de shocks. Participación de cada bloque de shocks estructurales en la varianza de la deuda simulada en 2035. Las barras de error son el intervalo de 90% entre réplicas de parámetros.</w:t>
      </w:r>
    </w:p>
    <w:bookmarkEnd w:id="106"/>
    <w:bookmarkStart w:id="107" w:name="contraste-de-h1b"/>
    <w:p>
      <w:pPr>
        <w:pStyle w:val="Heading2"/>
      </w:pPr>
      <w:r>
        <w:t xml:space="preserve">6.4 Contraste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Criterio (límite inferior &gt; 3%)</w:t>
            </w:r>
          </w:p>
        </w:tc>
      </w:tr>
      <w:tr>
        <w:tc>
          <w:tcPr/>
          <w:p>
            <w:pPr>
              <w:pStyle w:val="Compact"/>
            </w:pPr>
            <w:r>
              <w:rPr>
                <w:rFonts w:ascii="Calibri" w:hAnsi="Calibri"/>
                <w:sz w:val="20"/>
              </w:rPr>
              <w:t xml:space="preserve">2030 (cinco años, el horizonte del FMI)</w:t>
            </w:r>
          </w:p>
        </w:tc>
        <w:tc>
          <w:tcPr/>
          <w:p>
            <w:pPr>
              <w:pStyle w:val="Compact"/>
            </w:pPr>
            <w:r>
              <w:rPr>
                <w:rFonts w:ascii="Calibri" w:hAnsi="Calibri"/>
                <w:sz w:val="20"/>
              </w:rPr>
              <w:t xml:space="preserve">11,8%</w:t>
            </w:r>
          </w:p>
        </w:tc>
        <w:tc>
          <w:tcPr/>
          <w:p>
            <w:pPr>
              <w:pStyle w:val="Compact"/>
            </w:pPr>
            <w:r>
              <w:rPr>
                <w:rFonts w:ascii="Calibri" w:hAnsi="Calibri"/>
                <w:sz w:val="20"/>
              </w:rPr>
              <w:t xml:space="preserve">[8,0; 15,8]</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6,0%</w:t>
            </w:r>
          </w:p>
        </w:tc>
        <w:tc>
          <w:tcPr/>
          <w:p>
            <w:pPr>
              <w:pStyle w:val="Compact"/>
            </w:pPr>
            <w:r>
              <w:rPr>
                <w:rFonts w:ascii="Calibri" w:hAnsi="Calibri"/>
                <w:sz w:val="20"/>
              </w:rPr>
              <w:t xml:space="preserve">[3,0; 9,8]</w:t>
            </w:r>
          </w:p>
        </w:tc>
        <w:tc>
          <w:tcPr/>
          <w:p>
            <w:pPr>
              <w:pStyle w:val="Compact"/>
            </w:pPr>
            <w:r>
              <w:rPr>
                <w:rFonts w:ascii="Calibri" w:hAnsi="Calibri"/>
                <w:sz w:val="20"/>
              </w:rPr>
              <w:t xml:space="preserve">Límite inferior igual al umbral</w:t>
            </w:r>
          </w:p>
        </w:tc>
      </w:tr>
    </w:tbl>
    <w:p>
      <w:pPr>
        <w:pStyle w:val="BodyText"/>
      </w:pPr>
      <w:r>
        <w:t xml:space="preserve">A cinco años, la probabilidad de que la deuda consolidada no se estabilice es de 11,8%, casi cuatro veces el 3% del FMI, y el intervalo de 90% queda entero por encima del umbral.</w:t>
      </w:r>
      <w:r>
        <w:t xml:space="preserve"> </w:t>
      </w:r>
      <w:r>
        <w:rPr>
          <w:b/>
          <w:bCs/>
        </w:rPr>
        <w:t xml:space="preserve">H1b queda respaldada en el horizonte en que el FMI mide su métrica.</w:t>
      </w:r>
      <w:r>
        <w:t xml:space="preserve"> </w:t>
      </w:r>
      <w:r>
        <w:t xml:space="preserve">A diez años la probabilidad baja a 6,0%, porque el escenario base sigue reduciendo la deuda y cada vez menos trayectorias terminan con la deuda en aumento. El límite inferior del intervalo coincide con el 3%, así que a diez años el contraste no rechaza que la probabilidad sea igual a la del FMI.</w:t>
      </w:r>
    </w:p>
    <w:bookmarkEnd w:id="107"/>
    <w:bookmarkStart w:id="108" w:name="contraste-de-h2"/>
    <w:p>
      <w:pPr>
        <w:pStyle w:val="Heading2"/>
      </w:pPr>
      <w:r>
        <w:t xml:space="preserve">6.5 Contraste de H2</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Diferencia en la probabilidad de no estabilización en 2035</w:t>
            </w:r>
          </w:p>
        </w:tc>
        <w:tc>
          <w:tcPr/>
          <w:p>
            <w:pPr>
              <w:pStyle w:val="Compact"/>
            </w:pPr>
            <w:r>
              <w:rPr>
                <w:rFonts w:ascii="Calibri" w:hAnsi="Calibri"/>
                <w:sz w:val="20"/>
              </w:rPr>
              <w:t xml:space="preserve">Diferencia en la deuda media en 2035</w:t>
            </w:r>
          </w:p>
        </w:tc>
      </w:tr>
      <w:tr>
        <w:tc>
          <w:tcPr/>
          <w:p>
            <w:pPr>
              <w:pStyle w:val="Compact"/>
            </w:pPr>
            <w:r>
              <w:rPr>
                <w:rFonts w:ascii="Calibri" w:hAnsi="Calibri"/>
                <w:sz w:val="20"/>
              </w:rPr>
              <w:t xml:space="preserve">Suba de un desvío estándar (0,50 pp)</w:t>
            </w:r>
          </w:p>
        </w:tc>
        <w:tc>
          <w:tcPr/>
          <w:p>
            <w:pPr>
              <w:pStyle w:val="Compact"/>
            </w:pPr>
            <w:r>
              <w:rPr>
                <w:rFonts w:ascii="Calibri" w:hAnsi="Calibri"/>
                <w:sz w:val="20"/>
              </w:rPr>
              <w:t xml:space="preserve">+0,5 pp [0,0; 1,5]</w:t>
            </w:r>
          </w:p>
        </w:tc>
        <w:tc>
          <w:tcPr/>
          <w:p>
            <w:pPr>
              <w:pStyle w:val="Compact"/>
            </w:pPr>
            <w:r>
              <w:rPr>
                <w:rFonts w:ascii="Calibri" w:hAnsi="Calibri"/>
                <w:sz w:val="20"/>
              </w:rPr>
              <w:t xml:space="preserve">+0,7 pp del PIB</w:t>
            </w:r>
          </w:p>
        </w:tc>
      </w:tr>
      <w:tr>
        <w:tc>
          <w:tcPr/>
          <w:p>
            <w:pPr>
              <w:pStyle w:val="Compact"/>
            </w:pPr>
            <w:r>
              <w:rPr>
                <w:rFonts w:ascii="Calibri" w:hAnsi="Calibri"/>
                <w:sz w:val="20"/>
              </w:rPr>
              <w:t xml:space="preserve">Repetición del ciclo 2022-2023 (+5,25 pp en ocho trimestres)</w:t>
            </w:r>
          </w:p>
        </w:tc>
        <w:tc>
          <w:tcPr/>
          <w:p>
            <w:pPr>
              <w:pStyle w:val="Compact"/>
            </w:pPr>
            <w:r>
              <w:rPr>
                <w:rFonts w:ascii="Calibri" w:hAnsi="Calibri"/>
                <w:sz w:val="20"/>
              </w:rPr>
              <w:t xml:space="preserve">+7,7 pp [2,5; 16,0]</w:t>
            </w:r>
          </w:p>
        </w:tc>
        <w:tc>
          <w:tcPr/>
          <w:p>
            <w:pPr>
              <w:pStyle w:val="Compact"/>
            </w:pPr>
            <w:r>
              <w:rPr>
                <w:rFonts w:ascii="Calibri" w:hAnsi="Calibri"/>
                <w:sz w:val="20"/>
              </w:rPr>
              <w:t xml:space="preserve">+7,0 pp del PIB [1,4; 16,0]</w:t>
            </w:r>
          </w:p>
        </w:tc>
      </w:tr>
    </w:tbl>
    <w:p>
      <w:pPr>
        <w:pStyle w:val="BodyText"/>
      </w:pPr>
      <w:r>
        <w:t xml:space="preserve">Entre corchetes, los intervalos de 90%.</w:t>
      </w:r>
    </w:p>
    <w:p>
      <w:pPr>
        <w:pStyle w:val="BodyText"/>
      </w:pPr>
      <w:r>
        <w:t xml:space="preserve">Con un shock de un desvío estándar, el intervalo de la diferencia en la probabilidad toca el cero, de modo que no hay un efecto distinguible. Con una suba como la de 2022-2023, la probabilidad de no estabilización en 2035 sube 7,7 puntos y la deuda esperada, 7,0 puntos del PIB, y los dos intervalos excluyen el cero.</w:t>
      </w:r>
      <w:r>
        <w:t xml:space="preserve"> </w:t>
      </w:r>
      <w:r>
        <w:rPr>
          <w:b/>
          <w:bCs/>
        </w:rPr>
        <w:t xml:space="preserve">H2 queda respaldada para un endurecimiento de la magnitud del de 2022-2023, y no para un shock de un desvío estándar.</w:t>
      </w:r>
    </w:p>
    <w:p>
      <w:pPr>
        <w:pStyle w:val="BodyText"/>
      </w:pPr>
      <w:r>
        <w:t xml:space="preserve">Para saber por qué canal pasa el efecto, se repitió el escenario de 2022-2023 anulando la respuesta de las variables domésticas a la FED, de modo que solo actúa el mayor costo de refinanciar la deuda en dólares. Con los parámetros estimados, ese costo directo explica 4,7 de los 7,3 puntos de aumento de la deuda en 2035 (dos tercios). El tercio restante corresponde a la respuesta del riesgo país, el tipo de cambio real y el crecimiento, que en conjunto empujan en la misma dirección aunque, como se vio en la sección 6.1, ninguna de esas respuestas es significativa por separado.</w:t>
      </w:r>
    </w:p>
    <w:bookmarkEnd w:id="108"/>
    <w:bookmarkStart w:id="112" w:name="robustez"/>
    <w:p>
      <w:pPr>
        <w:pStyle w:val="Heading2"/>
      </w:pPr>
      <w:r>
        <w:t xml:space="preserve">6.6 Robustez</w:t>
      </w:r>
    </w:p>
    <w:p>
      <w:pPr>
        <w:pStyle w:val="FirstParagraph"/>
      </w:pPr>
      <w:r>
        <w:rPr>
          <w:b/>
          <w:bCs/>
        </w:rPr>
        <w:t xml:space="preserve">Perímetro de la deuda.</w:t>
      </w:r>
      <w:r>
        <w:t xml:space="preserve"> </w:t>
      </w:r>
      <w:r>
        <w:t xml:space="preserve">Con la deuda neta a valor libros y con la deuda bruta, los resultados cambian poco. La probabilidad de no estabilización a cinco años es de 13,0% y 12,7%, con límites inferiores de 9,0% y 9,0%. A diez años es de 6,8% y 7,3%, y en los dos casos el límite inferior (3,3% y 4,0%) queda por encima del 3%. La contribución de los shocks no fiscales supera a la del fiscal en las dos variantes, aunque con la deuda bruta el límite inferior de la diferencia queda prácticamente en cero (0,1 puntos). El efecto del ciclo 2022-2023 sobre la probabilidad a diez años es de 8,2 y 7,2 puntos, con intervalos que excluyen el cero.</w:t>
      </w:r>
    </w:p>
    <w:p>
      <w:pPr>
        <w:pStyle w:val="BodyText"/>
      </w:pPr>
      <w:r>
        <w:rPr>
          <w:b/>
          <w:bCs/>
        </w:rPr>
        <w:t xml:space="preserve">Canal de tasas domésticas.</w:t>
      </w:r>
      <w:r>
        <w:t xml:space="preserve"> </w:t>
      </w:r>
      <w:r>
        <w:t xml:space="preserve">Si el riesgo país también encarece la deuda en pesos (sección 4.6), la probabilidad de no estabilización sube a 12,2% a cinco años y a 7,6% a diez años, con límites inferiores de 8,5% y 3,7%: con este canal, H1b queda respaldada en los dos horizontes. El bloque cambiario y de riesgo pasa a explicar 66,9% de la varianza de la deuda en 2035 y el efecto del ciclo 2022-2023 sube a 9,0 puntos de probabilidad.</w:t>
      </w:r>
    </w:p>
    <w:p>
      <w:pPr>
        <w:pStyle w:val="BodyText"/>
      </w:pPr>
      <w:r>
        <w:rPr>
          <w:b/>
          <w:bCs/>
        </w:rPr>
        <w:t xml:space="preserve">Sin retroalimentación de la deuda.</w:t>
      </w:r>
      <w:r>
        <w:t xml:space="preserve"> </w:t>
      </w:r>
      <w:r>
        <w:t xml:space="preserve">Si se anula el efecto de la deuda rezagada sobre las cuatro variables, la deuda se acumula por la identidad pero ya no realimenta al sistema. En ese caso, la probabilidad de no estabilización es de 11,6% a cinco años y de 5,7% a diez, el abanico se ensancha de 19,4 a 20,9 puntos y la contribución de los shocks no fiscales casi no cambia (61,4 puntos de diferencia con el fiscal). Los dos mecanismos de la sección 6.1 se compensan: el aumento del riesgo país que provoca una deuda mayor queda contrarrestado por la respuesta del superávit. La retroalimentación importa para la forma de la dinámica, pero no cambia las conclusiones sobre las hipótesis.</w:t>
      </w:r>
    </w:p>
    <w:p>
      <w:pPr>
        <w:pStyle w:val="BodyText"/>
      </w:pPr>
      <w:r>
        <w:rPr>
          <w:b/>
          <w:bCs/>
        </w:rPr>
        <w:t xml:space="preserve">Shocks como los del FMI.</w:t>
      </w:r>
      <w:r>
        <w:t xml:space="preserve"> </w:t>
      </w:r>
      <w:r>
        <w:t xml:space="preserve">Con el procedimiento del abanico del FMI aplicado a las mismas series (sección 4.6), la probabilidad de no estabilización es de 23,5% a cinco años y de 15,1% a diez años, y el ancho del abanico en 2030 es de 93,3 puntos. Con la deuda bruta, las cifras son 25,2%, 17,4% y 118,4. Las dos formas de generar los shocks llevan a la misma conclusión sobre H1b. La del FMI da probabilidades y anchos mucho mayores.</w:t>
      </w:r>
    </w:p>
    <w:p>
      <w:pPr>
        <w:pStyle w:val="BodyText"/>
      </w:pPr>
      <w:r>
        <w:rPr>
          <w:b/>
          <w:bCs/>
        </w:rPr>
        <w:t xml:space="preserve">Tabla 6.2. Resumen de robustez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SVARX, deuda neta (principal)</w:t>
            </w:r>
          </w:p>
        </w:tc>
        <w:tc>
          <w:tcPr/>
          <w:p>
            <w:pPr>
              <w:pStyle w:val="Compact"/>
            </w:pPr>
            <w:r>
              <w:rPr>
                <w:rFonts w:ascii="Calibri" w:hAnsi="Calibri"/>
                <w:sz w:val="20"/>
              </w:rPr>
              <w:t xml:space="preserve">11,8% [8,0; 15,8]</w:t>
            </w:r>
          </w:p>
        </w:tc>
        <w:tc>
          <w:tcPr/>
          <w:p>
            <w:pPr>
              <w:pStyle w:val="Compact"/>
            </w:pPr>
            <w:r>
              <w:rPr>
                <w:rFonts w:ascii="Calibri" w:hAnsi="Calibri"/>
                <w:sz w:val="20"/>
              </w:rPr>
              <w:t xml:space="preserve">6,0% [3,0; 9,8]</w:t>
            </w:r>
          </w:p>
        </w:tc>
        <w:tc>
          <w:tcPr/>
          <w:p>
            <w:pPr>
              <w:pStyle w:val="Compact"/>
            </w:pPr>
            <w:r>
              <w:rPr>
                <w:rFonts w:ascii="Calibri" w:hAnsi="Calibri"/>
                <w:sz w:val="20"/>
              </w:rPr>
              <w:t xml:space="preserve">19,4</w:t>
            </w:r>
          </w:p>
        </w:tc>
      </w:tr>
      <w:tr>
        <w:tc>
          <w:tcPr/>
          <w:p>
            <w:pPr>
              <w:pStyle w:val="Compact"/>
            </w:pPr>
            <w:r>
              <w:rPr>
                <w:rFonts w:ascii="Calibri" w:hAnsi="Calibri"/>
                <w:sz w:val="20"/>
              </w:rPr>
              <w:t xml:space="preserve">SVARX, deuda neta a valor libros</w:t>
            </w:r>
          </w:p>
        </w:tc>
        <w:tc>
          <w:tcPr/>
          <w:p>
            <w:pPr>
              <w:pStyle w:val="Compact"/>
            </w:pPr>
            <w:r>
              <w:rPr>
                <w:rFonts w:ascii="Calibri" w:hAnsi="Calibri"/>
                <w:sz w:val="20"/>
              </w:rPr>
              <w:t xml:space="preserve">13,0% [9,0; 17,8]</w:t>
            </w:r>
          </w:p>
        </w:tc>
        <w:tc>
          <w:tcPr/>
          <w:p>
            <w:pPr>
              <w:pStyle w:val="Compact"/>
            </w:pPr>
            <w:r>
              <w:rPr>
                <w:rFonts w:ascii="Calibri" w:hAnsi="Calibri"/>
                <w:sz w:val="20"/>
              </w:rPr>
              <w:t xml:space="preserve">6,8% [3,3; 10,8]</w:t>
            </w:r>
          </w:p>
        </w:tc>
        <w:tc>
          <w:tcPr/>
          <w:p>
            <w:pPr>
              <w:pStyle w:val="Compact"/>
            </w:pPr>
            <w:r>
              <w:rPr>
                <w:rFonts w:ascii="Calibri" w:hAnsi="Calibri"/>
                <w:sz w:val="20"/>
              </w:rPr>
              <w:t xml:space="preserve">19,9</w:t>
            </w:r>
          </w:p>
        </w:tc>
      </w:tr>
      <w:tr>
        <w:tc>
          <w:tcPr/>
          <w:p>
            <w:pPr>
              <w:pStyle w:val="Compact"/>
            </w:pPr>
            <w:r>
              <w:rPr>
                <w:rFonts w:ascii="Calibri" w:hAnsi="Calibri"/>
                <w:sz w:val="20"/>
              </w:rPr>
              <w:t xml:space="preserve">SVARX, deuda bruta</w:t>
            </w:r>
          </w:p>
        </w:tc>
        <w:tc>
          <w:tcPr/>
          <w:p>
            <w:pPr>
              <w:pStyle w:val="Compact"/>
            </w:pPr>
            <w:r>
              <w:rPr>
                <w:rFonts w:ascii="Calibri" w:hAnsi="Calibri"/>
                <w:sz w:val="20"/>
              </w:rPr>
              <w:t xml:space="preserve">12,7% [9,0; 17,0]</w:t>
            </w:r>
          </w:p>
        </w:tc>
        <w:tc>
          <w:tcPr/>
          <w:p>
            <w:pPr>
              <w:pStyle w:val="Compact"/>
            </w:pPr>
            <w:r>
              <w:rPr>
                <w:rFonts w:ascii="Calibri" w:hAnsi="Calibri"/>
                <w:sz w:val="20"/>
              </w:rPr>
              <w:t xml:space="preserve">7,3% [4,0; 11,3]</w:t>
            </w:r>
          </w:p>
        </w:tc>
        <w:tc>
          <w:tcPr/>
          <w:p>
            <w:pPr>
              <w:pStyle w:val="Compact"/>
            </w:pPr>
            <w:r>
              <w:rPr>
                <w:rFonts w:ascii="Calibri" w:hAnsi="Calibri"/>
                <w:sz w:val="20"/>
              </w:rPr>
              <w:t xml:space="preserve">20,9</w:t>
            </w:r>
          </w:p>
        </w:tc>
      </w:tr>
      <w:tr>
        <w:tc>
          <w:tcPr/>
          <w:p>
            <w:pPr>
              <w:pStyle w:val="Compact"/>
            </w:pPr>
            <w:r>
              <w:rPr>
                <w:rFonts w:ascii="Calibri" w:hAnsi="Calibri"/>
                <w:sz w:val="20"/>
              </w:rPr>
              <w:t xml:space="preserve">SVARX, deuda neta con canal de tasas domésticas</w:t>
            </w:r>
          </w:p>
        </w:tc>
        <w:tc>
          <w:tcPr/>
          <w:p>
            <w:pPr>
              <w:pStyle w:val="Compact"/>
            </w:pPr>
            <w:r>
              <w:rPr>
                <w:rFonts w:ascii="Calibri" w:hAnsi="Calibri"/>
                <w:sz w:val="20"/>
              </w:rPr>
              <w:t xml:space="preserve">12,2% [8,5; 16,0]</w:t>
            </w:r>
          </w:p>
        </w:tc>
        <w:tc>
          <w:tcPr/>
          <w:p>
            <w:pPr>
              <w:pStyle w:val="Compact"/>
            </w:pPr>
            <w:r>
              <w:rPr>
                <w:rFonts w:ascii="Calibri" w:hAnsi="Calibri"/>
                <w:sz w:val="20"/>
              </w:rPr>
              <w:t xml:space="preserve">7,6% [3,7; 12,0]</w:t>
            </w:r>
          </w:p>
        </w:tc>
        <w:tc>
          <w:tcPr/>
          <w:p>
            <w:pPr>
              <w:pStyle w:val="Compact"/>
            </w:pPr>
            <w:r>
              <w:rPr>
                <w:rFonts w:ascii="Calibri" w:hAnsi="Calibri"/>
                <w:sz w:val="20"/>
              </w:rPr>
              <w:t xml:space="preserve">21,3</w:t>
            </w:r>
          </w:p>
        </w:tc>
      </w:tr>
      <w:tr>
        <w:tc>
          <w:tcPr/>
          <w:p>
            <w:pPr>
              <w:pStyle w:val="Compact"/>
            </w:pPr>
            <w:r>
              <w:rPr>
                <w:rFonts w:ascii="Calibri" w:hAnsi="Calibri"/>
                <w:sz w:val="20"/>
              </w:rPr>
              <w:t xml:space="preserve">SVARX, deuda neta sin retroalimentación de la deuda</w:t>
            </w:r>
          </w:p>
        </w:tc>
        <w:tc>
          <w:tcPr/>
          <w:p>
            <w:pPr>
              <w:pStyle w:val="Compact"/>
            </w:pPr>
            <w:r>
              <w:rPr>
                <w:rFonts w:ascii="Calibri" w:hAnsi="Calibri"/>
                <w:sz w:val="20"/>
              </w:rPr>
              <w:t xml:space="preserve">11,6% [7,8; 15,5]</w:t>
            </w:r>
          </w:p>
        </w:tc>
        <w:tc>
          <w:tcPr/>
          <w:p>
            <w:pPr>
              <w:pStyle w:val="Compact"/>
            </w:pPr>
            <w:r>
              <w:rPr>
                <w:rFonts w:ascii="Calibri" w:hAnsi="Calibri"/>
                <w:sz w:val="20"/>
              </w:rPr>
              <w:t xml:space="preserve">5,7% [2,8; 9,3]</w:t>
            </w:r>
          </w:p>
        </w:tc>
        <w:tc>
          <w:tcPr/>
          <w:p>
            <w:pPr>
              <w:pStyle w:val="Compact"/>
            </w:pPr>
            <w:r>
              <w:rPr>
                <w:rFonts w:ascii="Calibri" w:hAnsi="Calibri"/>
                <w:sz w:val="20"/>
              </w:rPr>
              <w:t xml:space="preserve">20,9</w:t>
            </w:r>
          </w:p>
        </w:tc>
      </w:tr>
      <w:tr>
        <w:tc>
          <w:tcPr/>
          <w:p>
            <w:pPr>
              <w:pStyle w:val="Compact"/>
            </w:pPr>
            <w:r>
              <w:rPr>
                <w:rFonts w:ascii="Calibri" w:hAnsi="Calibri"/>
                <w:sz w:val="20"/>
              </w:rPr>
              <w:t xml:space="preserve">Shocks a la manera del FMI, deuda neta</w:t>
            </w:r>
          </w:p>
        </w:tc>
        <w:tc>
          <w:tcPr/>
          <w:p>
            <w:pPr>
              <w:pStyle w:val="Compact"/>
            </w:pPr>
            <w:r>
              <w:rPr>
                <w:rFonts w:ascii="Calibri" w:hAnsi="Calibri"/>
                <w:sz w:val="20"/>
              </w:rPr>
              <w:t xml:space="preserve">23,5%</w:t>
            </w:r>
          </w:p>
        </w:tc>
        <w:tc>
          <w:tcPr/>
          <w:p>
            <w:pPr>
              <w:pStyle w:val="Compact"/>
            </w:pPr>
            <w:r>
              <w:rPr>
                <w:rFonts w:ascii="Calibri" w:hAnsi="Calibri"/>
                <w:sz w:val="20"/>
              </w:rPr>
              <w:t xml:space="preserve">15,1%</w:t>
            </w:r>
          </w:p>
        </w:tc>
        <w:tc>
          <w:tcPr/>
          <w:p>
            <w:pPr>
              <w:pStyle w:val="Compact"/>
            </w:pPr>
            <w:r>
              <w:rPr>
                <w:rFonts w:ascii="Calibri" w:hAnsi="Calibri"/>
                <w:sz w:val="20"/>
              </w:rPr>
              <w:t xml:space="preserve">93,3</w:t>
            </w:r>
          </w:p>
        </w:tc>
      </w:tr>
      <w:tr>
        <w:tc>
          <w:tcPr/>
          <w:p>
            <w:pPr>
              <w:pStyle w:val="Compact"/>
            </w:pPr>
            <w:r>
              <w:rPr>
                <w:rFonts w:ascii="Calibri" w:hAnsi="Calibri"/>
                <w:sz w:val="20"/>
              </w:rPr>
              <w:t xml:space="preserve">Shocks a la manera del FMI, deuda bruta</w:t>
            </w:r>
          </w:p>
        </w:tc>
        <w:tc>
          <w:tcPr/>
          <w:p>
            <w:pPr>
              <w:pStyle w:val="Compact"/>
            </w:pPr>
            <w:r>
              <w:rPr>
                <w:rFonts w:ascii="Calibri" w:hAnsi="Calibri"/>
                <w:sz w:val="20"/>
              </w:rPr>
              <w:t xml:space="preserve">25,2%</w:t>
            </w:r>
          </w:p>
        </w:tc>
        <w:tc>
          <w:tcPr/>
          <w:p>
            <w:pPr>
              <w:pStyle w:val="Compact"/>
            </w:pPr>
            <w:r>
              <w:rPr>
                <w:rFonts w:ascii="Calibri" w:hAnsi="Calibri"/>
                <w:sz w:val="20"/>
              </w:rPr>
              <w:t xml:space="preserve">17,4%</w:t>
            </w:r>
          </w:p>
        </w:tc>
        <w:tc>
          <w:tcPr/>
          <w:p>
            <w:pPr>
              <w:pStyle w:val="Compact"/>
            </w:pPr>
            <w:r>
              <w:rPr>
                <w:rFonts w:ascii="Calibri" w:hAnsi="Calibri"/>
                <w:sz w:val="20"/>
              </w:rPr>
              <w:t xml:space="preserve">118,4</w:t>
            </w:r>
          </w:p>
        </w:tc>
      </w:tr>
      <w:tr>
        <w:tc>
          <w:tcPr/>
          <w:p>
            <w:pPr>
              <w:pStyle w:val="Compact"/>
            </w:pPr>
            <w:r>
              <w:rPr>
                <w:rFonts w:ascii="Calibri" w:hAnsi="Calibri"/>
                <w:sz w:val="20"/>
              </w:rPr>
              <w:t xml:space="preserve">FMI (2025), deuda federal bruta</w:t>
            </w:r>
          </w:p>
        </w:tc>
        <w:tc>
          <w:tcPr/>
          <w:p>
            <w:pPr>
              <w:pStyle w:val="Compact"/>
            </w:pPr>
            <w:r>
              <w:rPr>
                <w:rFonts w:ascii="Calibri" w:hAnsi="Calibri"/>
                <w:sz w:val="20"/>
              </w:rPr>
              <w:t xml:space="preserve">3,0%</w:t>
            </w:r>
          </w:p>
        </w:tc>
        <w:tc>
          <w:tcPr/>
          <w:p>
            <w:pPr>
              <w:pStyle w:val="Compact"/>
            </w:pPr>
          </w:p>
        </w:tc>
        <w:tc>
          <w:tcPr/>
          <w:p>
            <w:pPr>
              <w:pStyle w:val="Compact"/>
            </w:pPr>
            <w:r>
              <w:rPr>
                <w:rFonts w:ascii="Calibri" w:hAnsi="Calibri"/>
                <w:sz w:val="20"/>
              </w:rPr>
              <w:t xml:space="preserve">74,2</w:t>
            </w:r>
          </w:p>
        </w:tc>
      </w:tr>
    </w:tbl>
    <w:p>
      <w:pPr>
        <w:pStyle w:val="BodyText"/>
      </w:pPr>
      <w:r>
        <w:t xml:space="preserve">Entre corchetes, los intervalos de 90% del</w:t>
      </w:r>
      <w:r>
        <w:t xml:space="preserve"> </w:t>
      </w:r>
      <w:r>
        <w:rPr>
          <w:i/>
          <w:iCs/>
        </w:rPr>
        <w:t xml:space="preserve">bootstrap</w:t>
      </w:r>
      <w:r>
        <w:t xml:space="preserve"> </w:t>
      </w:r>
      <w:r>
        <w:t xml:space="preserve">de parámetros. Las filas a la manera del FMI no tienen intervalo porque ese procedimiento no estima parámetros.</w:t>
      </w:r>
    </w:p>
    <w:p>
      <w:pPr>
        <w:pStyle w:val="BodyText"/>
      </w:pPr>
      <w:r>
        <w:t xml:space="preserve">La Figura 6.4 resume la tabla: en todas las especificaciones, la barra de 2030 y su intervalo quedan por encima del 3% del FMI.</w:t>
      </w:r>
    </w:p>
    <w:p>
      <w:pPr>
        <w:pStyle w:val="CaptionedFigure"/>
      </w:pPr>
      <w:r>
        <w:drawing>
          <wp:inline>
            <wp:extent cx="5334000" cy="2590800"/>
            <wp:effectExtent b="0" l="0" r="0" t="0"/>
            <wp:docPr descr="Figura 6.4. Probabilidad de no estabilización por especificación. A cinco y a diez años, con intervalos de 90% del bootstrap de parámetros, y el 3% del FMI (2025). La variante a la manera del FMI no tiene intervalo porque no estima parámetros." title="" id="110" name="Picture"/>
            <a:graphic>
              <a:graphicData uri="http://schemas.openxmlformats.org/drawingml/2006/picture">
                <pic:pic>
                  <pic:nvPicPr>
                    <pic:cNvPr descr="../tesis/figuras/fig6_4_probabilidad_no_estabilizacion.png" id="111" name="Picture"/>
                    <pic:cNvPicPr>
                      <a:picLocks noChangeArrowheads="1" noChangeAspect="1"/>
                    </pic:cNvPicPr>
                  </pic:nvPicPr>
                  <pic:blipFill>
                    <a:blip r:embed="rId109"/>
                    <a:stretch>
                      <a:fillRect/>
                    </a:stretch>
                  </pic:blipFill>
                  <pic:spPr bwMode="auto">
                    <a:xfrm>
                      <a:off x="0" y="0"/>
                      <a:ext cx="5334000" cy="2590800"/>
                    </a:xfrm>
                    <a:prstGeom prst="rect">
                      <a:avLst/>
                    </a:prstGeom>
                    <a:noFill/>
                    <a:ln w="9525">
                      <a:noFill/>
                      <a:headEnd/>
                      <a:tailEnd/>
                    </a:ln>
                  </pic:spPr>
                </pic:pic>
              </a:graphicData>
            </a:graphic>
          </wp:inline>
        </w:drawing>
      </w:r>
    </w:p>
    <w:p>
      <w:pPr>
        <w:pStyle w:val="ImageCaption"/>
      </w:pPr>
      <w:r>
        <w:t xml:space="preserve">Figura 6.4. Probabilidad de no estabilización por especificación. A cinco y a diez años, con intervalos de 90% del bootstrap de parámetros, y el 3% del FMI (2025). La variante a la manera del FMI no tiene intervalo porque no estima parámetros.</w:t>
      </w:r>
    </w:p>
    <w:bookmarkEnd w:id="112"/>
    <w:bookmarkEnd w:id="113"/>
    <w:bookmarkStart w:id="125" w:name="discusión"/>
    <w:p>
      <w:pPr>
        <w:pStyle w:val="Heading1"/>
      </w:pPr>
      <w:r>
        <w:t xml:space="preserve">7. Discusión</w:t>
      </w:r>
    </w:p>
    <w:bookmarkStart w:id="114" w:name="Xd2bfaf14c1e57bc7fc44159cc760bdc22586e66"/>
    <w:p>
      <w:pPr>
        <w:pStyle w:val="Heading2"/>
      </w:pPr>
      <w:r>
        <w:t xml:space="preserve">7.1 Qué cambia respecto del diagnóstico del FMI</w:t>
      </w:r>
    </w:p>
    <w:p>
      <w:pPr>
        <w:pStyle w:val="FirstParagraph"/>
      </w:pPr>
      <w:r>
        <w:t xml:space="preserve">El FMI (2025, anexo II) concluye que la deuda argentina es sostenible pero no con alta probabilidad, y estima en alrededor de 97% la probabilidad de que se estabilice. Esta tesis llega a un diagnóstico más exigente con el mismo escenario base. Con shocks identificados y el perímetro consolidado, la probabilidad de no estabilización a cinco años es de 11,8%, con un intervalo de 90% de 8,0% a 15,8%. Como el escenario base es el mismo, la diferencia no viene de supuestos más pesimistas sobre crecimiento, superávit o tasas. Viene de la forma de representar la incertidumbre alrededor de esos supuestos, que es la vacancia que plantea la sección 2.9.</w:t>
      </w:r>
    </w:p>
    <w:p>
      <w:pPr>
        <w:pStyle w:val="BodyText"/>
      </w:pPr>
      <w:r>
        <w:t xml:space="preserve">A diez años la diferencia se achica: 6,0%, con un límite inferior que coincide con el 3%. No es una contradicción. La métrica del FMI pregunta si el ajuste del escenario base alcanza para poner la deuda en una senda descendente (FMI, 2021, anexo VI, nota 9). En el escenario del FMI la deuda baja rápido, de modo que hacia 2035 quedan pocas trayectorias en las que el superávit previsto resulte insuficiente. El riesgo se concentra en los primeros años, que son también los que el FMI mira para su calificación de riesgo a mediano plazo.</w:t>
      </w:r>
    </w:p>
    <w:bookmarkEnd w:id="114"/>
    <w:bookmarkStart w:id="121" w:name="X296fb36fe1945ef431d31692b730d7f1c364e24"/>
    <w:p>
      <w:pPr>
        <w:pStyle w:val="Heading2"/>
      </w:pPr>
      <w:r>
        <w:t xml:space="preserve">7.2 Por qué el abanico es más angosto y, aun así, la probabilidad es mayor</w:t>
      </w:r>
    </w:p>
    <w:p>
      <w:pPr>
        <w:pStyle w:val="FirstParagraph"/>
      </w:pPr>
      <w:r>
        <w:t xml:space="preserve">El ancho del abanico de esta tesis en 2030 es de 19,4 puntos del PIB, contra 74,2 del FMI. A primera vista, un abanico cuatro veces más angosto debería dar una probabilidad de no estabilización menor, no mayor. La variante con shocks a la manera del FMI (sección 6.6) permite separar las causas, porque usa los mismos datos, la misma identidad y la misma métrica, y cambia solo la forma de generar los shocks.</w:t>
      </w:r>
    </w:p>
    <w:p>
      <w:pPr>
        <w:pStyle w:val="BodyText"/>
      </w:pPr>
      <w:r>
        <w:rPr>
          <w:b/>
          <w:bCs/>
        </w:rPr>
        <w:t xml:space="preserve">El ancho depende de cómo se generan los shocks, no del perímetro.</w:t>
      </w:r>
      <w:r>
        <w:t xml:space="preserve"> </w:t>
      </w:r>
      <w:r>
        <w:t xml:space="preserve">Con el procedimiento del FMI aplicado a la deuda neta, el ancho es de 93,3 puntos, del mismo orden que el del FMI. Con el SVARX, la deuda bruta da 20,9 puntos, casi lo mismo que la neta. El perímetro mueve el ancho en uno o dos puntos y la forma de los shocks lo multiplica por cuatro.</w:t>
      </w:r>
    </w:p>
    <w:p>
      <w:pPr>
        <w:pStyle w:val="BodyText"/>
      </w:pPr>
      <w:r>
        <w:t xml:space="preserve">La Figura 7.1 compara los dos abanicos. Las medianas son casi iguales, porque las fija el escenario base; lo que cambia es la dispersión.</w:t>
      </w:r>
    </w:p>
    <w:p>
      <w:pPr>
        <w:pStyle w:val="CaptionedFigure"/>
      </w:pPr>
      <w:r>
        <w:drawing>
          <wp:inline>
            <wp:extent cx="5334000" cy="2895600"/>
            <wp:effectExtent b="0" l="0" r="0" t="0"/>
            <wp:docPr descr="Figura 7.1. Abanicos con shocks del SVARX y con shocks a la manera del FMI. Deuda consolidada neta simulada, percentiles 5 y 95 y mediana (% del PIB). Los shocks a la manera del FMI son bloques de dos años de desvíos históricos, 1997-2025." title="" id="116" name="Picture"/>
            <a:graphic>
              <a:graphicData uri="http://schemas.openxmlformats.org/drawingml/2006/picture">
                <pic:pic>
                  <pic:nvPicPr>
                    <pic:cNvPr descr="../tesis/figuras/fig7_1_abanico_svarx_vs_fmi.png" id="117" name="Picture"/>
                    <pic:cNvPicPr>
                      <a:picLocks noChangeArrowheads="1" noChangeAspect="1"/>
                    </pic:cNvPicPr>
                  </pic:nvPicPr>
                  <pic:blipFill>
                    <a:blip r:embed="rId115"/>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 shocks del SVARX y con shocks a la manera del FMI. Deuda consolidada neta simulada, percentiles 5 y 95 y mediana (% del PIB). Los shocks a la manera del FMI son bloques de dos años de desvíos históricos, 1997-2025.</w:t>
      </w:r>
    </w:p>
    <w:p>
      <w:pPr>
        <w:pStyle w:val="BodyText"/>
      </w:pPr>
      <w:r>
        <w:rPr>
          <w:b/>
          <w:bCs/>
        </w:rPr>
        <w:t xml:space="preserve">Qué ensancha el abanico del procedimiento del FMI.</w:t>
      </w:r>
      <w:r>
        <w:t xml:space="preserve"> </w:t>
      </w:r>
      <w:r>
        <w:t xml:space="preserve">El ejercicio de la Tabla 7.1 repite esa variante quitando el año 2002 o fijando cada impulsor en su media histórica.</w:t>
      </w:r>
    </w:p>
    <w:p>
      <w:pPr>
        <w:pStyle w:val="BodyText"/>
      </w:pPr>
      <w:r>
        <w:rPr>
          <w:b/>
          <w:bCs/>
        </w:rPr>
        <w:t xml:space="preserve">Tabla 7.1. Diagnóstico de la variante con shocks a la manera del FMI (deuda neta)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Todos los años, 1997-2025</w:t>
            </w:r>
          </w:p>
        </w:tc>
        <w:tc>
          <w:tcPr/>
          <w:p>
            <w:pPr>
              <w:pStyle w:val="Compact"/>
            </w:pPr>
            <w:r>
              <w:rPr>
                <w:rFonts w:ascii="Calibri" w:hAnsi="Calibri"/>
                <w:sz w:val="20"/>
              </w:rPr>
              <w:t xml:space="preserve">23,5%</w:t>
            </w:r>
          </w:p>
        </w:tc>
        <w:tc>
          <w:tcPr/>
          <w:p>
            <w:pPr>
              <w:pStyle w:val="Compact"/>
            </w:pPr>
            <w:r>
              <w:rPr>
                <w:rFonts w:ascii="Calibri" w:hAnsi="Calibri"/>
                <w:sz w:val="20"/>
              </w:rPr>
              <w:t xml:space="preserve">15,1%</w:t>
            </w:r>
          </w:p>
        </w:tc>
        <w:tc>
          <w:tcPr/>
          <w:p>
            <w:pPr>
              <w:pStyle w:val="Compact"/>
            </w:pPr>
            <w:r>
              <w:rPr>
                <w:rFonts w:ascii="Calibri" w:hAnsi="Calibri"/>
                <w:sz w:val="20"/>
              </w:rPr>
              <w:t xml:space="preserve">93,3</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23,2%</w:t>
            </w:r>
          </w:p>
        </w:tc>
        <w:tc>
          <w:tcPr/>
          <w:p>
            <w:pPr>
              <w:pStyle w:val="Compact"/>
            </w:pPr>
            <w:r>
              <w:rPr>
                <w:rFonts w:ascii="Calibri" w:hAnsi="Calibri"/>
                <w:sz w:val="20"/>
              </w:rPr>
              <w:t xml:space="preserve">15,0%</w:t>
            </w:r>
          </w:p>
        </w:tc>
        <w:tc>
          <w:tcPr/>
          <w:p>
            <w:pPr>
              <w:pStyle w:val="Compact"/>
            </w:pPr>
            <w:r>
              <w:rPr>
                <w:rFonts w:ascii="Calibri" w:hAnsi="Calibri"/>
                <w:sz w:val="20"/>
              </w:rPr>
              <w:t xml:space="preserve">70,1</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20,4%</w:t>
            </w:r>
          </w:p>
        </w:tc>
        <w:tc>
          <w:tcPr/>
          <w:p>
            <w:pPr>
              <w:pStyle w:val="Compact"/>
            </w:pPr>
            <w:r>
              <w:rPr>
                <w:rFonts w:ascii="Calibri" w:hAnsi="Calibri"/>
                <w:sz w:val="20"/>
              </w:rPr>
              <w:t xml:space="preserve">12,8%</w:t>
            </w:r>
          </w:p>
        </w:tc>
        <w:tc>
          <w:tcPr/>
          <w:p>
            <w:pPr>
              <w:pStyle w:val="Compact"/>
            </w:pPr>
            <w:r>
              <w:rPr>
                <w:rFonts w:ascii="Calibri" w:hAnsi="Calibri"/>
                <w:sz w:val="20"/>
              </w:rPr>
              <w:t xml:space="preserve">69,0</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10,6%</w:t>
            </w:r>
          </w:p>
        </w:tc>
        <w:tc>
          <w:tcPr/>
          <w:p>
            <w:pPr>
              <w:pStyle w:val="Compact"/>
            </w:pPr>
            <w:r>
              <w:rPr>
                <w:rFonts w:ascii="Calibri" w:hAnsi="Calibri"/>
                <w:sz w:val="20"/>
              </w:rPr>
              <w:t xml:space="preserve">7,2%</w:t>
            </w:r>
          </w:p>
        </w:tc>
        <w:tc>
          <w:tcPr/>
          <w:p>
            <w:pPr>
              <w:pStyle w:val="Compact"/>
            </w:pPr>
            <w:r>
              <w:rPr>
                <w:rFonts w:ascii="Calibri" w:hAnsi="Calibri"/>
                <w:sz w:val="20"/>
              </w:rPr>
              <w:t xml:space="preserve">62,2</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22,4%</w:t>
            </w:r>
          </w:p>
        </w:tc>
        <w:tc>
          <w:tcPr/>
          <w:p>
            <w:pPr>
              <w:pStyle w:val="Compact"/>
            </w:pPr>
            <w:r>
              <w:rPr>
                <w:rFonts w:ascii="Calibri" w:hAnsi="Calibri"/>
                <w:sz w:val="20"/>
              </w:rPr>
              <w:t xml:space="preserve">12,1%</w:t>
            </w:r>
          </w:p>
        </w:tc>
        <w:tc>
          <w:tcPr/>
          <w:p>
            <w:pPr>
              <w:pStyle w:val="Compact"/>
            </w:pPr>
            <w:r>
              <w:rPr>
                <w:rFonts w:ascii="Calibri" w:hAnsi="Calibri"/>
                <w:sz w:val="20"/>
              </w:rPr>
              <w:t xml:space="preserve">80,2</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23,3%</w:t>
            </w:r>
          </w:p>
        </w:tc>
        <w:tc>
          <w:tcPr/>
          <w:p>
            <w:pPr>
              <w:pStyle w:val="Compact"/>
            </w:pPr>
            <w:r>
              <w:rPr>
                <w:rFonts w:ascii="Calibri" w:hAnsi="Calibri"/>
                <w:sz w:val="20"/>
              </w:rPr>
              <w:t xml:space="preserve">14,6%</w:t>
            </w:r>
          </w:p>
        </w:tc>
        <w:tc>
          <w:tcPr/>
          <w:p>
            <w:pPr>
              <w:pStyle w:val="Compact"/>
            </w:pPr>
            <w:r>
              <w:rPr>
                <w:rFonts w:ascii="Calibri" w:hAnsi="Calibri"/>
                <w:sz w:val="20"/>
              </w:rPr>
              <w:t xml:space="preserve">95,7</w:t>
            </w:r>
          </w:p>
        </w:tc>
      </w:tr>
    </w:tbl>
    <w:p>
      <w:pPr>
        <w:pStyle w:val="BodyText"/>
      </w:pPr>
      <w:r>
        <w:t xml:space="preserve">Fuente:</w:t>
      </w:r>
      <w:r>
        <w:t xml:space="preserve"> </w:t>
      </w:r>
      <w:r>
        <w:rPr>
          <w:rStyle w:val="VerbatimChar"/>
        </w:rPr>
        <w:t xml:space="preserve">codigo/modelos/fase25b_diagnostico_abanico_fmi.py</w:t>
      </w:r>
      <w:r>
        <w:t xml:space="preserve">.</w:t>
      </w:r>
    </w:p>
    <w:p>
      <w:pPr>
        <w:pStyle w:val="BodyText"/>
      </w:pPr>
      <w:r>
        <w:t xml:space="preserve">Un solo año, 2002, aporta un cuarto del ancho: la depreciación real de ese año (145%) aparece, con probabilidad uno en catorce, en cada bloque de dos años sorteado. La probabilidad de no estabilización, en cambio, depende sobre todo de la tasa real efectiva. Esa tasa pasó de valores positivos durante la convertibilidad (entre 6% y 9% en 1997-2001) a valores muy negativos con la inflación posterior (-56% en 2023 y -66% en 2024). El procedimiento del FMI mide los shocks como desvíos respecto de una única media para todo el período, de -17%. Así, un año como 1999 cuenta como un shock de 26 puntos de tasa real, y puede aparecer en 2030 junto con cualquier otro año de la muestra, aunque correspondan a regímenes monetarios distintos. Es una manifestación del problema que el propio FMI y el ESM (2023) señalan como desafío de su método: que la historia usada para generar el abanico sea representativa del futuro.</w:t>
      </w:r>
    </w:p>
    <w:p>
      <w:pPr>
        <w:pStyle w:val="CaptionedFigure"/>
      </w:pPr>
      <w:r>
        <w:drawing>
          <wp:inline>
            <wp:extent cx="5334000" cy="3501390"/>
            <wp:effectExtent b="0" l="0" r="0" t="0"/>
            <wp:docPr descr="Figura 7.2. Impulsores anuales de la deuda que usa la variante a la manera del FMI, 1997-2025. La tasa real efectiva pasa de valores positivos en la convertibilidad a valores muy negativos con la inflación posterior." title="" id="119" name="Picture"/>
            <a:graphic>
              <a:graphicData uri="http://schemas.openxmlformats.org/drawingml/2006/picture">
                <pic:pic>
                  <pic:nvPicPr>
                    <pic:cNvPr descr="../tesis/figuras/fig7_2_impulsores_historicos.png" id="120" name="Picture"/>
                    <pic:cNvPicPr>
                      <a:picLocks noChangeArrowheads="1" noChangeAspect="1"/>
                    </pic:cNvPicPr>
                  </pic:nvPicPr>
                  <pic:blipFill>
                    <a:blip r:embed="rId118"/>
                    <a:stretch>
                      <a:fillRect/>
                    </a:stretch>
                  </pic:blipFill>
                  <pic:spPr bwMode="auto">
                    <a:xfrm>
                      <a:off x="0" y="0"/>
                      <a:ext cx="5334000" cy="3501390"/>
                    </a:xfrm>
                    <a:prstGeom prst="rect">
                      <a:avLst/>
                    </a:prstGeom>
                    <a:noFill/>
                    <a:ln w="9525">
                      <a:noFill/>
                      <a:headEnd/>
                      <a:tailEnd/>
                    </a:ln>
                  </pic:spPr>
                </pic:pic>
              </a:graphicData>
            </a:graphic>
          </wp:inline>
        </w:drawing>
      </w:r>
    </w:p>
    <w:p>
      <w:pPr>
        <w:pStyle w:val="ImageCaption"/>
      </w:pPr>
      <w:r>
        <w:t xml:space="preserve">Figura 7.2. Impulsores anuales de la deuda que usa la variante a la manera del FMI, 1997-2025. La tasa real efectiva pasa de valores positivos en la convertibilidad a valores muy negativos con la inflación posterior.</w:t>
      </w:r>
    </w:p>
    <w:p>
      <w:pPr>
        <w:pStyle w:val="BodyText"/>
      </w:pPr>
      <w:r>
        <w:rPr>
          <w:b/>
          <w:bCs/>
        </w:rPr>
        <w:t xml:space="preserve">Qué hace distinto el SVARX.</w:t>
      </w:r>
      <w:r>
        <w:t xml:space="preserve"> </w:t>
      </w:r>
      <w:r>
        <w:t xml:space="preserve">El SVARX trata los cambios de régimen con las variables binarias de los quiebres estructurales (2001, 2006 y 2018) y separa lo que la dinámica del sistema permite anticipar de lo que es sorpresa. Solo remuestrea las sorpresas, que son menores que los desvíos respecto de una media de largo plazo. Además, la tasa en dólares se reprecia de a poco, a medida que vence la deuda. El resultado es un abanico más angosto, pero con una forma que importa: los shocks cambiarios y de riesgo son persistentes y están correlacionados entre sí, y por eso, cuando ocurren, empujan la deuda hacia arriba durante varios años seguidos. Con esa persistencia, una dispersión menor alcanza para que en 12% de las trayectorias el superávit del escenario base no frene la suba de la deuda en 2030.</w:t>
      </w:r>
    </w:p>
    <w:p>
      <w:pPr>
        <w:pStyle w:val="BodyText"/>
      </w:pPr>
      <w:r>
        <w:rPr>
          <w:b/>
          <w:bCs/>
        </w:rPr>
        <w:t xml:space="preserve">Lo que no se puede reproducir.</w:t>
      </w:r>
      <w:r>
        <w:t xml:space="preserve"> </w:t>
      </w:r>
      <w:r>
        <w:t xml:space="preserve">Con nuestros datos, el procedimiento del FMI da 23,5% de no estabilización, no 3%. El FMI no publica la muestra histórica ni los datos de los impulsores que usa para Argentina, así que esta diferencia no se puede descomponer con la información disponible. Las dos estimaciones de esta tesis (11,8% con el SVARX y 23,5% con el procedimiento del FMI) superan el 3%, de modo que la conclusión sobre H1b a cinco años no depende de esa elección.</w:t>
      </w:r>
    </w:p>
    <w:bookmarkEnd w:id="121"/>
    <w:bookmarkStart w:id="122" w:name="el-papel-del-superávit-primario"/>
    <w:p>
      <w:pPr>
        <w:pStyle w:val="Heading2"/>
      </w:pPr>
      <w:r>
        <w:t xml:space="preserve">7.3 El papel del superávit primario</w:t>
      </w:r>
    </w:p>
    <w:p>
      <w:pPr>
        <w:pStyle w:val="FirstParagraph"/>
      </w:pPr>
      <w:r>
        <w:t xml:space="preserve">La reacción fiscal estimada es positiva y significativa (0,051): en 1998-2025, el resultado primario respondió a la deuda, en línea con la condición de Bohn (1998). Pero el bloque fiscal explica menos de un quinto de la varianza de la deuda en 2035, y el cambiario y de riesgo, casi tres quintos. Esto respalda la idea central de H1a. El superávit es necesario, y el escenario base del FMI se apoya en él, pero no alcanza para controlar la trayectoria, porque la mayor parte del riesgo viene del tipo de cambio real y de la prima de riesgo. El resultado coincide con el diagnóstico de la restricción externa del Capítulo 3: con más de la mitad de la deuda en moneda extranjera, una depreciación real cambia el cociente de deuda aunque las cuentas fiscales estén en orden (Calvo et al., 2003).</w:t>
      </w:r>
    </w:p>
    <w:bookmarkEnd w:id="122"/>
    <w:bookmarkStart w:id="123" w:name="el-shock-de-la-fed"/>
    <w:p>
      <w:pPr>
        <w:pStyle w:val="Heading2"/>
      </w:pPr>
      <w:r>
        <w:t xml:space="preserve">7.4 El shock de la FED</w:t>
      </w:r>
    </w:p>
    <w:p>
      <w:pPr>
        <w:pStyle w:val="FirstParagraph"/>
      </w:pPr>
      <w:r>
        <w:t xml:space="preserve">El efecto de la FED depende del tamaño del shock. Una suba de medio punto no tiene un efecto distinguible. Un ciclo como el de 2022-2023 eleva la deuda en 7 puntos del PIB hacia 2035. Dos tercios de ese efecto vienen del canal más directo, el mayor costo de refinanciar la deuda en dólares, y un tercio de la respuesta del riesgo país, el tipo de cambio real y el crecimiento. Las respuestas al impulso de esas variables no son significativas por separado. Esto no quiere decir que los canales indirectos no existan. Uribe y Yue (2006) y Canova (2005) los documentan con paneles y muestras más largas. Quiere decir que una sola serie argentina de 111 trimestres no alcanza para medirlos con precisión. La conclusión sobre H2 descansa, por lo tanto, sobre todo en el canal de costo.</w:t>
      </w:r>
    </w:p>
    <w:bookmarkEnd w:id="123"/>
    <w:bookmarkStart w:id="124" w:name="limitaciones"/>
    <w:p>
      <w:pPr>
        <w:pStyle w:val="Heading2"/>
      </w:pPr>
      <w:r>
        <w:t xml:space="preserve">7.5 Limitaciones</w:t>
      </w:r>
    </w:p>
    <w:p>
      <w:pPr>
        <w:pStyle w:val="Compact"/>
        <w:numPr>
          <w:ilvl w:val="0"/>
          <w:numId w:val="1017"/>
        </w:numPr>
      </w:pPr>
      <w:r>
        <w:rPr>
          <w:b/>
          <w:bCs/>
        </w:rPr>
        <w:t xml:space="preserve">Escenario base.</w:t>
      </w:r>
      <w:r>
        <w:t xml:space="preserve"> </w:t>
      </w:r>
      <w:r>
        <w:t xml:space="preserve">Todos los resultados están condicionados al escenario del FMI, que supone una tasa real efectiva negativa durante toda la década. Si la desinflación avanza más rápido de lo que supone el FMI, el efecto licuación se reduce y las probabilidades de este capítulo serían cotas inferiores.</w:t>
      </w:r>
    </w:p>
    <w:p>
      <w:pPr>
        <w:pStyle w:val="Compact"/>
        <w:numPr>
          <w:ilvl w:val="0"/>
          <w:numId w:val="1017"/>
        </w:numPr>
      </w:pPr>
      <w:r>
        <w:rPr>
          <w:b/>
          <w:bCs/>
        </w:rPr>
        <w:t xml:space="preserve">Tasas en pesos.</w:t>
      </w:r>
      <w:r>
        <w:t xml:space="preserve"> </w:t>
      </w:r>
      <w:r>
        <w:t xml:space="preserve">La especificación principal no hace depender la tasa de la deuda en pesos del riesgo país. Cuando se agrega ese canal, las probabilidades suben y H1b pasa a cumplirse también a diez años. Por eso, la especificación principal es conservadora.</w:t>
      </w:r>
    </w:p>
    <w:p>
      <w:pPr>
        <w:pStyle w:val="Compact"/>
        <w:numPr>
          <w:ilvl w:val="0"/>
          <w:numId w:val="1017"/>
        </w:numPr>
      </w:pPr>
      <w:r>
        <w:rPr>
          <w:b/>
          <w:bCs/>
        </w:rPr>
        <w:t xml:space="preserve">Activos del FGS.</w:t>
      </w:r>
      <w:r>
        <w:t xml:space="preserve"> </w:t>
      </w:r>
      <w:r>
        <w:t xml:space="preserve">La deuda neta no descuenta los títulos públicos en poder del Fondo de Garantía de Sustentabilidad, porque no hay una serie trimestral pública para todo el período (Capítulo 5). Por eso la deuda neta de esta tesis queda por encima de la consolidada que informa el FMI.</w:t>
      </w:r>
    </w:p>
    <w:p>
      <w:pPr>
        <w:pStyle w:val="Compact"/>
        <w:numPr>
          <w:ilvl w:val="0"/>
          <w:numId w:val="1017"/>
        </w:numPr>
      </w:pPr>
      <w:r>
        <w:rPr>
          <w:b/>
          <w:bCs/>
        </w:rPr>
        <w:t xml:space="preserve">Autocorrelación residual.</w:t>
      </w:r>
      <w:r>
        <w:t xml:space="preserve"> </w:t>
      </w:r>
      <w:r>
        <w:t xml:space="preserve">La prueba de Portmanteau rechaza la ausencia de autocorrelación al 5% (p = 0,036). Los órdenes que la eliminarían son inestables, de modo que se mantuvo el orden estable y se informa la limitación.</w:t>
      </w:r>
    </w:p>
    <w:p>
      <w:pPr>
        <w:pStyle w:val="Compact"/>
        <w:numPr>
          <w:ilvl w:val="0"/>
          <w:numId w:val="1017"/>
        </w:numPr>
      </w:pPr>
      <w:r>
        <w:rPr>
          <w:b/>
          <w:bCs/>
        </w:rPr>
        <w:t xml:space="preserve">Precisión de los canales externos.</w:t>
      </w:r>
      <w:r>
        <w:t xml:space="preserve"> </w:t>
      </w:r>
      <w:r>
        <w:t xml:space="preserve">Las respuestas individuales a la FED no son significativas, por lo que la descomposición del efecto de H2 por canales se informa como estimación puntual.</w:t>
      </w:r>
    </w:p>
    <w:bookmarkEnd w:id="124"/>
    <w:bookmarkEnd w:id="125"/>
    <w:bookmarkStart w:id="126"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consolidada argentina (SPNF y BCRA) en 2026-2035, y cuál es la probabilidad de que no se estabilice. Para responderla se estimó un SVAR con variables exógenas sobre datos trimestrales de 1996-2025, con la deuda consolidada neta construida según el criterio del FMI (2021, anexo II), y se lo usó para simular la deuda alrededor del escenario base del FMI (2025).</w:t>
      </w:r>
    </w:p>
    <w:p>
      <w:pPr>
        <w:pStyle w:val="BodyText"/>
      </w:pPr>
      <w:r>
        <w:t xml:space="preserve">Las respuestas son tres.</w:t>
      </w:r>
    </w:p>
    <w:p>
      <w:pPr>
        <w:pStyle w:val="BodyText"/>
      </w:pPr>
      <w:r>
        <w:rPr>
          <w:b/>
          <w:bCs/>
        </w:rPr>
        <w:t xml:space="preserve">Primera (H1a).</w:t>
      </w:r>
      <w:r>
        <w:t xml:space="preserve"> </w:t>
      </w:r>
      <w:r>
        <w:t xml:space="preserve">El superávit primario, por sí solo, no basta. La política fiscal respondió a la deuda en el período (una reacción de 0,05 por punto de deuda, significativa), pero los shocks cambiarios y de riesgo explican cerca de 60% de la incertidumbre sobre la deuda en 2035, y los fiscales, menos de 20%. El resultado se mantiene con la deuda bruta, con la deuda neta a valor libros y con el canal de tasas en pesos.</w:t>
      </w:r>
    </w:p>
    <w:p>
      <w:pPr>
        <w:pStyle w:val="BodyText"/>
      </w:pPr>
      <w:r>
        <w:rPr>
          <w:b/>
          <w:bCs/>
        </w:rPr>
        <w:t xml:space="preserve">Segunda (H1b).</w:t>
      </w:r>
      <w:r>
        <w:t xml:space="preserve"> </w:t>
      </w:r>
      <w:r>
        <w:t xml:space="preserve">Con shocks identificados, la probabilidad de que la deuda consolidada no se estabilice en el horizonte de cinco años que usa el FMI es de 11,8% (entre 8,0% y 15,8%), casi cuatro veces el 3% que surge del análisis oficial. A diez años baja a 6,0%, y su límite inferior coincide con el umbral. Con la deuda bruta, con la neta a valor libros o con el canal de tasas en pesos, el límite inferior a diez años también supera el 3%. El procedimiento de shocks del FMI aplicado a los mismos datos da probabilidades todavía mayores. El diagnóstico de sostenibilidad del FMI es, por lo tanto, más optimista que el que surge de representar la incertidumbre con la dinámica histórica de la economía argentina, sobre todo en los primeros cinco años.</w:t>
      </w:r>
    </w:p>
    <w:p>
      <w:pPr>
        <w:pStyle w:val="BodyText"/>
      </w:pPr>
      <w:r>
        <w:rPr>
          <w:b/>
          <w:bCs/>
        </w:rPr>
        <w:t xml:space="preserve">Tercera (H2).</w:t>
      </w:r>
      <w:r>
        <w:t xml:space="preserve"> </w:t>
      </w:r>
      <w:r>
        <w:t xml:space="preserve">Un endurecimiento de la FED de la magnitud del de 2022-2023 eleva la deuda esperada en 7 puntos del PIB hacia 2035 y la probabilidad de no estabilización en casi 8 puntos. Un shock de medio punto no tiene un efecto distinguible. La mayor parte del efecto pasa por el costo de refinanciar la deuda en dólares. Los canales indirectos (riesgo país, tipo de cambio real y crecimiento) empujan en la misma dirección, pero con 30 años de datos de un solo país no se los puede medir con precisión.</w:t>
      </w:r>
    </w:p>
    <w:p>
      <w:pPr>
        <w:pStyle w:val="BodyText"/>
      </w:pPr>
      <w:r>
        <w:rPr>
          <w:b/>
          <w:bCs/>
        </w:rPr>
        <w:t xml:space="preserve">Implicancia.</w:t>
      </w:r>
      <w:r>
        <w:t xml:space="preserve"> </w:t>
      </w:r>
      <w:r>
        <w:t xml:space="preserve">El riesgo de la deuda argentina depende menos del esfuerzo fiscal, que el escenario base ya incorpora, que de la exposición al tipo de cambio real y a la prima de riesgo. Reducir la proporción de deuda en moneda extranjera y alargar los plazos atacan directamente los dos canales que dominan la varianza en esta tesis. Con eso no se reemplaza el superávit, pero se reduce la sensibilidad de la deuda a los shocks que el superávit no controla.</w:t>
      </w:r>
    </w:p>
    <w:p>
      <w:pPr>
        <w:pStyle w:val="BodyText"/>
      </w:pPr>
      <w:r>
        <w:rPr>
          <w:b/>
          <w:bCs/>
        </w:rPr>
        <w:t xml:space="preserve">Líneas de trabajo futuro.</w:t>
      </w:r>
    </w:p>
    <w:p>
      <w:pPr>
        <w:pStyle w:val="Compact"/>
        <w:numPr>
          <w:ilvl w:val="0"/>
          <w:numId w:val="1018"/>
        </w:numPr>
      </w:pPr>
      <w:r>
        <w:t xml:space="preserve">Estimar el sistema como un panel conjunto de Argentina y Chile. Levy Yeyati y Sturzenegger (2023) aplican su VAR país por país; un panel conjunto daría más precisión a las respuestas a la FED, que con una sola serie no son significativas.</w:t>
      </w:r>
    </w:p>
    <w:p>
      <w:pPr>
        <w:pStyle w:val="Compact"/>
        <w:numPr>
          <w:ilvl w:val="0"/>
          <w:numId w:val="1018"/>
        </w:numPr>
      </w:pPr>
      <w:r>
        <w:t xml:space="preserve">Reemplazar la variación de la tasa de la FED por shocks monetarios identificados con datos de alta frecuencia, que aíslan la parte no anticipada de la política de Estados Unidos.</w:t>
      </w:r>
    </w:p>
    <w:p>
      <w:pPr>
        <w:pStyle w:val="Compact"/>
        <w:numPr>
          <w:ilvl w:val="0"/>
          <w:numId w:val="1018"/>
        </w:numPr>
      </w:pPr>
      <w:r>
        <w:t xml:space="preserve">Incorporar los términos de intercambio como variable exógena, por su peso en la generación de divisas.</w:t>
      </w:r>
    </w:p>
    <w:p>
      <w:pPr>
        <w:pStyle w:val="Compact"/>
        <w:numPr>
          <w:ilvl w:val="0"/>
          <w:numId w:val="1018"/>
        </w:numPr>
      </w:pPr>
      <w:r>
        <w:t xml:space="preserve">Restar los títulos públicos en cartera del FGS cuando haya una serie pública completa, y modelar una tasa en pesos homogénea para todo el período.</w:t>
      </w:r>
    </w:p>
    <w:bookmarkEnd w:id="126"/>
    <w:bookmarkStart w:id="132" w:name="apéndice-estadístico"/>
    <w:p>
      <w:pPr>
        <w:pStyle w:val="Heading1"/>
      </w:pPr>
      <w:r>
        <w:t xml:space="preserve">Apéndice estadístico</w:t>
      </w:r>
    </w:p>
    <w:p>
      <w:pPr>
        <w:pStyle w:val="FirstParagraph"/>
      </w:pPr>
      <w:r>
        <w:t xml:space="preserve">Tablas generadas con</w:t>
      </w:r>
      <w:r>
        <w:t xml:space="preserve"> </w:t>
      </w:r>
      <w:r>
        <w:rPr>
          <w:rStyle w:val="VerbatimChar"/>
        </w:rPr>
        <w:t xml:space="preserve">codigo/modelos/apendice_tablas.py</w:t>
      </w:r>
      <w:r>
        <w:t xml:space="preserve"> </w:t>
      </w:r>
      <w:r>
        <w:t xml:space="preserve">a partir de los resultados de</w:t>
      </w:r>
      <w:r>
        <w:t xml:space="preserve"> </w:t>
      </w:r>
      <w:r>
        <w:rPr>
          <w:rStyle w:val="VerbatimChar"/>
        </w:rPr>
        <w:t xml:space="preserve">fase24_svarx_1996_2025.py</w:t>
      </w:r>
      <w:r>
        <w:t xml:space="preserve"> </w:t>
      </w:r>
      <w:r>
        <w:t xml:space="preserve">y</w:t>
      </w:r>
      <w:r>
        <w:t xml:space="preserve"> </w:t>
      </w:r>
      <w:r>
        <w:rPr>
          <w:rStyle w:val="VerbatimChar"/>
        </w:rPr>
        <w:t xml:space="preserve">fase25_simulacion_dsa_svarx.py</w:t>
      </w:r>
      <w:r>
        <w:t xml:space="preserve">.</w:t>
      </w:r>
    </w:p>
    <w:bookmarkStart w:id="127" w:name="a.1-selección-del-orden-del-var"/>
    <w:p>
      <w:pPr>
        <w:pStyle w:val="Heading2"/>
      </w:pPr>
      <w:r>
        <w:t xml:space="preserve">A.1 Selección del orden del VAR</w:t>
      </w:r>
    </w:p>
    <w:p>
      <w:pPr>
        <w:pStyle w:val="FirstParagraph"/>
      </w:pPr>
      <w:r>
        <w:t xml:space="preserve">Muestra efectiva común 1998T2-2025T4 (111 trimestres) para todos los órdenes (sección 4.5). El orden elegido es el mayor orden estable que no supera al que minimiza el AIC.</w:t>
      </w:r>
    </w:p>
    <w:p>
      <w:pPr>
        <w:pStyle w:val="BodyText"/>
      </w:pPr>
      <w:r>
        <w:rPr>
          <w:b/>
          <w:bCs/>
        </w:rPr>
        <w:t xml:space="preserve">Deuda consolidada neta, valor nominal (principal).</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12,351</w:t>
            </w:r>
          </w:p>
        </w:tc>
        <w:tc>
          <w:tcPr/>
          <w:p>
            <w:pPr>
              <w:pStyle w:val="Compact"/>
            </w:pPr>
            <w:r>
              <w:rPr>
                <w:rFonts w:ascii="Calibri" w:hAnsi="Calibri"/>
                <w:sz w:val="20"/>
              </w:rPr>
              <w:t xml:space="preserve">13,914</w:t>
            </w:r>
          </w:p>
        </w:tc>
        <w:tc>
          <w:tcPr/>
          <w:p>
            <w:pPr>
              <w:pStyle w:val="Compact"/>
            </w:pPr>
            <w:r>
              <w:rPr>
                <w:rFonts w:ascii="Calibri" w:hAnsi="Calibri"/>
                <w:sz w:val="20"/>
              </w:rPr>
              <w:t xml:space="preserve">12,985</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12,052</w:t>
            </w:r>
          </w:p>
        </w:tc>
        <w:tc>
          <w:tcPr/>
          <w:p>
            <w:pPr>
              <w:pStyle w:val="Compact"/>
            </w:pPr>
            <w:r>
              <w:rPr>
                <w:rFonts w:ascii="Calibri" w:hAnsi="Calibri"/>
                <w:sz w:val="20"/>
              </w:rPr>
              <w:t xml:space="preserve">14,005</w:t>
            </w:r>
          </w:p>
        </w:tc>
        <w:tc>
          <w:tcPr/>
          <w:p>
            <w:pPr>
              <w:pStyle w:val="Compact"/>
            </w:pPr>
            <w:r>
              <w:rPr>
                <w:rFonts w:ascii="Calibri" w:hAnsi="Calibri"/>
                <w:sz w:val="20"/>
              </w:rPr>
              <w:t xml:space="preserve">12,844</w:t>
            </w:r>
          </w:p>
        </w:tc>
        <w:tc>
          <w:tcPr/>
          <w:p>
            <w:pPr>
              <w:pStyle w:val="Compact"/>
            </w:pPr>
            <w:r>
              <w:rPr>
                <w:rFonts w:ascii="Calibri" w:hAnsi="Calibri"/>
                <w:sz w:val="20"/>
              </w:rPr>
              <w:t xml:space="preserve">0,894</w:t>
            </w:r>
          </w:p>
        </w:tc>
        <w:tc>
          <w:tcPr/>
          <w:p>
            <w:pPr>
              <w:pStyle w:val="Compact"/>
            </w:pPr>
            <w:r>
              <w:rPr>
                <w:rFonts w:ascii="Calibri" w:hAnsi="Calibri"/>
                <w:sz w:val="20"/>
              </w:rPr>
              <w:t xml:space="preserve">sí</w:t>
            </w:r>
          </w:p>
        </w:tc>
        <w:tc>
          <w:tcPr/>
          <w:p>
            <w:pPr>
              <w:pStyle w:val="Compact"/>
            </w:pPr>
            <w:r>
              <w:rPr>
                <w:rFonts w:ascii="Calibri" w:hAnsi="Calibri"/>
                <w:sz w:val="20"/>
              </w:rPr>
              <w:t xml:space="preserve">0,039</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12,125</w:t>
            </w:r>
          </w:p>
        </w:tc>
        <w:tc>
          <w:tcPr/>
          <w:p>
            <w:pPr>
              <w:pStyle w:val="Compact"/>
            </w:pPr>
            <w:r>
              <w:rPr>
                <w:rFonts w:ascii="Calibri" w:hAnsi="Calibri"/>
                <w:sz w:val="20"/>
              </w:rPr>
              <w:t xml:space="preserve">14,468</w:t>
            </w:r>
          </w:p>
        </w:tc>
        <w:tc>
          <w:tcPr/>
          <w:p>
            <w:pPr>
              <w:pStyle w:val="Compact"/>
            </w:pPr>
            <w:r>
              <w:rPr>
                <w:rFonts w:ascii="Calibri" w:hAnsi="Calibri"/>
                <w:sz w:val="20"/>
              </w:rPr>
              <w:t xml:space="preserve">13,075</w:t>
            </w:r>
          </w:p>
        </w:tc>
        <w:tc>
          <w:tcPr/>
          <w:p>
            <w:pPr>
              <w:pStyle w:val="Compact"/>
            </w:pPr>
            <w:r>
              <w:rPr>
                <w:rFonts w:ascii="Calibri" w:hAnsi="Calibri"/>
                <w:sz w:val="20"/>
              </w:rPr>
              <w:t xml:space="preserve">0,964</w:t>
            </w:r>
          </w:p>
        </w:tc>
        <w:tc>
          <w:tcPr/>
          <w:p>
            <w:pPr>
              <w:pStyle w:val="Compact"/>
            </w:pPr>
            <w:r>
              <w:rPr>
                <w:rFonts w:ascii="Calibri" w:hAnsi="Calibri"/>
                <w:sz w:val="20"/>
              </w:rPr>
              <w:t xml:space="preserve">sí</w:t>
            </w:r>
          </w:p>
        </w:tc>
        <w:tc>
          <w:tcPr/>
          <w:p>
            <w:pPr>
              <w:pStyle w:val="Compact"/>
            </w:pPr>
            <w:r>
              <w:rPr>
                <w:rFonts w:ascii="Calibri" w:hAnsi="Calibri"/>
                <w:sz w:val="20"/>
              </w:rPr>
              <w:t xml:space="preserve">0,036</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12,009</w:t>
            </w:r>
          </w:p>
        </w:tc>
        <w:tc>
          <w:tcPr/>
          <w:p>
            <w:pPr>
              <w:pStyle w:val="Compact"/>
            </w:pPr>
            <w:r>
              <w:rPr>
                <w:rFonts w:ascii="Calibri" w:hAnsi="Calibri"/>
                <w:sz w:val="20"/>
              </w:rPr>
              <w:t xml:space="preserve">14,743</w:t>
            </w:r>
          </w:p>
        </w:tc>
        <w:tc>
          <w:tcPr/>
          <w:p>
            <w:pPr>
              <w:pStyle w:val="Compact"/>
            </w:pPr>
            <w:r>
              <w:rPr>
                <w:rFonts w:ascii="Calibri" w:hAnsi="Calibri"/>
                <w:sz w:val="20"/>
              </w:rPr>
              <w:t xml:space="preserve">13,118</w:t>
            </w:r>
          </w:p>
        </w:tc>
        <w:tc>
          <w:tcPr/>
          <w:p>
            <w:pPr>
              <w:pStyle w:val="Compact"/>
            </w:pPr>
            <w:r>
              <w:rPr>
                <w:rFonts w:ascii="Calibri" w:hAnsi="Calibri"/>
                <w:sz w:val="20"/>
              </w:rPr>
              <w:t xml:space="preserve">1,021</w:t>
            </w:r>
          </w:p>
        </w:tc>
        <w:tc>
          <w:tcPr/>
          <w:p>
            <w:pPr>
              <w:pStyle w:val="Compact"/>
            </w:pPr>
            <w:r>
              <w:rPr>
                <w:rFonts w:ascii="Calibri" w:hAnsi="Calibri"/>
                <w:sz w:val="20"/>
              </w:rPr>
              <w:t xml:space="preserve">no</w:t>
            </w:r>
          </w:p>
        </w:tc>
        <w:tc>
          <w:tcPr/>
          <w:p>
            <w:pPr>
              <w:pStyle w:val="Compact"/>
            </w:pPr>
            <w:r>
              <w:rPr>
                <w:rFonts w:ascii="Calibri" w:hAnsi="Calibri"/>
                <w:sz w:val="20"/>
              </w:rPr>
              <w:t xml:space="preserve">0,023</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11,939</w:t>
            </w:r>
          </w:p>
        </w:tc>
        <w:tc>
          <w:tcPr/>
          <w:p>
            <w:pPr>
              <w:pStyle w:val="Compact"/>
            </w:pPr>
            <w:r>
              <w:rPr>
                <w:rFonts w:ascii="Calibri" w:hAnsi="Calibri"/>
                <w:sz w:val="20"/>
              </w:rPr>
              <w:t xml:space="preserve">15,064</w:t>
            </w:r>
          </w:p>
        </w:tc>
        <w:tc>
          <w:tcPr/>
          <w:p>
            <w:pPr>
              <w:pStyle w:val="Compact"/>
            </w:pPr>
            <w:r>
              <w:rPr>
                <w:rFonts w:ascii="Calibri" w:hAnsi="Calibri"/>
                <w:sz w:val="20"/>
              </w:rPr>
              <w:t xml:space="preserve">13,207</w:t>
            </w:r>
          </w:p>
        </w:tc>
        <w:tc>
          <w:tcPr/>
          <w:p>
            <w:pPr>
              <w:pStyle w:val="Compact"/>
            </w:pPr>
            <w:r>
              <w:rPr>
                <w:rFonts w:ascii="Calibri" w:hAnsi="Calibri"/>
                <w:sz w:val="20"/>
              </w:rPr>
              <w:t xml:space="preserve">1,024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1,033</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neta, valor libros.</w:t>
      </w:r>
      <w:r>
        <w:t xml:space="preserve"> </w:t>
      </w:r>
      <w:r>
        <w:t xml:space="preserve">Orden elegido: 3.</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12,326</w:t>
            </w:r>
          </w:p>
        </w:tc>
        <w:tc>
          <w:tcPr/>
          <w:p>
            <w:pPr>
              <w:pStyle w:val="Compact"/>
            </w:pPr>
            <w:r>
              <w:rPr>
                <w:rFonts w:ascii="Calibri" w:hAnsi="Calibri"/>
                <w:sz w:val="20"/>
              </w:rPr>
              <w:t xml:space="preserve">13,888</w:t>
            </w:r>
          </w:p>
        </w:tc>
        <w:tc>
          <w:tcPr/>
          <w:p>
            <w:pPr>
              <w:pStyle w:val="Compact"/>
            </w:pPr>
            <w:r>
              <w:rPr>
                <w:rFonts w:ascii="Calibri" w:hAnsi="Calibri"/>
                <w:sz w:val="20"/>
              </w:rPr>
              <w:t xml:space="preserve">12,960</w:t>
            </w:r>
          </w:p>
        </w:tc>
        <w:tc>
          <w:tcPr/>
          <w:p>
            <w:pPr>
              <w:pStyle w:val="Compact"/>
            </w:pPr>
            <w:r>
              <w:rPr>
                <w:rFonts w:ascii="Calibri" w:hAnsi="Calibri"/>
                <w:sz w:val="20"/>
              </w:rPr>
              <w:t xml:space="preserve">0,855</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12,043</w:t>
            </w:r>
          </w:p>
        </w:tc>
        <w:tc>
          <w:tcPr/>
          <w:p>
            <w:pPr>
              <w:pStyle w:val="Compact"/>
            </w:pPr>
            <w:r>
              <w:rPr>
                <w:rFonts w:ascii="Calibri" w:hAnsi="Calibri"/>
                <w:sz w:val="20"/>
              </w:rPr>
              <w:t xml:space="preserve">13,996</w:t>
            </w:r>
          </w:p>
        </w:tc>
        <w:tc>
          <w:tcPr/>
          <w:p>
            <w:pPr>
              <w:pStyle w:val="Compact"/>
            </w:pPr>
            <w:r>
              <w:rPr>
                <w:rFonts w:ascii="Calibri" w:hAnsi="Calibri"/>
                <w:sz w:val="20"/>
              </w:rPr>
              <w:t xml:space="preserve">12,835</w:t>
            </w:r>
          </w:p>
        </w:tc>
        <w:tc>
          <w:tcPr/>
          <w:p>
            <w:pPr>
              <w:pStyle w:val="Compact"/>
            </w:pPr>
            <w:r>
              <w:rPr>
                <w:rFonts w:ascii="Calibri" w:hAnsi="Calibri"/>
                <w:sz w:val="20"/>
              </w:rPr>
              <w:t xml:space="preserve">0,900</w:t>
            </w:r>
          </w:p>
        </w:tc>
        <w:tc>
          <w:tcPr/>
          <w:p>
            <w:pPr>
              <w:pStyle w:val="Compact"/>
            </w:pPr>
            <w:r>
              <w:rPr>
                <w:rFonts w:ascii="Calibri" w:hAnsi="Calibri"/>
                <w:sz w:val="20"/>
              </w:rPr>
              <w:t xml:space="preserve">sí</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12,122</w:t>
            </w:r>
          </w:p>
        </w:tc>
        <w:tc>
          <w:tcPr/>
          <w:p>
            <w:pPr>
              <w:pStyle w:val="Compact"/>
            </w:pPr>
            <w:r>
              <w:rPr>
                <w:rFonts w:ascii="Calibri" w:hAnsi="Calibri"/>
                <w:sz w:val="20"/>
              </w:rPr>
              <w:t xml:space="preserve">14,466</w:t>
            </w:r>
          </w:p>
        </w:tc>
        <w:tc>
          <w:tcPr/>
          <w:p>
            <w:pPr>
              <w:pStyle w:val="Compact"/>
            </w:pPr>
            <w:r>
              <w:rPr>
                <w:rFonts w:ascii="Calibri" w:hAnsi="Calibri"/>
                <w:sz w:val="20"/>
              </w:rPr>
              <w:t xml:space="preserve">13,073</w:t>
            </w:r>
          </w:p>
        </w:tc>
        <w:tc>
          <w:tcPr/>
          <w:p>
            <w:pPr>
              <w:pStyle w:val="Compact"/>
            </w:pPr>
            <w:r>
              <w:rPr>
                <w:rFonts w:ascii="Calibri" w:hAnsi="Calibri"/>
                <w:sz w:val="20"/>
              </w:rPr>
              <w:t xml:space="preserve">0,961</w:t>
            </w:r>
          </w:p>
        </w:tc>
        <w:tc>
          <w:tcPr/>
          <w:p>
            <w:pPr>
              <w:pStyle w:val="Compact"/>
            </w:pPr>
            <w:r>
              <w:rPr>
                <w:rFonts w:ascii="Calibri" w:hAnsi="Calibri"/>
                <w:sz w:val="20"/>
              </w:rPr>
              <w:t xml:space="preserve">sí</w:t>
            </w:r>
          </w:p>
        </w:tc>
        <w:tc>
          <w:tcPr/>
          <w:p>
            <w:pPr>
              <w:pStyle w:val="Compact"/>
            </w:pPr>
            <w:r>
              <w:rPr>
                <w:rFonts w:ascii="Calibri" w:hAnsi="Calibri"/>
                <w:sz w:val="20"/>
              </w:rPr>
              <w:t xml:space="preserve">0,030</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12,003</w:t>
            </w:r>
          </w:p>
        </w:tc>
        <w:tc>
          <w:tcPr/>
          <w:p>
            <w:pPr>
              <w:pStyle w:val="Compact"/>
            </w:pPr>
            <w:r>
              <w:rPr>
                <w:rFonts w:ascii="Calibri" w:hAnsi="Calibri"/>
                <w:sz w:val="20"/>
              </w:rPr>
              <w:t xml:space="preserve">14,737</w:t>
            </w:r>
          </w:p>
        </w:tc>
        <w:tc>
          <w:tcPr/>
          <w:p>
            <w:pPr>
              <w:pStyle w:val="Compact"/>
            </w:pPr>
            <w:r>
              <w:rPr>
                <w:rFonts w:ascii="Calibri" w:hAnsi="Calibri"/>
                <w:sz w:val="20"/>
              </w:rPr>
              <w:t xml:space="preserve">13,112</w:t>
            </w:r>
          </w:p>
        </w:tc>
        <w:tc>
          <w:tcPr/>
          <w:p>
            <w:pPr>
              <w:pStyle w:val="Compact"/>
            </w:pPr>
            <w:r>
              <w:rPr>
                <w:rFonts w:ascii="Calibri" w:hAnsi="Calibri"/>
                <w:sz w:val="20"/>
              </w:rPr>
              <w:t xml:space="preserve">1,014</w:t>
            </w:r>
          </w:p>
        </w:tc>
        <w:tc>
          <w:tcPr/>
          <w:p>
            <w:pPr>
              <w:pStyle w:val="Compact"/>
            </w:pPr>
            <w:r>
              <w:rPr>
                <w:rFonts w:ascii="Calibri" w:hAnsi="Calibri"/>
                <w:sz w:val="20"/>
              </w:rPr>
              <w:t xml:space="preserve">no</w:t>
            </w:r>
          </w:p>
        </w:tc>
        <w:tc>
          <w:tcPr/>
          <w:p>
            <w:pPr>
              <w:pStyle w:val="Compact"/>
            </w:pPr>
            <w:r>
              <w:rPr>
                <w:rFonts w:ascii="Calibri" w:hAnsi="Calibri"/>
                <w:sz w:val="20"/>
              </w:rPr>
              <w:t xml:space="preserve">0,021</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11,937</w:t>
            </w:r>
          </w:p>
        </w:tc>
        <w:tc>
          <w:tcPr/>
          <w:p>
            <w:pPr>
              <w:pStyle w:val="Compact"/>
            </w:pPr>
            <w:r>
              <w:rPr>
                <w:rFonts w:ascii="Calibri" w:hAnsi="Calibri"/>
                <w:sz w:val="20"/>
              </w:rPr>
              <w:t xml:space="preserve">15,062</w:t>
            </w:r>
          </w:p>
        </w:tc>
        <w:tc>
          <w:tcPr/>
          <w:p>
            <w:pPr>
              <w:pStyle w:val="Compact"/>
            </w:pPr>
            <w:r>
              <w:rPr>
                <w:rFonts w:ascii="Calibri" w:hAnsi="Calibri"/>
                <w:sz w:val="20"/>
              </w:rPr>
              <w:t xml:space="preserve">13,205</w:t>
            </w:r>
          </w:p>
        </w:tc>
        <w:tc>
          <w:tcPr/>
          <w:p>
            <w:pPr>
              <w:pStyle w:val="Compact"/>
            </w:pPr>
            <w:r>
              <w:rPr>
                <w:rFonts w:ascii="Calibri" w:hAnsi="Calibri"/>
                <w:sz w:val="20"/>
              </w:rPr>
              <w:t xml:space="preserve">1,017</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11,918</w:t>
            </w:r>
          </w:p>
        </w:tc>
        <w:tc>
          <w:tcPr/>
          <w:p>
            <w:pPr>
              <w:pStyle w:val="Compact"/>
            </w:pPr>
            <w:r>
              <w:rPr>
                <w:rFonts w:ascii="Calibri" w:hAnsi="Calibri"/>
                <w:sz w:val="20"/>
              </w:rPr>
              <w:t xml:space="preserve">15,433</w:t>
            </w:r>
          </w:p>
        </w:tc>
        <w:tc>
          <w:tcPr/>
          <w:p>
            <w:pPr>
              <w:pStyle w:val="Compact"/>
            </w:pPr>
            <w:r>
              <w:rPr>
                <w:rFonts w:ascii="Calibri" w:hAnsi="Calibri"/>
                <w:sz w:val="20"/>
              </w:rPr>
              <w:t xml:space="preserve">13,344</w:t>
            </w:r>
          </w:p>
        </w:tc>
        <w:tc>
          <w:tcPr/>
          <w:p>
            <w:pPr>
              <w:pStyle w:val="Compact"/>
            </w:pPr>
            <w:r>
              <w:rPr>
                <w:rFonts w:ascii="Calibri" w:hAnsi="Calibri"/>
                <w:sz w:val="20"/>
              </w:rPr>
              <w:t xml:space="preserve">1,015</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p>
      <w:pPr>
        <w:pStyle w:val="BodyText"/>
      </w:pPr>
      <w:r>
        <w:rPr>
          <w:b/>
          <w:bCs/>
        </w:rPr>
        <w:t xml:space="preserve">Deuda consolidada bruta.</w:t>
      </w:r>
      <w:r>
        <w:t xml:space="preserve"> </w:t>
      </w:r>
      <w:r>
        <w:t xml:space="preserve">Orden elegido: 4.</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p</w:t>
            </w:r>
          </w:p>
        </w:tc>
        <w:tc>
          <w:tcPr/>
          <w:p>
            <w:pPr>
              <w:pStyle w:val="Compact"/>
            </w:pPr>
            <w:r>
              <w:rPr>
                <w:rFonts w:ascii="Calibri" w:hAnsi="Calibri"/>
                <w:sz w:val="20"/>
              </w:rPr>
              <w:t xml:space="preserve">AIC</w:t>
            </w:r>
          </w:p>
        </w:tc>
        <w:tc>
          <w:tcPr/>
          <w:p>
            <w:pPr>
              <w:pStyle w:val="Compact"/>
            </w:pPr>
            <w:r>
              <w:rPr>
                <w:rFonts w:ascii="Calibri" w:hAnsi="Calibri"/>
                <w:sz w:val="20"/>
              </w:rPr>
              <w:t xml:space="preserve">BIC</w:t>
            </w:r>
          </w:p>
        </w:tc>
        <w:tc>
          <w:tcPr/>
          <w:p>
            <w:pPr>
              <w:pStyle w:val="Compact"/>
            </w:pPr>
            <w:r>
              <w:rPr>
                <w:rFonts w:ascii="Calibri" w:hAnsi="Calibri"/>
                <w:sz w:val="20"/>
              </w:rPr>
              <w:t xml:space="preserve">HQ</w:t>
            </w:r>
          </w:p>
        </w:tc>
        <w:tc>
          <w:tcPr/>
          <w:p>
            <w:pPr>
              <w:pStyle w:val="Compact"/>
            </w:pPr>
            <w:r>
              <w:rPr>
                <w:rFonts w:ascii="Calibri" w:hAnsi="Calibri"/>
                <w:sz w:val="20"/>
              </w:rPr>
              <w:t xml:space="preserve">Raíz máxima</w:t>
            </w:r>
          </w:p>
        </w:tc>
        <w:tc>
          <w:tcPr/>
          <w:p>
            <w:pPr>
              <w:pStyle w:val="Compact"/>
            </w:pPr>
            <w:r>
              <w:rPr>
                <w:rFonts w:ascii="Calibri" w:hAnsi="Calibri"/>
                <w:sz w:val="20"/>
              </w:rPr>
              <w:t xml:space="preserve">Estable</w:t>
            </w:r>
          </w:p>
        </w:tc>
        <w:tc>
          <w:tcPr/>
          <w:p>
            <w:pPr>
              <w:pStyle w:val="Compact"/>
            </w:pPr>
            <w:r>
              <w:rPr>
                <w:rFonts w:ascii="Calibri" w:hAnsi="Calibri"/>
                <w:sz w:val="20"/>
              </w:rPr>
              <w:t xml:space="preserve">Portmanteau (p)</w:t>
            </w:r>
          </w:p>
        </w:tc>
      </w:tr>
      <w:tr>
        <w:tc>
          <w:tcPr/>
          <w:p>
            <w:pPr>
              <w:pStyle w:val="Compact"/>
            </w:pPr>
            <w:r>
              <w:rPr>
                <w:rFonts w:ascii="Calibri" w:hAnsi="Calibri"/>
                <w:sz w:val="20"/>
              </w:rPr>
              <w:t xml:space="preserve">1</w:t>
            </w:r>
          </w:p>
        </w:tc>
        <w:tc>
          <w:tcPr/>
          <w:p>
            <w:pPr>
              <w:pStyle w:val="Compact"/>
            </w:pPr>
            <w:r>
              <w:rPr>
                <w:rFonts w:ascii="Calibri" w:hAnsi="Calibri"/>
                <w:sz w:val="20"/>
              </w:rPr>
              <w:t xml:space="preserve">12,378</w:t>
            </w:r>
          </w:p>
        </w:tc>
        <w:tc>
          <w:tcPr/>
          <w:p>
            <w:pPr>
              <w:pStyle w:val="Compact"/>
            </w:pPr>
            <w:r>
              <w:rPr>
                <w:rFonts w:ascii="Calibri" w:hAnsi="Calibri"/>
                <w:sz w:val="20"/>
              </w:rPr>
              <w:t xml:space="preserve">13,940</w:t>
            </w:r>
          </w:p>
        </w:tc>
        <w:tc>
          <w:tcPr/>
          <w:p>
            <w:pPr>
              <w:pStyle w:val="Compact"/>
            </w:pPr>
            <w:r>
              <w:rPr>
                <w:rFonts w:ascii="Calibri" w:hAnsi="Calibri"/>
                <w:sz w:val="20"/>
              </w:rPr>
              <w:t xml:space="preserve">13,011</w:t>
            </w:r>
          </w:p>
        </w:tc>
        <w:tc>
          <w:tcPr/>
          <w:p>
            <w:pPr>
              <w:pStyle w:val="Compact"/>
            </w:pPr>
            <w:r>
              <w:rPr>
                <w:rFonts w:ascii="Calibri" w:hAnsi="Calibri"/>
                <w:sz w:val="20"/>
              </w:rPr>
              <w:t xml:space="preserve">0,818</w:t>
            </w:r>
          </w:p>
        </w:tc>
        <w:tc>
          <w:tcPr/>
          <w:p>
            <w:pPr>
              <w:pStyle w:val="Compact"/>
            </w:pPr>
            <w:r>
              <w:rPr>
                <w:rFonts w:ascii="Calibri" w:hAnsi="Calibri"/>
                <w:sz w:val="20"/>
              </w:rPr>
              <w:t xml:space="preserve">sí</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2</w:t>
            </w:r>
          </w:p>
        </w:tc>
        <w:tc>
          <w:tcPr/>
          <w:p>
            <w:pPr>
              <w:pStyle w:val="Compact"/>
            </w:pPr>
            <w:r>
              <w:rPr>
                <w:rFonts w:ascii="Calibri" w:hAnsi="Calibri"/>
                <w:sz w:val="20"/>
              </w:rPr>
              <w:t xml:space="preserve">12,082</w:t>
            </w:r>
          </w:p>
        </w:tc>
        <w:tc>
          <w:tcPr/>
          <w:p>
            <w:pPr>
              <w:pStyle w:val="Compact"/>
            </w:pPr>
            <w:r>
              <w:rPr>
                <w:rFonts w:ascii="Calibri" w:hAnsi="Calibri"/>
                <w:sz w:val="20"/>
              </w:rPr>
              <w:t xml:space="preserve">14,034</w:t>
            </w:r>
          </w:p>
        </w:tc>
        <w:tc>
          <w:tcPr/>
          <w:p>
            <w:pPr>
              <w:pStyle w:val="Compact"/>
            </w:pPr>
            <w:r>
              <w:rPr>
                <w:rFonts w:ascii="Calibri" w:hAnsi="Calibri"/>
                <w:sz w:val="20"/>
              </w:rPr>
              <w:t xml:space="preserve">12,874</w:t>
            </w:r>
          </w:p>
        </w:tc>
        <w:tc>
          <w:tcPr/>
          <w:p>
            <w:pPr>
              <w:pStyle w:val="Compact"/>
            </w:pPr>
            <w:r>
              <w:rPr>
                <w:rFonts w:ascii="Calibri" w:hAnsi="Calibri"/>
                <w:sz w:val="20"/>
              </w:rPr>
              <w:t xml:space="preserve">0,840</w:t>
            </w:r>
          </w:p>
        </w:tc>
        <w:tc>
          <w:tcPr/>
          <w:p>
            <w:pPr>
              <w:pStyle w:val="Compact"/>
            </w:pPr>
            <w:r>
              <w:rPr>
                <w:rFonts w:ascii="Calibri" w:hAnsi="Calibri"/>
                <w:sz w:val="20"/>
              </w:rPr>
              <w:t xml:space="preserve">sí</w:t>
            </w:r>
          </w:p>
        </w:tc>
        <w:tc>
          <w:tcPr/>
          <w:p>
            <w:pPr>
              <w:pStyle w:val="Compact"/>
            </w:pPr>
            <w:r>
              <w:rPr>
                <w:rFonts w:ascii="Calibri" w:hAnsi="Calibri"/>
                <w:sz w:val="20"/>
              </w:rPr>
              <w:t xml:space="preserve">0,071</w:t>
            </w:r>
          </w:p>
        </w:tc>
      </w:tr>
      <w:tr>
        <w:tc>
          <w:tcPr/>
          <w:p>
            <w:pPr>
              <w:pStyle w:val="Compact"/>
            </w:pPr>
            <w:r>
              <w:rPr>
                <w:rFonts w:ascii="Calibri" w:hAnsi="Calibri"/>
                <w:sz w:val="20"/>
              </w:rPr>
              <w:t xml:space="preserve">3</w:t>
            </w:r>
          </w:p>
        </w:tc>
        <w:tc>
          <w:tcPr/>
          <w:p>
            <w:pPr>
              <w:pStyle w:val="Compact"/>
            </w:pPr>
            <w:r>
              <w:rPr>
                <w:rFonts w:ascii="Calibri" w:hAnsi="Calibri"/>
                <w:sz w:val="20"/>
              </w:rPr>
              <w:t xml:space="preserve">12,170</w:t>
            </w:r>
          </w:p>
        </w:tc>
        <w:tc>
          <w:tcPr/>
          <w:p>
            <w:pPr>
              <w:pStyle w:val="Compact"/>
            </w:pPr>
            <w:r>
              <w:rPr>
                <w:rFonts w:ascii="Calibri" w:hAnsi="Calibri"/>
                <w:sz w:val="20"/>
              </w:rPr>
              <w:t xml:space="preserve">14,514</w:t>
            </w:r>
          </w:p>
        </w:tc>
        <w:tc>
          <w:tcPr/>
          <w:p>
            <w:pPr>
              <w:pStyle w:val="Compact"/>
            </w:pPr>
            <w:r>
              <w:rPr>
                <w:rFonts w:ascii="Calibri" w:hAnsi="Calibri"/>
                <w:sz w:val="20"/>
              </w:rPr>
              <w:t xml:space="preserve">13,121</w:t>
            </w:r>
          </w:p>
        </w:tc>
        <w:tc>
          <w:tcPr/>
          <w:p>
            <w:pPr>
              <w:pStyle w:val="Compact"/>
            </w:pPr>
            <w:r>
              <w:rPr>
                <w:rFonts w:ascii="Calibri" w:hAnsi="Calibri"/>
                <w:sz w:val="20"/>
              </w:rPr>
              <w:t xml:space="preserve">0,923</w:t>
            </w:r>
          </w:p>
        </w:tc>
        <w:tc>
          <w:tcPr/>
          <w:p>
            <w:pPr>
              <w:pStyle w:val="Compact"/>
            </w:pPr>
            <w:r>
              <w:rPr>
                <w:rFonts w:ascii="Calibri" w:hAnsi="Calibri"/>
                <w:sz w:val="20"/>
              </w:rPr>
              <w:t xml:space="preserve">sí</w:t>
            </w:r>
          </w:p>
        </w:tc>
        <w:tc>
          <w:tcPr/>
          <w:p>
            <w:pPr>
              <w:pStyle w:val="Compact"/>
            </w:pPr>
            <w:r>
              <w:rPr>
                <w:rFonts w:ascii="Calibri" w:hAnsi="Calibri"/>
                <w:sz w:val="20"/>
              </w:rPr>
              <w:t xml:space="preserve">0,035</w:t>
            </w:r>
          </w:p>
        </w:tc>
      </w:tr>
      <w:tr>
        <w:tc>
          <w:tcPr/>
          <w:p>
            <w:pPr>
              <w:pStyle w:val="Compact"/>
            </w:pPr>
            <w:r>
              <w:rPr>
                <w:rFonts w:ascii="Calibri" w:hAnsi="Calibri"/>
                <w:sz w:val="20"/>
              </w:rPr>
              <w:t xml:space="preserve">4</w:t>
            </w:r>
          </w:p>
        </w:tc>
        <w:tc>
          <w:tcPr/>
          <w:p>
            <w:pPr>
              <w:pStyle w:val="Compact"/>
            </w:pPr>
            <w:r>
              <w:rPr>
                <w:rFonts w:ascii="Calibri" w:hAnsi="Calibri"/>
                <w:sz w:val="20"/>
              </w:rPr>
              <w:t xml:space="preserve">12,057</w:t>
            </w:r>
          </w:p>
        </w:tc>
        <w:tc>
          <w:tcPr/>
          <w:p>
            <w:pPr>
              <w:pStyle w:val="Compact"/>
            </w:pPr>
            <w:r>
              <w:rPr>
                <w:rFonts w:ascii="Calibri" w:hAnsi="Calibri"/>
                <w:sz w:val="20"/>
              </w:rPr>
              <w:t xml:space="preserve">14,791</w:t>
            </w:r>
          </w:p>
        </w:tc>
        <w:tc>
          <w:tcPr/>
          <w:p>
            <w:pPr>
              <w:pStyle w:val="Compact"/>
            </w:pPr>
            <w:r>
              <w:rPr>
                <w:rFonts w:ascii="Calibri" w:hAnsi="Calibri"/>
                <w:sz w:val="20"/>
              </w:rPr>
              <w:t xml:space="preserve">13,167</w:t>
            </w:r>
          </w:p>
        </w:tc>
        <w:tc>
          <w:tcPr/>
          <w:p>
            <w:pPr>
              <w:pStyle w:val="Compact"/>
            </w:pPr>
            <w:r>
              <w:rPr>
                <w:rFonts w:ascii="Calibri" w:hAnsi="Calibri"/>
                <w:sz w:val="20"/>
              </w:rPr>
              <w:t xml:space="preserve">0,987</w:t>
            </w:r>
          </w:p>
        </w:tc>
        <w:tc>
          <w:tcPr/>
          <w:p>
            <w:pPr>
              <w:pStyle w:val="Compact"/>
            </w:pPr>
            <w:r>
              <w:rPr>
                <w:rFonts w:ascii="Calibri" w:hAnsi="Calibri"/>
                <w:sz w:val="20"/>
              </w:rPr>
              <w:t xml:space="preserve">sí</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5</w:t>
            </w:r>
          </w:p>
        </w:tc>
        <w:tc>
          <w:tcPr/>
          <w:p>
            <w:pPr>
              <w:pStyle w:val="Compact"/>
            </w:pPr>
            <w:r>
              <w:rPr>
                <w:rFonts w:ascii="Calibri" w:hAnsi="Calibri"/>
                <w:sz w:val="20"/>
              </w:rPr>
              <w:t xml:space="preserve">11,984</w:t>
            </w:r>
          </w:p>
        </w:tc>
        <w:tc>
          <w:tcPr/>
          <w:p>
            <w:pPr>
              <w:pStyle w:val="Compact"/>
            </w:pPr>
            <w:r>
              <w:rPr>
                <w:rFonts w:ascii="Calibri" w:hAnsi="Calibri"/>
                <w:sz w:val="20"/>
              </w:rPr>
              <w:t xml:space="preserve">15,108</w:t>
            </w:r>
          </w:p>
        </w:tc>
        <w:tc>
          <w:tcPr/>
          <w:p>
            <w:pPr>
              <w:pStyle w:val="Compact"/>
            </w:pPr>
            <w:r>
              <w:rPr>
                <w:rFonts w:ascii="Calibri" w:hAnsi="Calibri"/>
                <w:sz w:val="20"/>
              </w:rPr>
              <w:t xml:space="preserve">13,251</w:t>
            </w:r>
          </w:p>
        </w:tc>
        <w:tc>
          <w:tcPr/>
          <w:p>
            <w:pPr>
              <w:pStyle w:val="Compact"/>
            </w:pPr>
            <w:r>
              <w:rPr>
                <w:rFonts w:ascii="Calibri" w:hAnsi="Calibri"/>
                <w:sz w:val="20"/>
              </w:rPr>
              <w:t xml:space="preserve">1,004</w:t>
            </w:r>
          </w:p>
        </w:tc>
        <w:tc>
          <w:tcPr/>
          <w:p>
            <w:pPr>
              <w:pStyle w:val="Compact"/>
            </w:pPr>
            <w:r>
              <w:rPr>
                <w:rFonts w:ascii="Calibri" w:hAnsi="Calibri"/>
                <w:sz w:val="20"/>
              </w:rPr>
              <w:t xml:space="preserve">no</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6</w:t>
            </w:r>
          </w:p>
        </w:tc>
        <w:tc>
          <w:tcPr/>
          <w:p>
            <w:pPr>
              <w:pStyle w:val="Compact"/>
            </w:pPr>
            <w:r>
              <w:rPr>
                <w:rFonts w:ascii="Calibri" w:hAnsi="Calibri"/>
                <w:sz w:val="20"/>
              </w:rPr>
              <w:t xml:space="preserve">11,968</w:t>
            </w:r>
          </w:p>
        </w:tc>
        <w:tc>
          <w:tcPr/>
          <w:p>
            <w:pPr>
              <w:pStyle w:val="Compact"/>
            </w:pPr>
            <w:r>
              <w:rPr>
                <w:rFonts w:ascii="Calibri" w:hAnsi="Calibri"/>
                <w:sz w:val="20"/>
              </w:rPr>
              <w:t xml:space="preserve">15,483</w:t>
            </w:r>
          </w:p>
        </w:tc>
        <w:tc>
          <w:tcPr/>
          <w:p>
            <w:pPr>
              <w:pStyle w:val="Compact"/>
            </w:pPr>
            <w:r>
              <w:rPr>
                <w:rFonts w:ascii="Calibri" w:hAnsi="Calibri"/>
                <w:sz w:val="20"/>
              </w:rPr>
              <w:t xml:space="preserve">13,394</w:t>
            </w:r>
          </w:p>
        </w:tc>
        <w:tc>
          <w:tcPr/>
          <w:p>
            <w:pPr>
              <w:pStyle w:val="Compact"/>
            </w:pPr>
            <w:r>
              <w:rPr>
                <w:rFonts w:ascii="Calibri" w:hAnsi="Calibri"/>
                <w:sz w:val="20"/>
              </w:rPr>
              <w:t xml:space="preserve">1,027</w:t>
            </w:r>
          </w:p>
        </w:tc>
        <w:tc>
          <w:tcPr/>
          <w:p>
            <w:pPr>
              <w:pStyle w:val="Compact"/>
            </w:pPr>
            <w:r>
              <w:rPr>
                <w:rFonts w:ascii="Calibri" w:hAnsi="Calibri"/>
                <w:sz w:val="20"/>
              </w:rPr>
              <w:t xml:space="preserve">no</w:t>
            </w:r>
          </w:p>
        </w:tc>
        <w:tc>
          <w:tcPr/>
          <w:p>
            <w:pPr>
              <w:pStyle w:val="Compact"/>
            </w:pPr>
            <w:r>
              <w:rPr>
                <w:rFonts w:ascii="Calibri" w:hAnsi="Calibri"/>
                <w:sz w:val="20"/>
              </w:rPr>
              <w:t xml:space="preserve">0,000</w:t>
            </w:r>
          </w:p>
        </w:tc>
      </w:tr>
    </w:tbl>
    <w:bookmarkEnd w:id="127"/>
    <w:bookmarkStart w:id="128" w:name="a.2-diagnósticos-de-los-residuos"/>
    <w:p>
      <w:pPr>
        <w:pStyle w:val="Heading2"/>
      </w:pPr>
      <w:r>
        <w:t xml:space="preserve">A.2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Prueba (p-valor salvo estabilidad)</w:t>
            </w:r>
          </w:p>
        </w:tc>
        <w:tc>
          <w:tcPr/>
          <w:p>
            <w:pPr>
              <w:pStyle w:val="Compact"/>
            </w:pPr>
            <w:r>
              <w:rPr>
                <w:rFonts w:ascii="Calibri" w:hAnsi="Calibri"/>
                <w:sz w:val="20"/>
              </w:rPr>
              <w:t xml:space="preserve">neta, valor nominal (principal)</w:t>
            </w:r>
          </w:p>
        </w:tc>
        <w:tc>
          <w:tcPr/>
          <w:p>
            <w:pPr>
              <w:pStyle w:val="Compact"/>
            </w:pPr>
            <w:r>
              <w:rPr>
                <w:rFonts w:ascii="Calibri" w:hAnsi="Calibri"/>
                <w:sz w:val="20"/>
              </w:rPr>
              <w:t xml:space="preserve">neta, valor libros</w:t>
            </w:r>
          </w:p>
        </w:tc>
        <w:tc>
          <w:tcPr/>
          <w:p>
            <w:pPr>
              <w:pStyle w:val="Compact"/>
            </w:pPr>
            <w:r>
              <w:rPr>
                <w:rFonts w:ascii="Calibri" w:hAnsi="Calibri"/>
                <w:sz w:val="20"/>
              </w:rPr>
              <w:t xml:space="preserve">bruta</w:t>
            </w:r>
          </w:p>
        </w:tc>
      </w:tr>
      <w:tr>
        <w:tc>
          <w:tcPr/>
          <w:p>
            <w:pPr>
              <w:pStyle w:val="Compact"/>
            </w:pPr>
            <w:r>
              <w:rPr>
                <w:rFonts w:ascii="Calibri" w:hAnsi="Calibri"/>
                <w:sz w:val="20"/>
              </w:rPr>
              <w:t xml:space="preserve">Portmanteau (12 rezagos)</w:t>
            </w:r>
          </w:p>
        </w:tc>
        <w:tc>
          <w:tcPr/>
          <w:p>
            <w:pPr>
              <w:pStyle w:val="Compact"/>
            </w:pPr>
            <w:r>
              <w:rPr>
                <w:rFonts w:ascii="Calibri" w:hAnsi="Calibri"/>
                <w:sz w:val="20"/>
              </w:rPr>
              <w:t xml:space="preserve">0,036</w:t>
            </w:r>
          </w:p>
        </w:tc>
        <w:tc>
          <w:tcPr/>
          <w:p>
            <w:pPr>
              <w:pStyle w:val="Compact"/>
            </w:pPr>
            <w:r>
              <w:rPr>
                <w:rFonts w:ascii="Calibri" w:hAnsi="Calibri"/>
                <w:sz w:val="20"/>
              </w:rPr>
              <w:t xml:space="preserve">0,030</w:t>
            </w:r>
          </w:p>
        </w:tc>
        <w:tc>
          <w:tcPr/>
          <w:p>
            <w:pPr>
              <w:pStyle w:val="Compact"/>
            </w:pPr>
            <w:r>
              <w:rPr>
                <w:rFonts w:ascii="Calibri" w:hAnsi="Calibri"/>
                <w:sz w:val="20"/>
              </w:rPr>
              <w:t xml:space="preserve">0,020</w:t>
            </w:r>
          </w:p>
        </w:tc>
      </w:tr>
      <w:tr>
        <w:tc>
          <w:tcPr/>
          <w:p>
            <w:pPr>
              <w:pStyle w:val="Compact"/>
            </w:pPr>
            <w:r>
              <w:rPr>
                <w:rFonts w:ascii="Calibri" w:hAnsi="Calibri"/>
                <w:sz w:val="20"/>
              </w:rPr>
              <w:t xml:space="preserve">Normalidad multivariada (p-valor)</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Estable (1 = sí)</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c>
          <w:tcPr/>
          <w:p>
            <w:pPr>
              <w:pStyle w:val="Compact"/>
            </w:pPr>
            <w:r>
              <w:rPr>
                <w:rFonts w:ascii="Calibri" w:hAnsi="Calibri"/>
                <w:sz w:val="20"/>
              </w:rPr>
              <w:t xml:space="preserve">1,000</w:t>
            </w:r>
          </w:p>
        </w:tc>
      </w:tr>
      <w:tr>
        <w:tc>
          <w:tcPr/>
          <w:p>
            <w:pPr>
              <w:pStyle w:val="Compact"/>
            </w:pPr>
            <w:r>
              <w:rPr>
                <w:rFonts w:ascii="Calibri" w:hAnsi="Calibri"/>
                <w:sz w:val="20"/>
              </w:rPr>
              <w:t xml:space="preserve">ARCH-LM(4) resultado primario (p-valor)</w:t>
            </w:r>
          </w:p>
        </w:tc>
        <w:tc>
          <w:tcPr/>
          <w:p>
            <w:pPr>
              <w:pStyle w:val="Compact"/>
            </w:pPr>
            <w:r>
              <w:rPr>
                <w:rFonts w:ascii="Calibri" w:hAnsi="Calibri"/>
                <w:sz w:val="20"/>
              </w:rPr>
              <w:t xml:space="preserve">0,991</w:t>
            </w:r>
          </w:p>
        </w:tc>
        <w:tc>
          <w:tcPr/>
          <w:p>
            <w:pPr>
              <w:pStyle w:val="Compact"/>
            </w:pPr>
            <w:r>
              <w:rPr>
                <w:rFonts w:ascii="Calibri" w:hAnsi="Calibri"/>
                <w:sz w:val="20"/>
              </w:rPr>
              <w:t xml:space="preserve">0,988</w:t>
            </w:r>
          </w:p>
        </w:tc>
        <w:tc>
          <w:tcPr/>
          <w:p>
            <w:pPr>
              <w:pStyle w:val="Compact"/>
            </w:pPr>
            <w:r>
              <w:rPr>
                <w:rFonts w:ascii="Calibri" w:hAnsi="Calibri"/>
                <w:sz w:val="20"/>
              </w:rPr>
              <w:t xml:space="preserve">0,993</w:t>
            </w:r>
          </w:p>
        </w:tc>
      </w:tr>
      <w:tr>
        <w:tc>
          <w:tcPr/>
          <w:p>
            <w:pPr>
              <w:pStyle w:val="Compact"/>
            </w:pPr>
            <w:r>
              <w:rPr>
                <w:rFonts w:ascii="Calibri" w:hAnsi="Calibri"/>
                <w:sz w:val="20"/>
              </w:rPr>
              <w:t xml:space="preserve">ARCH-LM(4) crecimiento (p-valor)</w:t>
            </w:r>
          </w:p>
        </w:tc>
        <w:tc>
          <w:tcPr/>
          <w:p>
            <w:pPr>
              <w:pStyle w:val="Compact"/>
            </w:pPr>
            <w:r>
              <w:rPr>
                <w:rFonts w:ascii="Calibri" w:hAnsi="Calibri"/>
                <w:sz w:val="20"/>
              </w:rPr>
              <w:t xml:space="preserve">0,989</w:t>
            </w:r>
          </w:p>
        </w:tc>
        <w:tc>
          <w:tcPr/>
          <w:p>
            <w:pPr>
              <w:pStyle w:val="Compact"/>
            </w:pPr>
            <w:r>
              <w:rPr>
                <w:rFonts w:ascii="Calibri" w:hAnsi="Calibri"/>
                <w:sz w:val="20"/>
              </w:rPr>
              <w:t xml:space="preserve">0,990</w:t>
            </w:r>
          </w:p>
        </w:tc>
        <w:tc>
          <w:tcPr/>
          <w:p>
            <w:pPr>
              <w:pStyle w:val="Compact"/>
            </w:pPr>
            <w:r>
              <w:rPr>
                <w:rFonts w:ascii="Calibri" w:hAnsi="Calibri"/>
                <w:sz w:val="20"/>
              </w:rPr>
              <w:t xml:space="preserve">0,978</w:t>
            </w:r>
          </w:p>
        </w:tc>
      </w:tr>
      <w:tr>
        <w:tc>
          <w:tcPr/>
          <w:p>
            <w:pPr>
              <w:pStyle w:val="Compact"/>
            </w:pPr>
            <w:r>
              <w:rPr>
                <w:rFonts w:ascii="Calibri" w:hAnsi="Calibri"/>
                <w:sz w:val="20"/>
              </w:rPr>
              <w:t xml:space="preserve">ARCH-LM(4) EMBI (p-valor)</w:t>
            </w:r>
          </w:p>
        </w:tc>
        <w:tc>
          <w:tcPr/>
          <w:p>
            <w:pPr>
              <w:pStyle w:val="Compact"/>
            </w:pPr>
            <w:r>
              <w:rPr>
                <w:rFonts w:ascii="Calibri" w:hAnsi="Calibri"/>
                <w:sz w:val="20"/>
              </w:rPr>
              <w:t xml:space="preserve">0,998</w:t>
            </w:r>
          </w:p>
        </w:tc>
        <w:tc>
          <w:tcPr/>
          <w:p>
            <w:pPr>
              <w:pStyle w:val="Compact"/>
            </w:pPr>
            <w:r>
              <w:rPr>
                <w:rFonts w:ascii="Calibri" w:hAnsi="Calibri"/>
                <w:sz w:val="20"/>
              </w:rPr>
              <w:t xml:space="preserve">0,998</w:t>
            </w:r>
          </w:p>
        </w:tc>
        <w:tc>
          <w:tcPr/>
          <w:p>
            <w:pPr>
              <w:pStyle w:val="Compact"/>
            </w:pPr>
            <w:r>
              <w:rPr>
                <w:rFonts w:ascii="Calibri" w:hAnsi="Calibri"/>
                <w:sz w:val="20"/>
              </w:rPr>
              <w:t xml:space="preserve">0,999</w:t>
            </w:r>
          </w:p>
        </w:tc>
      </w:tr>
      <w:tr>
        <w:tc>
          <w:tcPr/>
          <w:p>
            <w:pPr>
              <w:pStyle w:val="Compact"/>
            </w:pPr>
            <w:r>
              <w:rPr>
                <w:rFonts w:ascii="Calibri" w:hAnsi="Calibri"/>
                <w:sz w:val="20"/>
              </w:rPr>
              <w:t xml:space="preserve">ARCH-LM(4) TCRM (p-valor)</w:t>
            </w:r>
          </w:p>
        </w:tc>
        <w:tc>
          <w:tcPr/>
          <w:p>
            <w:pPr>
              <w:pStyle w:val="Compact"/>
            </w:pPr>
            <w:r>
              <w:rPr>
                <w:rFonts w:ascii="Calibri" w:hAnsi="Calibri"/>
                <w:sz w:val="20"/>
              </w:rPr>
              <w:t xml:space="preserve">0,867</w:t>
            </w:r>
          </w:p>
        </w:tc>
        <w:tc>
          <w:tcPr/>
          <w:p>
            <w:pPr>
              <w:pStyle w:val="Compact"/>
            </w:pPr>
            <w:r>
              <w:rPr>
                <w:rFonts w:ascii="Calibri" w:hAnsi="Calibri"/>
                <w:sz w:val="20"/>
              </w:rPr>
              <w:t xml:space="preserve">0,824</w:t>
            </w:r>
          </w:p>
        </w:tc>
        <w:tc>
          <w:tcPr/>
          <w:p>
            <w:pPr>
              <w:pStyle w:val="Compact"/>
            </w:pPr>
            <w:r>
              <w:rPr>
                <w:rFonts w:ascii="Calibri" w:hAnsi="Calibri"/>
                <w:sz w:val="20"/>
              </w:rPr>
              <w:t xml:space="preserve">0,395</w:t>
            </w:r>
          </w:p>
        </w:tc>
      </w:tr>
    </w:tbl>
    <w:bookmarkEnd w:id="128"/>
    <w:bookmarkStart w:id="129" w:name="a.3-matriz-de-impacto-estructural"/>
    <w:p>
      <w:pPr>
        <w:pStyle w:val="Heading2"/>
      </w:pPr>
      <w:r>
        <w:t xml:space="preserve">A.3 Matriz de impacto estructural</w:t>
      </w:r>
    </w:p>
    <w:p>
      <w:pPr>
        <w:pStyle w:val="FirstParagraph"/>
      </w:pPr>
      <w:r>
        <w:t xml:space="preserve">Efecto en el mismo trimestre de un shock estructural de un desvío estándar (especificación principal). Los ceros son las restricciones de identificación de la sección 4.4. Los dos shocks del bloque cambiario y de riesgo no tienen interpretación por separado: solo se usa su efecto conjunto.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Shock fiscal</w:t>
            </w:r>
          </w:p>
        </w:tc>
        <w:tc>
          <w:tcPr/>
          <w:p>
            <w:pPr>
              <w:pStyle w:val="Compact"/>
            </w:pPr>
            <w:r>
              <w:rPr>
                <w:rFonts w:ascii="Calibri" w:hAnsi="Calibri"/>
                <w:sz w:val="20"/>
              </w:rPr>
              <w:t xml:space="preserve">Shock de actividad</w:t>
            </w:r>
          </w:p>
        </w:tc>
        <w:tc>
          <w:tcPr/>
          <w:p>
            <w:pPr>
              <w:pStyle w:val="Compact"/>
            </w:pPr>
            <w:r>
              <w:rPr>
                <w:rFonts w:ascii="Calibri" w:hAnsi="Calibri"/>
                <w:sz w:val="20"/>
              </w:rPr>
              <w:t xml:space="preserve">Shock cambiario y de riesgo 1</w:t>
            </w:r>
          </w:p>
        </w:tc>
        <w:tc>
          <w:tcPr/>
          <w:p>
            <w:pPr>
              <w:pStyle w:val="Compact"/>
            </w:pPr>
            <w:r>
              <w:rPr>
                <w:rFonts w:ascii="Calibri" w:hAnsi="Calibri"/>
                <w:sz w:val="20"/>
              </w:rPr>
              <w:t xml:space="preserve">Shock cambiario y de riesgo 2</w:t>
            </w:r>
          </w:p>
        </w:tc>
      </w:tr>
      <w:tr>
        <w:tc>
          <w:tcPr/>
          <w:p>
            <w:pPr>
              <w:pStyle w:val="Compact"/>
            </w:pPr>
            <w:r>
              <w:rPr>
                <w:rFonts w:ascii="Calibri" w:hAnsi="Calibri"/>
                <w:sz w:val="20"/>
              </w:rPr>
              <w:t xml:space="preserve">Resultado primario</w:t>
            </w:r>
          </w:p>
        </w:tc>
        <w:tc>
          <w:tcPr/>
          <w:p>
            <w:pPr>
              <w:pStyle w:val="Compact"/>
            </w:pPr>
            <w:r>
              <w:rPr>
                <w:rFonts w:ascii="Calibri" w:hAnsi="Calibri"/>
                <w:sz w:val="20"/>
              </w:rPr>
              <w:t xml:space="preserve">1,509</w:t>
            </w:r>
          </w:p>
        </w:tc>
        <w:tc>
          <w:tcPr/>
          <w:p>
            <w:pPr>
              <w:pStyle w:val="Compact"/>
            </w:pPr>
            <w:r>
              <w:rPr>
                <w:rFonts w:ascii="Calibri" w:hAnsi="Calibri"/>
                <w:sz w:val="20"/>
              </w:rPr>
              <w:t xml:space="preserve">0,679</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Crecimiento</w:t>
            </w:r>
          </w:p>
        </w:tc>
        <w:tc>
          <w:tcPr/>
          <w:p>
            <w:pPr>
              <w:pStyle w:val="Compact"/>
            </w:pPr>
            <w:r>
              <w:rPr>
                <w:rFonts w:ascii="Calibri" w:hAnsi="Calibri"/>
                <w:sz w:val="20"/>
              </w:rPr>
              <w:t xml:space="preserve">-0,266</w:t>
            </w:r>
          </w:p>
        </w:tc>
        <w:tc>
          <w:tcPr/>
          <w:p>
            <w:pPr>
              <w:pStyle w:val="Compact"/>
            </w:pPr>
            <w:r>
              <w:rPr>
                <w:rFonts w:ascii="Calibri" w:hAnsi="Calibri"/>
                <w:sz w:val="20"/>
              </w:rPr>
              <w:t xml:space="preserve">2,717</w:t>
            </w:r>
          </w:p>
        </w:tc>
        <w:tc>
          <w:tcPr/>
          <w:p>
            <w:pPr>
              <w:pStyle w:val="Compact"/>
            </w:pPr>
            <w:r>
              <w:rPr>
                <w:rFonts w:ascii="Calibri" w:hAnsi="Calibri"/>
                <w:sz w:val="20"/>
              </w:rPr>
              <w:t xml:space="preserve">0,000</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-118,560</w:t>
            </w:r>
          </w:p>
        </w:tc>
        <w:tc>
          <w:tcPr/>
          <w:p>
            <w:pPr>
              <w:pStyle w:val="Compact"/>
            </w:pPr>
            <w:r>
              <w:rPr>
                <w:rFonts w:ascii="Calibri" w:hAnsi="Calibri"/>
                <w:sz w:val="20"/>
              </w:rPr>
              <w:t xml:space="preserve">-30,491</w:t>
            </w:r>
          </w:p>
        </w:tc>
        <w:tc>
          <w:tcPr/>
          <w:p>
            <w:pPr>
              <w:pStyle w:val="Compact"/>
            </w:pPr>
            <w:r>
              <w:rPr>
                <w:rFonts w:ascii="Calibri" w:hAnsi="Calibri"/>
                <w:sz w:val="20"/>
              </w:rPr>
              <w:t xml:space="preserve">449,797</w:t>
            </w:r>
          </w:p>
        </w:tc>
        <w:tc>
          <w:tcPr/>
          <w:p>
            <w:pPr>
              <w:pStyle w:val="Compact"/>
            </w:pPr>
            <w:r>
              <w:rPr>
                <w:rFonts w:ascii="Calibri" w:hAnsi="Calibri"/>
                <w:sz w:val="20"/>
              </w:rPr>
              <w:t xml:space="preserve">0,000</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0,022</w:t>
            </w:r>
          </w:p>
        </w:tc>
        <w:tc>
          <w:tcPr/>
          <w:p>
            <w:pPr>
              <w:pStyle w:val="Compact"/>
            </w:pPr>
            <w:r>
              <w:rPr>
                <w:rFonts w:ascii="Calibri" w:hAnsi="Calibri"/>
                <w:sz w:val="20"/>
              </w:rPr>
              <w:t xml:space="preserve">-0,014</w:t>
            </w:r>
          </w:p>
        </w:tc>
        <w:tc>
          <w:tcPr/>
          <w:p>
            <w:pPr>
              <w:pStyle w:val="Compact"/>
            </w:pPr>
            <w:r>
              <w:rPr>
                <w:rFonts w:ascii="Calibri" w:hAnsi="Calibri"/>
                <w:sz w:val="20"/>
              </w:rPr>
              <w:t xml:space="preserve">0,011</w:t>
            </w:r>
          </w:p>
        </w:tc>
        <w:tc>
          <w:tcPr/>
          <w:p>
            <w:pPr>
              <w:pStyle w:val="Compact"/>
            </w:pPr>
            <w:r>
              <w:rPr>
                <w:rFonts w:ascii="Calibri" w:hAnsi="Calibri"/>
                <w:sz w:val="20"/>
              </w:rPr>
              <w:t xml:space="preserve">0,096</w:t>
            </w:r>
          </w:p>
        </w:tc>
      </w:tr>
    </w:tbl>
    <w:bookmarkEnd w:id="129"/>
    <w:bookmarkStart w:id="130" w:name="a.4-ecuación-del-resultado-primario"/>
    <w:p>
      <w:pPr>
        <w:pStyle w:val="Heading2"/>
      </w:pPr>
      <w:r>
        <w:t xml:space="preserve">A.4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p-valores son los de MCO; el intervalo de la reacción de Bohn que se usa en el texto es el del bootstrap.</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Regresor</w:t>
            </w:r>
          </w:p>
        </w:tc>
        <w:tc>
          <w:tcPr/>
          <w:p>
            <w:pPr>
              <w:pStyle w:val="Compact"/>
            </w:pPr>
            <w:r>
              <w:rPr>
                <w:rFonts w:ascii="Calibri" w:hAnsi="Calibri"/>
                <w:sz w:val="20"/>
              </w:rPr>
              <w:t xml:space="preserve">Coeficiente</w:t>
            </w:r>
          </w:p>
        </w:tc>
        <w:tc>
          <w:tcPr/>
          <w:p>
            <w:pPr>
              <w:pStyle w:val="Compact"/>
            </w:pPr>
            <w:r>
              <w:rPr>
                <w:rFonts w:ascii="Calibri" w:hAnsi="Calibri"/>
                <w:sz w:val="20"/>
              </w:rPr>
              <w:t xml:space="preserve">Error estándar</w:t>
            </w:r>
          </w:p>
        </w:tc>
        <w:tc>
          <w:tcPr/>
          <w:p>
            <w:pPr>
              <w:pStyle w:val="Compact"/>
            </w:pPr>
            <w:r>
              <w:rPr>
                <w:rFonts w:ascii="Calibri" w:hAnsi="Calibri"/>
                <w:sz w:val="20"/>
              </w:rPr>
              <w:t xml:space="preserve">p-valor</w:t>
            </w:r>
          </w:p>
        </w:tc>
      </w:tr>
      <w:tr>
        <w:tc>
          <w:tcPr/>
          <w:p>
            <w:pPr>
              <w:pStyle w:val="Compact"/>
            </w:pPr>
            <w:r>
              <w:rPr>
                <w:rFonts w:ascii="Calibri" w:hAnsi="Calibri"/>
                <w:sz w:val="20"/>
              </w:rPr>
              <w:t xml:space="preserve">Variación de la tasa de la FED, rezago 0</w:t>
            </w:r>
          </w:p>
        </w:tc>
        <w:tc>
          <w:tcPr/>
          <w:p>
            <w:pPr>
              <w:pStyle w:val="Compact"/>
            </w:pPr>
            <w:r>
              <w:rPr>
                <w:rFonts w:ascii="Calibri" w:hAnsi="Calibri"/>
                <w:sz w:val="20"/>
              </w:rPr>
              <w:t xml:space="preserve">0,5297</w:t>
            </w:r>
          </w:p>
        </w:tc>
        <w:tc>
          <w:tcPr/>
          <w:p>
            <w:pPr>
              <w:pStyle w:val="Compact"/>
            </w:pPr>
            <w:r>
              <w:rPr>
                <w:rFonts w:ascii="Calibri" w:hAnsi="Calibri"/>
                <w:sz w:val="20"/>
              </w:rPr>
              <w:t xml:space="preserve">0,5178</w:t>
            </w:r>
          </w:p>
        </w:tc>
        <w:tc>
          <w:tcPr/>
          <w:p>
            <w:pPr>
              <w:pStyle w:val="Compact"/>
            </w:pPr>
            <w:r>
              <w:rPr>
                <w:rFonts w:ascii="Calibri" w:hAnsi="Calibri"/>
                <w:sz w:val="20"/>
              </w:rPr>
              <w:t xml:space="preserve">0,306</w:t>
            </w:r>
          </w:p>
        </w:tc>
      </w:tr>
      <w:tr>
        <w:tc>
          <w:tcPr/>
          <w:p>
            <w:pPr>
              <w:pStyle w:val="Compact"/>
            </w:pPr>
            <w:r>
              <w:rPr>
                <w:rFonts w:ascii="Calibri" w:hAnsi="Calibri"/>
                <w:sz w:val="20"/>
              </w:rPr>
              <w:t xml:space="preserve">Variación de la tasa de la FED, rezago 1</w:t>
            </w:r>
          </w:p>
        </w:tc>
        <w:tc>
          <w:tcPr/>
          <w:p>
            <w:pPr>
              <w:pStyle w:val="Compact"/>
            </w:pPr>
            <w:r>
              <w:rPr>
                <w:rFonts w:ascii="Calibri" w:hAnsi="Calibri"/>
                <w:sz w:val="20"/>
              </w:rPr>
              <w:t xml:space="preserve">-0,7911</w:t>
            </w:r>
          </w:p>
        </w:tc>
        <w:tc>
          <w:tcPr/>
          <w:p>
            <w:pPr>
              <w:pStyle w:val="Compact"/>
            </w:pPr>
            <w:r>
              <w:rPr>
                <w:rFonts w:ascii="Calibri" w:hAnsi="Calibri"/>
                <w:sz w:val="20"/>
              </w:rPr>
              <w:t xml:space="preserve">0,5670</w:t>
            </w:r>
          </w:p>
        </w:tc>
        <w:tc>
          <w:tcPr/>
          <w:p>
            <w:pPr>
              <w:pStyle w:val="Compact"/>
            </w:pPr>
            <w:r>
              <w:rPr>
                <w:rFonts w:ascii="Calibri" w:hAnsi="Calibri"/>
                <w:sz w:val="20"/>
              </w:rPr>
              <w:t xml:space="preserve">0,163</w:t>
            </w:r>
          </w:p>
        </w:tc>
      </w:tr>
      <w:tr>
        <w:tc>
          <w:tcPr/>
          <w:p>
            <w:pPr>
              <w:pStyle w:val="Compact"/>
            </w:pPr>
            <w:r>
              <w:rPr>
                <w:rFonts w:ascii="Calibri" w:hAnsi="Calibri"/>
                <w:sz w:val="20"/>
              </w:rPr>
              <w:t xml:space="preserve">Variación de la tasa de la FED, rezago 2</w:t>
            </w:r>
          </w:p>
        </w:tc>
        <w:tc>
          <w:tcPr/>
          <w:p>
            <w:pPr>
              <w:pStyle w:val="Compact"/>
            </w:pPr>
            <w:r>
              <w:rPr>
                <w:rFonts w:ascii="Calibri" w:hAnsi="Calibri"/>
                <w:sz w:val="20"/>
              </w:rPr>
              <w:t xml:space="preserve">0,0030</w:t>
            </w:r>
          </w:p>
        </w:tc>
        <w:tc>
          <w:tcPr/>
          <w:p>
            <w:pPr>
              <w:pStyle w:val="Compact"/>
            </w:pPr>
            <w:r>
              <w:rPr>
                <w:rFonts w:ascii="Calibri" w:hAnsi="Calibri"/>
                <w:sz w:val="20"/>
              </w:rPr>
              <w:t xml:space="preserve">0,5160</w:t>
            </w:r>
          </w:p>
        </w:tc>
        <w:tc>
          <w:tcPr/>
          <w:p>
            <w:pPr>
              <w:pStyle w:val="Compact"/>
            </w:pPr>
            <w:r>
              <w:rPr>
                <w:rFonts w:ascii="Calibri" w:hAnsi="Calibri"/>
                <w:sz w:val="20"/>
              </w:rPr>
              <w:t xml:space="preserve">0,995</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-0,0253</w:t>
            </w:r>
          </w:p>
        </w:tc>
        <w:tc>
          <w:tcPr/>
          <w:p>
            <w:pPr>
              <w:pStyle w:val="Compact"/>
            </w:pPr>
            <w:r>
              <w:rPr>
                <w:rFonts w:ascii="Calibri" w:hAnsi="Calibri"/>
                <w:sz w:val="20"/>
              </w:rPr>
              <w:t xml:space="preserve">0,0319</w:t>
            </w:r>
          </w:p>
        </w:tc>
        <w:tc>
          <w:tcPr/>
          <w:p>
            <w:pPr>
              <w:pStyle w:val="Compact"/>
            </w:pPr>
            <w:r>
              <w:rPr>
                <w:rFonts w:ascii="Calibri" w:hAnsi="Calibri"/>
                <w:sz w:val="20"/>
              </w:rPr>
              <w:t xml:space="preserve">0,427</w:t>
            </w:r>
          </w:p>
        </w:tc>
      </w:tr>
      <w:tr>
        <w:tc>
          <w:tcPr/>
          <w:p>
            <w:pPr>
              <w:pStyle w:val="Compact"/>
            </w:pPr>
            <w:r>
              <w:rPr>
                <w:rFonts w:ascii="Calibri" w:hAnsi="Calibri"/>
                <w:sz w:val="20"/>
              </w:rPr>
              <w:t xml:space="preserve">Deuda consolidada neta, rezago 1 (reacción de Bohn)</w:t>
            </w:r>
          </w:p>
        </w:tc>
        <w:tc>
          <w:tcPr/>
          <w:p>
            <w:pPr>
              <w:pStyle w:val="Compact"/>
            </w:pPr>
            <w:r>
              <w:rPr>
                <w:rFonts w:ascii="Calibri" w:hAnsi="Calibri"/>
                <w:sz w:val="20"/>
              </w:rPr>
              <w:t xml:space="preserve">0,0505</w:t>
            </w:r>
          </w:p>
        </w:tc>
        <w:tc>
          <w:tcPr/>
          <w:p>
            <w:pPr>
              <w:pStyle w:val="Compact"/>
            </w:pPr>
            <w:r>
              <w:rPr>
                <w:rFonts w:ascii="Calibri" w:hAnsi="Calibri"/>
                <w:sz w:val="20"/>
              </w:rPr>
              <w:t xml:space="preserve">0,0215</w:t>
            </w:r>
          </w:p>
        </w:tc>
        <w:tc>
          <w:tcPr/>
          <w:p>
            <w:pPr>
              <w:pStyle w:val="Compact"/>
            </w:pPr>
            <w:r>
              <w:rPr>
                <w:rFonts w:ascii="Calibri" w:hAnsi="Calibri"/>
                <w:sz w:val="20"/>
              </w:rPr>
              <w:t xml:space="preserve">0,019</w:t>
            </w:r>
          </w:p>
        </w:tc>
      </w:tr>
      <w:tr>
        <w:tc>
          <w:tcPr/>
          <w:p>
            <w:pPr>
              <w:pStyle w:val="Compact"/>
            </w:pPr>
            <w:r>
              <w:rPr>
                <w:rFonts w:ascii="Calibri" w:hAnsi="Calibri"/>
                <w:sz w:val="20"/>
              </w:rPr>
              <w:t xml:space="preserve">Resultado primario, rezago 1</w:t>
            </w:r>
          </w:p>
        </w:tc>
        <w:tc>
          <w:tcPr/>
          <w:p>
            <w:pPr>
              <w:pStyle w:val="Compact"/>
            </w:pPr>
            <w:r>
              <w:rPr>
                <w:rFonts w:ascii="Calibri" w:hAnsi="Calibri"/>
                <w:sz w:val="20"/>
              </w:rPr>
              <w:t xml:space="preserve">0,3404</w:t>
            </w:r>
          </w:p>
        </w:tc>
        <w:tc>
          <w:tcPr/>
          <w:p>
            <w:pPr>
              <w:pStyle w:val="Compact"/>
            </w:pPr>
            <w:r>
              <w:rPr>
                <w:rFonts w:ascii="Calibri" w:hAnsi="Calibri"/>
                <w:sz w:val="20"/>
              </w:rPr>
              <w:t xml:space="preserve">0,1116</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1</w:t>
            </w:r>
          </w:p>
        </w:tc>
        <w:tc>
          <w:tcPr/>
          <w:p>
            <w:pPr>
              <w:pStyle w:val="Compact"/>
            </w:pPr>
            <w:r>
              <w:rPr>
                <w:rFonts w:ascii="Calibri" w:hAnsi="Calibri"/>
                <w:sz w:val="20"/>
              </w:rPr>
              <w:t xml:space="preserve">0,0901</w:t>
            </w:r>
          </w:p>
        </w:tc>
        <w:tc>
          <w:tcPr/>
          <w:p>
            <w:pPr>
              <w:pStyle w:val="Compact"/>
            </w:pPr>
            <w:r>
              <w:rPr>
                <w:rFonts w:ascii="Calibri" w:hAnsi="Calibri"/>
                <w:sz w:val="20"/>
              </w:rPr>
              <w:t xml:space="preserve">0,0647</w:t>
            </w:r>
          </w:p>
        </w:tc>
        <w:tc>
          <w:tcPr/>
          <w:p>
            <w:pPr>
              <w:pStyle w:val="Compact"/>
            </w:pPr>
            <w:r>
              <w:rPr>
                <w:rFonts w:ascii="Calibri" w:hAnsi="Calibri"/>
                <w:sz w:val="20"/>
              </w:rPr>
              <w:t xml:space="preserve">0,164</w:t>
            </w:r>
          </w:p>
        </w:tc>
      </w:tr>
      <w:tr>
        <w:tc>
          <w:tcPr/>
          <w:p>
            <w:pPr>
              <w:pStyle w:val="Compact"/>
            </w:pPr>
            <w:r>
              <w:rPr>
                <w:rFonts w:ascii="Calibri" w:hAnsi="Calibri"/>
                <w:sz w:val="20"/>
              </w:rPr>
              <w:t xml:space="preserve">EMBI+, rezago 1</w:t>
            </w:r>
          </w:p>
        </w:tc>
        <w:tc>
          <w:tcPr/>
          <w:p>
            <w:pPr>
              <w:pStyle w:val="Compact"/>
            </w:pPr>
            <w:r>
              <w:rPr>
                <w:rFonts w:ascii="Calibri" w:hAnsi="Calibri"/>
                <w:sz w:val="20"/>
              </w:rPr>
              <w:t xml:space="preserve">-0,0005</w:t>
            </w:r>
          </w:p>
        </w:tc>
        <w:tc>
          <w:tcPr/>
          <w:p>
            <w:pPr>
              <w:pStyle w:val="Compact"/>
            </w:pPr>
            <w:r>
              <w:rPr>
                <w:rFonts w:ascii="Calibri" w:hAnsi="Calibri"/>
                <w:sz w:val="20"/>
              </w:rPr>
              <w:t xml:space="preserve">0,0004</w:t>
            </w:r>
          </w:p>
        </w:tc>
        <w:tc>
          <w:tcPr/>
          <w:p>
            <w:pPr>
              <w:pStyle w:val="Compact"/>
            </w:pPr>
            <w:r>
              <w:rPr>
                <w:rFonts w:ascii="Calibri" w:hAnsi="Calibri"/>
                <w:sz w:val="20"/>
              </w:rPr>
              <w:t xml:space="preserve">0,189</w:t>
            </w:r>
          </w:p>
        </w:tc>
      </w:tr>
      <w:tr>
        <w:tc>
          <w:tcPr/>
          <w:p>
            <w:pPr>
              <w:pStyle w:val="Compact"/>
            </w:pPr>
            <w:r>
              <w:rPr>
                <w:rFonts w:ascii="Calibri" w:hAnsi="Calibri"/>
                <w:sz w:val="20"/>
              </w:rPr>
              <w:t xml:space="preserve">TCRM, rezago 1</w:t>
            </w:r>
          </w:p>
        </w:tc>
        <w:tc>
          <w:tcPr/>
          <w:p>
            <w:pPr>
              <w:pStyle w:val="Compact"/>
            </w:pPr>
            <w:r>
              <w:rPr>
                <w:rFonts w:ascii="Calibri" w:hAnsi="Calibri"/>
                <w:sz w:val="20"/>
              </w:rPr>
              <w:t xml:space="preserve">3,6341</w:t>
            </w:r>
          </w:p>
        </w:tc>
        <w:tc>
          <w:tcPr/>
          <w:p>
            <w:pPr>
              <w:pStyle w:val="Compact"/>
            </w:pPr>
            <w:r>
              <w:rPr>
                <w:rFonts w:ascii="Calibri" w:hAnsi="Calibri"/>
                <w:sz w:val="20"/>
              </w:rPr>
              <w:t xml:space="preserve">1,7183</w:t>
            </w:r>
          </w:p>
        </w:tc>
        <w:tc>
          <w:tcPr/>
          <w:p>
            <w:pPr>
              <w:pStyle w:val="Compact"/>
            </w:pPr>
            <w:r>
              <w:rPr>
                <w:rFonts w:ascii="Calibri" w:hAnsi="Calibri"/>
                <w:sz w:val="20"/>
              </w:rPr>
              <w:t xml:space="preserve">0,034</w:t>
            </w:r>
          </w:p>
        </w:tc>
      </w:tr>
      <w:tr>
        <w:tc>
          <w:tcPr/>
          <w:p>
            <w:pPr>
              <w:pStyle w:val="Compact"/>
            </w:pPr>
            <w:r>
              <w:rPr>
                <w:rFonts w:ascii="Calibri" w:hAnsi="Calibri"/>
                <w:sz w:val="20"/>
              </w:rPr>
              <w:t xml:space="preserve">Resultado primario, rezago 2</w:t>
            </w:r>
          </w:p>
        </w:tc>
        <w:tc>
          <w:tcPr/>
          <w:p>
            <w:pPr>
              <w:pStyle w:val="Compact"/>
            </w:pPr>
            <w:r>
              <w:rPr>
                <w:rFonts w:ascii="Calibri" w:hAnsi="Calibri"/>
                <w:sz w:val="20"/>
              </w:rPr>
              <w:t xml:space="preserve">0,3739</w:t>
            </w:r>
          </w:p>
        </w:tc>
        <w:tc>
          <w:tcPr/>
          <w:p>
            <w:pPr>
              <w:pStyle w:val="Compact"/>
            </w:pPr>
            <w:r>
              <w:rPr>
                <w:rFonts w:ascii="Calibri" w:hAnsi="Calibri"/>
                <w:sz w:val="20"/>
              </w:rPr>
              <w:t xml:space="preserve">0,1190</w:t>
            </w:r>
          </w:p>
        </w:tc>
        <w:tc>
          <w:tcPr/>
          <w:p>
            <w:pPr>
              <w:pStyle w:val="Compact"/>
            </w:pPr>
            <w:r>
              <w:rPr>
                <w:rFonts w:ascii="Calibri" w:hAnsi="Calibri"/>
                <w:sz w:val="20"/>
              </w:rPr>
              <w:t xml:space="preserve">0,002</w:t>
            </w:r>
          </w:p>
        </w:tc>
      </w:tr>
      <w:tr>
        <w:tc>
          <w:tcPr/>
          <w:p>
            <w:pPr>
              <w:pStyle w:val="Compact"/>
            </w:pPr>
            <w:r>
              <w:rPr>
                <w:rFonts w:ascii="Calibri" w:hAnsi="Calibri"/>
                <w:sz w:val="20"/>
              </w:rPr>
              <w:t xml:space="preserve">Crecimiento, rezago 2</w:t>
            </w:r>
          </w:p>
        </w:tc>
        <w:tc>
          <w:tcPr/>
          <w:p>
            <w:pPr>
              <w:pStyle w:val="Compact"/>
            </w:pPr>
            <w:r>
              <w:rPr>
                <w:rFonts w:ascii="Calibri" w:hAnsi="Calibri"/>
                <w:sz w:val="20"/>
              </w:rPr>
              <w:t xml:space="preserve">0,1250</w:t>
            </w:r>
          </w:p>
        </w:tc>
        <w:tc>
          <w:tcPr/>
          <w:p>
            <w:pPr>
              <w:pStyle w:val="Compact"/>
            </w:pPr>
            <w:r>
              <w:rPr>
                <w:rFonts w:ascii="Calibri" w:hAnsi="Calibri"/>
                <w:sz w:val="20"/>
              </w:rPr>
              <w:t xml:space="preserve">0,0633</w:t>
            </w:r>
          </w:p>
        </w:tc>
        <w:tc>
          <w:tcPr/>
          <w:p>
            <w:pPr>
              <w:pStyle w:val="Compact"/>
            </w:pPr>
            <w:r>
              <w:rPr>
                <w:rFonts w:ascii="Calibri" w:hAnsi="Calibri"/>
                <w:sz w:val="20"/>
              </w:rPr>
              <w:t xml:space="preserve">0,048</w:t>
            </w:r>
          </w:p>
        </w:tc>
      </w:tr>
      <w:tr>
        <w:tc>
          <w:tcPr/>
          <w:p>
            <w:pPr>
              <w:pStyle w:val="Compact"/>
            </w:pPr>
            <w:r>
              <w:rPr>
                <w:rFonts w:ascii="Calibri" w:hAnsi="Calibri"/>
                <w:sz w:val="20"/>
              </w:rPr>
              <w:t xml:space="preserve">EMBI+, rezago 2</w:t>
            </w:r>
          </w:p>
        </w:tc>
        <w:tc>
          <w:tcPr/>
          <w:p>
            <w:pPr>
              <w:pStyle w:val="Compact"/>
            </w:pPr>
            <w:r>
              <w:rPr>
                <w:rFonts w:ascii="Calibri" w:hAnsi="Calibri"/>
                <w:sz w:val="20"/>
              </w:rPr>
              <w:t xml:space="preserve">0,0001</w:t>
            </w:r>
          </w:p>
        </w:tc>
        <w:tc>
          <w:tcPr/>
          <w:p>
            <w:pPr>
              <w:pStyle w:val="Compact"/>
            </w:pPr>
            <w:r>
              <w:rPr>
                <w:rFonts w:ascii="Calibri" w:hAnsi="Calibri"/>
                <w:sz w:val="20"/>
              </w:rPr>
              <w:t xml:space="preserve">0,0005</w:t>
            </w:r>
          </w:p>
        </w:tc>
        <w:tc>
          <w:tcPr/>
          <w:p>
            <w:pPr>
              <w:pStyle w:val="Compact"/>
            </w:pPr>
            <w:r>
              <w:rPr>
                <w:rFonts w:ascii="Calibri" w:hAnsi="Calibri"/>
                <w:sz w:val="20"/>
              </w:rPr>
              <w:t xml:space="preserve">0,850</w:t>
            </w:r>
          </w:p>
        </w:tc>
      </w:tr>
      <w:tr>
        <w:tc>
          <w:tcPr/>
          <w:p>
            <w:pPr>
              <w:pStyle w:val="Compact"/>
            </w:pPr>
            <w:r>
              <w:rPr>
                <w:rFonts w:ascii="Calibri" w:hAnsi="Calibri"/>
                <w:sz w:val="20"/>
              </w:rPr>
              <w:t xml:space="preserve">TCRM, rezago 2</w:t>
            </w:r>
          </w:p>
        </w:tc>
        <w:tc>
          <w:tcPr/>
          <w:p>
            <w:pPr>
              <w:pStyle w:val="Compact"/>
            </w:pPr>
            <w:r>
              <w:rPr>
                <w:rFonts w:ascii="Calibri" w:hAnsi="Calibri"/>
                <w:sz w:val="20"/>
              </w:rPr>
              <w:t xml:space="preserve">-2,9019</w:t>
            </w:r>
          </w:p>
        </w:tc>
        <w:tc>
          <w:tcPr/>
          <w:p>
            <w:pPr>
              <w:pStyle w:val="Compact"/>
            </w:pPr>
            <w:r>
              <w:rPr>
                <w:rFonts w:ascii="Calibri" w:hAnsi="Calibri"/>
                <w:sz w:val="20"/>
              </w:rPr>
              <w:t xml:space="preserve">2,3871</w:t>
            </w:r>
          </w:p>
        </w:tc>
        <w:tc>
          <w:tcPr/>
          <w:p>
            <w:pPr>
              <w:pStyle w:val="Compact"/>
            </w:pPr>
            <w:r>
              <w:rPr>
                <w:rFonts w:ascii="Calibri" w:hAnsi="Calibri"/>
                <w:sz w:val="20"/>
              </w:rPr>
              <w:t xml:space="preserve">0,224</w:t>
            </w:r>
          </w:p>
        </w:tc>
      </w:tr>
      <w:tr>
        <w:tc>
          <w:tcPr/>
          <w:p>
            <w:pPr>
              <w:pStyle w:val="Compact"/>
            </w:pPr>
            <w:r>
              <w:rPr>
                <w:rFonts w:ascii="Calibri" w:hAnsi="Calibri"/>
                <w:sz w:val="20"/>
              </w:rPr>
              <w:t xml:space="preserve">Resultado primario, rezago 3</w:t>
            </w:r>
          </w:p>
        </w:tc>
        <w:tc>
          <w:tcPr/>
          <w:p>
            <w:pPr>
              <w:pStyle w:val="Compact"/>
            </w:pPr>
            <w:r>
              <w:rPr>
                <w:rFonts w:ascii="Calibri" w:hAnsi="Calibri"/>
                <w:sz w:val="20"/>
              </w:rPr>
              <w:t xml:space="preserve">0,0149</w:t>
            </w:r>
          </w:p>
        </w:tc>
        <w:tc>
          <w:tcPr/>
          <w:p>
            <w:pPr>
              <w:pStyle w:val="Compact"/>
            </w:pPr>
            <w:r>
              <w:rPr>
                <w:rFonts w:ascii="Calibri" w:hAnsi="Calibri"/>
                <w:sz w:val="20"/>
              </w:rPr>
              <w:t xml:space="preserve">0,1154</w:t>
            </w:r>
          </w:p>
        </w:tc>
        <w:tc>
          <w:tcPr/>
          <w:p>
            <w:pPr>
              <w:pStyle w:val="Compact"/>
            </w:pPr>
            <w:r>
              <w:rPr>
                <w:rFonts w:ascii="Calibri" w:hAnsi="Calibri"/>
                <w:sz w:val="20"/>
              </w:rPr>
              <w:t xml:space="preserve">0,897</w:t>
            </w:r>
          </w:p>
        </w:tc>
      </w:tr>
      <w:tr>
        <w:tc>
          <w:tcPr/>
          <w:p>
            <w:pPr>
              <w:pStyle w:val="Compact"/>
            </w:pPr>
            <w:r>
              <w:rPr>
                <w:rFonts w:ascii="Calibri" w:hAnsi="Calibri"/>
                <w:sz w:val="20"/>
              </w:rPr>
              <w:t xml:space="preserve">Crecimiento, rezago 3</w:t>
            </w:r>
          </w:p>
        </w:tc>
        <w:tc>
          <w:tcPr/>
          <w:p>
            <w:pPr>
              <w:pStyle w:val="Compact"/>
            </w:pPr>
            <w:r>
              <w:rPr>
                <w:rFonts w:ascii="Calibri" w:hAnsi="Calibri"/>
                <w:sz w:val="20"/>
              </w:rPr>
              <w:t xml:space="preserve">-0,0330</w:t>
            </w:r>
          </w:p>
        </w:tc>
        <w:tc>
          <w:tcPr/>
          <w:p>
            <w:pPr>
              <w:pStyle w:val="Compact"/>
            </w:pPr>
            <w:r>
              <w:rPr>
                <w:rFonts w:ascii="Calibri" w:hAnsi="Calibri"/>
                <w:sz w:val="20"/>
              </w:rPr>
              <w:t xml:space="preserve">0,0605</w:t>
            </w:r>
          </w:p>
        </w:tc>
        <w:tc>
          <w:tcPr/>
          <w:p>
            <w:pPr>
              <w:pStyle w:val="Compact"/>
            </w:pPr>
            <w:r>
              <w:rPr>
                <w:rFonts w:ascii="Calibri" w:hAnsi="Calibri"/>
                <w:sz w:val="20"/>
              </w:rPr>
              <w:t xml:space="preserve">0,586</w:t>
            </w:r>
          </w:p>
        </w:tc>
      </w:tr>
      <w:tr>
        <w:tc>
          <w:tcPr/>
          <w:p>
            <w:pPr>
              <w:pStyle w:val="Compact"/>
            </w:pPr>
            <w:r>
              <w:rPr>
                <w:rFonts w:ascii="Calibri" w:hAnsi="Calibri"/>
                <w:sz w:val="20"/>
              </w:rPr>
              <w:t xml:space="preserve">EMBI+, rezago 3</w:t>
            </w:r>
          </w:p>
        </w:tc>
        <w:tc>
          <w:tcPr/>
          <w:p>
            <w:pPr>
              <w:pStyle w:val="Compact"/>
            </w:pPr>
            <w:r>
              <w:rPr>
                <w:rFonts w:ascii="Calibri" w:hAnsi="Calibri"/>
                <w:sz w:val="20"/>
              </w:rPr>
              <w:t xml:space="preserve">0,0002</w:t>
            </w:r>
          </w:p>
        </w:tc>
        <w:tc>
          <w:tcPr/>
          <w:p>
            <w:pPr>
              <w:pStyle w:val="Compact"/>
            </w:pPr>
            <w:r>
              <w:rPr>
                <w:rFonts w:ascii="Calibri" w:hAnsi="Calibri"/>
                <w:sz w:val="20"/>
              </w:rPr>
              <w:t xml:space="preserve">0,0004</w:t>
            </w:r>
          </w:p>
        </w:tc>
        <w:tc>
          <w:tcPr/>
          <w:p>
            <w:pPr>
              <w:pStyle w:val="Compact"/>
            </w:pPr>
            <w:r>
              <w:rPr>
                <w:rFonts w:ascii="Calibri" w:hAnsi="Calibri"/>
                <w:sz w:val="20"/>
              </w:rPr>
              <w:t xml:space="preserve">0,520</w:t>
            </w:r>
          </w:p>
        </w:tc>
      </w:tr>
      <w:tr>
        <w:tc>
          <w:tcPr/>
          <w:p>
            <w:pPr>
              <w:pStyle w:val="Compact"/>
            </w:pPr>
            <w:r>
              <w:rPr>
                <w:rFonts w:ascii="Calibri" w:hAnsi="Calibri"/>
                <w:sz w:val="20"/>
              </w:rPr>
              <w:t xml:space="preserve">TCRM, rezago 3</w:t>
            </w:r>
          </w:p>
        </w:tc>
        <w:tc>
          <w:tcPr/>
          <w:p>
            <w:pPr>
              <w:pStyle w:val="Compact"/>
            </w:pPr>
            <w:r>
              <w:rPr>
                <w:rFonts w:ascii="Calibri" w:hAnsi="Calibri"/>
                <w:sz w:val="20"/>
              </w:rPr>
              <w:t xml:space="preserve">-0,2936</w:t>
            </w:r>
          </w:p>
        </w:tc>
        <w:tc>
          <w:tcPr/>
          <w:p>
            <w:pPr>
              <w:pStyle w:val="Compact"/>
            </w:pPr>
            <w:r>
              <w:rPr>
                <w:rFonts w:ascii="Calibri" w:hAnsi="Calibri"/>
                <w:sz w:val="20"/>
              </w:rPr>
              <w:t xml:space="preserve">1,6455</w:t>
            </w:r>
          </w:p>
        </w:tc>
        <w:tc>
          <w:tcPr/>
          <w:p>
            <w:pPr>
              <w:pStyle w:val="Compact"/>
            </w:pPr>
            <w:r>
              <w:rPr>
                <w:rFonts w:ascii="Calibri" w:hAnsi="Calibri"/>
                <w:sz w:val="20"/>
              </w:rPr>
              <w:t xml:space="preserve">0,858</w:t>
            </w:r>
          </w:p>
        </w:tc>
      </w:tr>
    </w:tbl>
    <w:bookmarkEnd w:id="130"/>
    <w:bookmarkStart w:id="131" w:name="X75af1f7c14f81eb011f7e98c945663ad6c4e183"/>
    <w:p>
      <w:pPr>
        <w:pStyle w:val="Heading2"/>
      </w:pPr>
      <w:r>
        <w:t xml:space="preserve">A.5 Resultados completos de la simulación por especificación</w:t>
      </w:r>
    </w:p>
    <w:p>
      <w:pPr>
        <w:pStyle w:val="FirstParagraph"/>
      </w:pPr>
      <w:r>
        <w:t xml:space="preserve">Media entre réplicas de parámetros y, entre corchetes, percentiles 5 y 95 (300 réplicas por 400 trayectorias).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Indicador</w:t>
            </w:r>
          </w:p>
        </w:tc>
        <w:tc>
          <w:tcPr/>
          <w:p>
            <w:pPr>
              <w:pStyle w:val="Compact"/>
            </w:pPr>
            <w:r>
              <w:rPr>
                <w:rFonts w:ascii="Calibri" w:hAnsi="Calibri"/>
                <w:sz w:val="20"/>
              </w:rPr>
              <w:t xml:space="preserve">Neta (principal)</w:t>
            </w:r>
          </w:p>
        </w:tc>
        <w:tc>
          <w:tcPr/>
          <w:p>
            <w:pPr>
              <w:pStyle w:val="Compact"/>
            </w:pPr>
            <w:r>
              <w:rPr>
                <w:rFonts w:ascii="Calibri" w:hAnsi="Calibri"/>
                <w:sz w:val="20"/>
              </w:rPr>
              <w:t xml:space="preserve">Neta en libros</w:t>
            </w:r>
          </w:p>
        </w:tc>
        <w:tc>
          <w:tcPr/>
          <w:p>
            <w:pPr>
              <w:pStyle w:val="Compact"/>
            </w:pPr>
            <w:r>
              <w:rPr>
                <w:rFonts w:ascii="Calibri" w:hAnsi="Calibri"/>
                <w:sz w:val="20"/>
              </w:rPr>
              <w:t xml:space="preserve">Bruta</w:t>
            </w:r>
          </w:p>
        </w:tc>
        <w:tc>
          <w:tcPr/>
          <w:p>
            <w:pPr>
              <w:pStyle w:val="Compact"/>
            </w:pPr>
            <w:r>
              <w:rPr>
                <w:rFonts w:ascii="Calibri" w:hAnsi="Calibri"/>
                <w:sz w:val="20"/>
              </w:rPr>
              <w:t xml:space="preserve">Neta con tasas en pesos</w:t>
            </w:r>
          </w:p>
        </w:tc>
        <w:tc>
          <w:tcPr/>
          <w:p>
            <w:pPr>
              <w:pStyle w:val="Compact"/>
            </w:pPr>
            <w:r>
              <w:rPr>
                <w:rFonts w:ascii="Calibri" w:hAnsi="Calibri"/>
                <w:sz w:val="20"/>
              </w:rPr>
              <w:t xml:space="preserve">Neta sin retroalimentación</w:t>
            </w:r>
          </w:p>
        </w:tc>
      </w:tr>
      <w:tr>
        <w:tc>
          <w:tcPr/>
          <w:p>
            <w:pPr>
              <w:pStyle w:val="Compact"/>
            </w:pPr>
            <w:r>
              <w:rPr>
                <w:rFonts w:ascii="Calibri" w:hAnsi="Calibri"/>
                <w:sz w:val="20"/>
              </w:rPr>
              <w:t xml:space="preserve">No estabilización 2030 (%)</w:t>
            </w:r>
          </w:p>
        </w:tc>
        <w:tc>
          <w:tcPr/>
          <w:p>
            <w:pPr>
              <w:pStyle w:val="Compact"/>
            </w:pPr>
            <w:r>
              <w:rPr>
                <w:rFonts w:ascii="Calibri" w:hAnsi="Calibri"/>
                <w:sz w:val="20"/>
              </w:rPr>
              <w:t xml:space="preserve">11,8 [8,0; 15,8]</w:t>
            </w:r>
          </w:p>
        </w:tc>
        <w:tc>
          <w:tcPr/>
          <w:p>
            <w:pPr>
              <w:pStyle w:val="Compact"/>
            </w:pPr>
            <w:r>
              <w:rPr>
                <w:rFonts w:ascii="Calibri" w:hAnsi="Calibri"/>
                <w:sz w:val="20"/>
              </w:rPr>
              <w:t xml:space="preserve">13,0 [9,0; 17,8]</w:t>
            </w:r>
          </w:p>
        </w:tc>
        <w:tc>
          <w:tcPr/>
          <w:p>
            <w:pPr>
              <w:pStyle w:val="Compact"/>
            </w:pPr>
            <w:r>
              <w:rPr>
                <w:rFonts w:ascii="Calibri" w:hAnsi="Calibri"/>
                <w:sz w:val="20"/>
              </w:rPr>
              <w:t xml:space="preserve">12,7 [9,0; 17,0]</w:t>
            </w:r>
          </w:p>
        </w:tc>
        <w:tc>
          <w:tcPr/>
          <w:p>
            <w:pPr>
              <w:pStyle w:val="Compact"/>
            </w:pPr>
            <w:r>
              <w:rPr>
                <w:rFonts w:ascii="Calibri" w:hAnsi="Calibri"/>
                <w:sz w:val="20"/>
              </w:rPr>
              <w:t xml:space="preserve">12,2 [8,5; 16,0]</w:t>
            </w:r>
          </w:p>
        </w:tc>
        <w:tc>
          <w:tcPr/>
          <w:p>
            <w:pPr>
              <w:pStyle w:val="Compact"/>
            </w:pPr>
            <w:r>
              <w:rPr>
                <w:rFonts w:ascii="Calibri" w:hAnsi="Calibri"/>
                <w:sz w:val="20"/>
              </w:rPr>
              <w:t xml:space="preserve">11,6 [7,8; 15,5]</w:t>
            </w:r>
          </w:p>
        </w:tc>
      </w:tr>
      <w:tr>
        <w:tc>
          <w:tcPr/>
          <w:p>
            <w:pPr>
              <w:pStyle w:val="Compact"/>
            </w:pPr>
            <w:r>
              <w:rPr>
                <w:rFonts w:ascii="Calibri" w:hAnsi="Calibri"/>
                <w:sz w:val="20"/>
              </w:rPr>
              <w:t xml:space="preserve">No estabilización 2035 (%)</w:t>
            </w:r>
          </w:p>
        </w:tc>
        <w:tc>
          <w:tcPr/>
          <w:p>
            <w:pPr>
              <w:pStyle w:val="Compact"/>
            </w:pPr>
            <w:r>
              <w:rPr>
                <w:rFonts w:ascii="Calibri" w:hAnsi="Calibri"/>
                <w:sz w:val="20"/>
              </w:rPr>
              <w:t xml:space="preserve">6,0 [3,0; 9,8]</w:t>
            </w:r>
          </w:p>
        </w:tc>
        <w:tc>
          <w:tcPr/>
          <w:p>
            <w:pPr>
              <w:pStyle w:val="Compact"/>
            </w:pPr>
            <w:r>
              <w:rPr>
                <w:rFonts w:ascii="Calibri" w:hAnsi="Calibri"/>
                <w:sz w:val="20"/>
              </w:rPr>
              <w:t xml:space="preserve">6,8 [3,2; 10,8]</w:t>
            </w:r>
          </w:p>
        </w:tc>
        <w:tc>
          <w:tcPr/>
          <w:p>
            <w:pPr>
              <w:pStyle w:val="Compact"/>
            </w:pPr>
            <w:r>
              <w:rPr>
                <w:rFonts w:ascii="Calibri" w:hAnsi="Calibri"/>
                <w:sz w:val="20"/>
              </w:rPr>
              <w:t xml:space="preserve">7,3 [4,0; 11,2]</w:t>
            </w:r>
          </w:p>
        </w:tc>
        <w:tc>
          <w:tcPr/>
          <w:p>
            <w:pPr>
              <w:pStyle w:val="Compact"/>
            </w:pPr>
            <w:r>
              <w:rPr>
                <w:rFonts w:ascii="Calibri" w:hAnsi="Calibri"/>
                <w:sz w:val="20"/>
              </w:rPr>
              <w:t xml:space="preserve">7,6 [3,7; 12,0]</w:t>
            </w:r>
          </w:p>
        </w:tc>
        <w:tc>
          <w:tcPr/>
          <w:p>
            <w:pPr>
              <w:pStyle w:val="Compact"/>
            </w:pPr>
            <w:r>
              <w:rPr>
                <w:rFonts w:ascii="Calibri" w:hAnsi="Calibri"/>
                <w:sz w:val="20"/>
              </w:rPr>
              <w:t xml:space="preserve">5,6 [2,8; 9,2]</w:t>
            </w:r>
          </w:p>
        </w:tc>
      </w:tr>
      <w:tr>
        <w:tc>
          <w:tcPr/>
          <w:p>
            <w:pPr>
              <w:pStyle w:val="Compact"/>
            </w:pPr>
            <w:r>
              <w:rPr>
                <w:rFonts w:ascii="Calibri" w:hAnsi="Calibri"/>
                <w:sz w:val="20"/>
              </w:rPr>
              <w:t xml:space="preserve">Deuda media 2035 (% PIB)</w:t>
            </w:r>
          </w:p>
        </w:tc>
        <w:tc>
          <w:tcPr/>
          <w:p>
            <w:pPr>
              <w:pStyle w:val="Compact"/>
            </w:pPr>
            <w:r>
              <w:rPr>
                <w:rFonts w:ascii="Calibri" w:hAnsi="Calibri"/>
                <w:sz w:val="20"/>
              </w:rPr>
              <w:t xml:space="preserve">18,0 [17,2; 19,2]</w:t>
            </w:r>
          </w:p>
        </w:tc>
        <w:tc>
          <w:tcPr/>
          <w:p>
            <w:pPr>
              <w:pStyle w:val="Compact"/>
            </w:pPr>
            <w:r>
              <w:rPr>
                <w:rFonts w:ascii="Calibri" w:hAnsi="Calibri"/>
                <w:sz w:val="20"/>
              </w:rPr>
              <w:t xml:space="preserve">19,7 [18,8; 21,0]</w:t>
            </w:r>
          </w:p>
        </w:tc>
        <w:tc>
          <w:tcPr/>
          <w:p>
            <w:pPr>
              <w:pStyle w:val="Compact"/>
            </w:pPr>
            <w:r>
              <w:rPr>
                <w:rFonts w:ascii="Calibri" w:hAnsi="Calibri"/>
                <w:sz w:val="20"/>
              </w:rPr>
              <w:t xml:space="preserve">25,8 [24,9; 26,9]</w:t>
            </w:r>
          </w:p>
        </w:tc>
        <w:tc>
          <w:tcPr/>
          <w:p>
            <w:pPr>
              <w:pStyle w:val="Compact"/>
            </w:pPr>
            <w:r>
              <w:rPr>
                <w:rFonts w:ascii="Calibri" w:hAnsi="Calibri"/>
                <w:sz w:val="20"/>
              </w:rPr>
              <w:t xml:space="preserve">18,6 [17,4; 20,3]</w:t>
            </w:r>
          </w:p>
        </w:tc>
        <w:tc>
          <w:tcPr/>
          <w:p>
            <w:pPr>
              <w:pStyle w:val="Compact"/>
            </w:pPr>
            <w:r>
              <w:rPr>
                <w:rFonts w:ascii="Calibri" w:hAnsi="Calibri"/>
                <w:sz w:val="20"/>
              </w:rPr>
              <w:t xml:space="preserve">18,0 [17,1; 19,1]</w:t>
            </w:r>
          </w:p>
        </w:tc>
      </w:tr>
      <w:tr>
        <w:tc>
          <w:tcPr/>
          <w:p>
            <w:pPr>
              <w:pStyle w:val="Compact"/>
            </w:pPr>
            <w:r>
              <w:rPr>
                <w:rFonts w:ascii="Calibri" w:hAnsi="Calibri"/>
                <w:sz w:val="20"/>
              </w:rPr>
              <w:t xml:space="preserve">Ancho p5-p95 2030</w:t>
            </w:r>
          </w:p>
        </w:tc>
        <w:tc>
          <w:tcPr/>
          <w:p>
            <w:pPr>
              <w:pStyle w:val="Compact"/>
            </w:pPr>
            <w:r>
              <w:rPr>
                <w:rFonts w:ascii="Calibri" w:hAnsi="Calibri"/>
                <w:sz w:val="20"/>
              </w:rPr>
              <w:t xml:space="preserve">19,4 [15,4; 24,3]</w:t>
            </w:r>
          </w:p>
        </w:tc>
        <w:tc>
          <w:tcPr/>
          <w:p>
            <w:pPr>
              <w:pStyle w:val="Compact"/>
            </w:pPr>
            <w:r>
              <w:rPr>
                <w:rFonts w:ascii="Calibri" w:hAnsi="Calibri"/>
                <w:sz w:val="20"/>
              </w:rPr>
              <w:t xml:space="preserve">19,9 [15,8; 24,6]</w:t>
            </w:r>
          </w:p>
        </w:tc>
        <w:tc>
          <w:tcPr/>
          <w:p>
            <w:pPr>
              <w:pStyle w:val="Compact"/>
            </w:pPr>
            <w:r>
              <w:rPr>
                <w:rFonts w:ascii="Calibri" w:hAnsi="Calibri"/>
                <w:sz w:val="20"/>
              </w:rPr>
              <w:t xml:space="preserve">20,9 [16,9; 26,0]</w:t>
            </w:r>
          </w:p>
        </w:tc>
        <w:tc>
          <w:tcPr/>
          <w:p>
            <w:pPr>
              <w:pStyle w:val="Compact"/>
            </w:pPr>
            <w:r>
              <w:rPr>
                <w:rFonts w:ascii="Calibri" w:hAnsi="Calibri"/>
                <w:sz w:val="20"/>
              </w:rPr>
              <w:t xml:space="preserve">21,3 [16,5; 27,2]</w:t>
            </w:r>
          </w:p>
        </w:tc>
        <w:tc>
          <w:tcPr/>
          <w:p>
            <w:pPr>
              <w:pStyle w:val="Compact"/>
            </w:pPr>
            <w:r>
              <w:rPr>
                <w:rFonts w:ascii="Calibri" w:hAnsi="Calibri"/>
                <w:sz w:val="20"/>
              </w:rPr>
              <w:t xml:space="preserve">20,9 [16,4; 26,0]</w:t>
            </w:r>
          </w:p>
        </w:tc>
      </w:tr>
      <w:tr>
        <w:tc>
          <w:tcPr/>
          <w:p>
            <w:pPr>
              <w:pStyle w:val="Compact"/>
            </w:pPr>
            <w:r>
              <w:rPr>
                <w:rFonts w:ascii="Calibri" w:hAnsi="Calibri"/>
                <w:sz w:val="20"/>
              </w:rPr>
              <w:t xml:space="preserve">Varianza 2035: fiscal (%)</w:t>
            </w:r>
          </w:p>
        </w:tc>
        <w:tc>
          <w:tcPr/>
          <w:p>
            <w:pPr>
              <w:pStyle w:val="Compact"/>
            </w:pPr>
            <w:r>
              <w:rPr>
                <w:rFonts w:ascii="Calibri" w:hAnsi="Calibri"/>
                <w:sz w:val="20"/>
              </w:rPr>
              <w:t xml:space="preserve">19,4 [3,5; 41,2]</w:t>
            </w:r>
          </w:p>
        </w:tc>
        <w:tc>
          <w:tcPr/>
          <w:p>
            <w:pPr>
              <w:pStyle w:val="Compact"/>
            </w:pPr>
            <w:r>
              <w:rPr>
                <w:rFonts w:ascii="Calibri" w:hAnsi="Calibri"/>
                <w:sz w:val="20"/>
              </w:rPr>
              <w:t xml:space="preserve">18,7 [3,6; 38,9]</w:t>
            </w:r>
          </w:p>
        </w:tc>
        <w:tc>
          <w:tcPr/>
          <w:p>
            <w:pPr>
              <w:pStyle w:val="Compact"/>
            </w:pPr>
            <w:r>
              <w:rPr>
                <w:rFonts w:ascii="Calibri" w:hAnsi="Calibri"/>
                <w:sz w:val="20"/>
              </w:rPr>
              <w:t xml:space="preserve">21,4 [2,3; 50,0]</w:t>
            </w:r>
          </w:p>
        </w:tc>
        <w:tc>
          <w:tcPr/>
          <w:p>
            <w:pPr>
              <w:pStyle w:val="Compact"/>
            </w:pPr>
            <w:r>
              <w:rPr>
                <w:rFonts w:ascii="Calibri" w:hAnsi="Calibri"/>
                <w:sz w:val="20"/>
              </w:rPr>
              <w:t xml:space="preserve">16,8 [2,7; 38,8]</w:t>
            </w:r>
          </w:p>
        </w:tc>
        <w:tc>
          <w:tcPr/>
          <w:p>
            <w:pPr>
              <w:pStyle w:val="Compact"/>
            </w:pPr>
            <w:r>
              <w:rPr>
                <w:rFonts w:ascii="Calibri" w:hAnsi="Calibri"/>
                <w:sz w:val="20"/>
              </w:rPr>
              <w:t xml:space="preserve">19,3 [3,7; 41,5]</w:t>
            </w:r>
          </w:p>
        </w:tc>
      </w:tr>
      <w:tr>
        <w:tc>
          <w:tcPr/>
          <w:p>
            <w:pPr>
              <w:pStyle w:val="Compact"/>
            </w:pPr>
            <w:r>
              <w:rPr>
                <w:rFonts w:ascii="Calibri" w:hAnsi="Calibri"/>
                <w:sz w:val="20"/>
              </w:rPr>
              <w:t xml:space="preserve">Varianza 2035: actividad (%)</w:t>
            </w:r>
          </w:p>
        </w:tc>
        <w:tc>
          <w:tcPr/>
          <w:p>
            <w:pPr>
              <w:pStyle w:val="Compact"/>
            </w:pPr>
            <w:r>
              <w:rPr>
                <w:rFonts w:ascii="Calibri" w:hAnsi="Calibri"/>
                <w:sz w:val="20"/>
              </w:rPr>
              <w:t xml:space="preserve">21,6 [3,9; 49,9]</w:t>
            </w:r>
          </w:p>
        </w:tc>
        <w:tc>
          <w:tcPr/>
          <w:p>
            <w:pPr>
              <w:pStyle w:val="Compact"/>
            </w:pPr>
            <w:r>
              <w:rPr>
                <w:rFonts w:ascii="Calibri" w:hAnsi="Calibri"/>
                <w:sz w:val="20"/>
              </w:rPr>
              <w:t xml:space="preserve">22,8 [4,0; 54,2]</w:t>
            </w:r>
          </w:p>
        </w:tc>
        <w:tc>
          <w:tcPr/>
          <w:p>
            <w:pPr>
              <w:pStyle w:val="Compact"/>
            </w:pPr>
            <w:r>
              <w:rPr>
                <w:rFonts w:ascii="Calibri" w:hAnsi="Calibri"/>
                <w:sz w:val="20"/>
              </w:rPr>
              <w:t xml:space="preserve">27,4 [6,6; 58,4]</w:t>
            </w:r>
          </w:p>
        </w:tc>
        <w:tc>
          <w:tcPr/>
          <w:p>
            <w:pPr>
              <w:pStyle w:val="Compact"/>
            </w:pPr>
            <w:r>
              <w:rPr>
                <w:rFonts w:ascii="Calibri" w:hAnsi="Calibri"/>
                <w:sz w:val="20"/>
              </w:rPr>
              <w:t xml:space="preserve">16,3 [3,0; 40,3]</w:t>
            </w:r>
          </w:p>
        </w:tc>
        <w:tc>
          <w:tcPr/>
          <w:p>
            <w:pPr>
              <w:pStyle w:val="Compact"/>
            </w:pPr>
            <w:r>
              <w:rPr>
                <w:rFonts w:ascii="Calibri" w:hAnsi="Calibri"/>
                <w:sz w:val="20"/>
              </w:rPr>
              <w:t xml:space="preserve">20,6 [5,0; 49,9]</w:t>
            </w:r>
          </w:p>
        </w:tc>
      </w:tr>
      <w:tr>
        <w:tc>
          <w:tcPr/>
          <w:p>
            <w:pPr>
              <w:pStyle w:val="Compact"/>
            </w:pPr>
            <w:r>
              <w:rPr>
                <w:rFonts w:ascii="Calibri" w:hAnsi="Calibri"/>
                <w:sz w:val="20"/>
              </w:rPr>
              <w:t xml:space="preserve">Varianza 2035: cambiario y de riesgo (%)</w:t>
            </w:r>
          </w:p>
        </w:tc>
        <w:tc>
          <w:tcPr/>
          <w:p>
            <w:pPr>
              <w:pStyle w:val="Compact"/>
            </w:pPr>
            <w:r>
              <w:rPr>
                <w:rFonts w:ascii="Calibri" w:hAnsi="Calibri"/>
                <w:sz w:val="20"/>
              </w:rPr>
              <w:t xml:space="preserve">59,0 [12,5; 89,5]</w:t>
            </w:r>
          </w:p>
        </w:tc>
        <w:tc>
          <w:tcPr/>
          <w:p>
            <w:pPr>
              <w:pStyle w:val="Compact"/>
            </w:pPr>
            <w:r>
              <w:rPr>
                <w:rFonts w:ascii="Calibri" w:hAnsi="Calibri"/>
                <w:sz w:val="20"/>
              </w:rPr>
              <w:t xml:space="preserve">58,4 [15,1; 88,8]</w:t>
            </w:r>
          </w:p>
        </w:tc>
        <w:tc>
          <w:tcPr/>
          <w:p>
            <w:pPr>
              <w:pStyle w:val="Compact"/>
            </w:pPr>
            <w:r>
              <w:rPr>
                <w:rFonts w:ascii="Calibri" w:hAnsi="Calibri"/>
                <w:sz w:val="20"/>
              </w:rPr>
              <w:t xml:space="preserve">51,2 [6,8; 86,5]</w:t>
            </w:r>
          </w:p>
        </w:tc>
        <w:tc>
          <w:tcPr/>
          <w:p>
            <w:pPr>
              <w:pStyle w:val="Compact"/>
            </w:pPr>
            <w:r>
              <w:rPr>
                <w:rFonts w:ascii="Calibri" w:hAnsi="Calibri"/>
                <w:sz w:val="20"/>
              </w:rPr>
              <w:t xml:space="preserve">66,9 [25,1; 92,3]</w:t>
            </w:r>
          </w:p>
        </w:tc>
        <w:tc>
          <w:tcPr/>
          <w:p>
            <w:pPr>
              <w:pStyle w:val="Compact"/>
            </w:pPr>
            <w:r>
              <w:rPr>
                <w:rFonts w:ascii="Calibri" w:hAnsi="Calibri"/>
                <w:sz w:val="20"/>
              </w:rPr>
              <w:t xml:space="preserve">60,1 [12,0; 88,4]</w:t>
            </w:r>
          </w:p>
        </w:tc>
      </w:tr>
      <w:tr>
        <w:tc>
          <w:tcPr/>
          <w:p>
            <w:pPr>
              <w:pStyle w:val="Compact"/>
            </w:pPr>
            <w:r>
              <w:rPr>
                <w:rFonts w:ascii="Calibri" w:hAnsi="Calibri"/>
                <w:sz w:val="20"/>
              </w:rPr>
              <w:t xml:space="preserve">H1a: no fiscal menos fiscal</w:t>
            </w:r>
          </w:p>
        </w:tc>
        <w:tc>
          <w:tcPr/>
          <w:p>
            <w:pPr>
              <w:pStyle w:val="Compact"/>
            </w:pPr>
            <w:r>
              <w:rPr>
                <w:rFonts w:ascii="Calibri" w:hAnsi="Calibri"/>
                <w:sz w:val="20"/>
              </w:rPr>
              <w:t xml:space="preserve">61,2 [17,5; 93,0]</w:t>
            </w:r>
          </w:p>
        </w:tc>
        <w:tc>
          <w:tcPr/>
          <w:p>
            <w:pPr>
              <w:pStyle w:val="Compact"/>
            </w:pPr>
            <w:r>
              <w:rPr>
                <w:rFonts w:ascii="Calibri" w:hAnsi="Calibri"/>
                <w:sz w:val="20"/>
              </w:rPr>
              <w:t xml:space="preserve">62,5 [22,3; 92,7]</w:t>
            </w:r>
          </w:p>
        </w:tc>
        <w:tc>
          <w:tcPr/>
          <w:p>
            <w:pPr>
              <w:pStyle w:val="Compact"/>
            </w:pPr>
            <w:r>
              <w:rPr>
                <w:rFonts w:ascii="Calibri" w:hAnsi="Calibri"/>
                <w:sz w:val="20"/>
              </w:rPr>
              <w:t xml:space="preserve">57,1 [0,1; 95,4]</w:t>
            </w:r>
          </w:p>
        </w:tc>
        <w:tc>
          <w:tcPr/>
          <w:p>
            <w:pPr>
              <w:pStyle w:val="Compact"/>
            </w:pPr>
            <w:r>
              <w:rPr>
                <w:rFonts w:ascii="Calibri" w:hAnsi="Calibri"/>
                <w:sz w:val="20"/>
              </w:rPr>
              <w:t xml:space="preserve">66,4 [22,4; 94,7]</w:t>
            </w:r>
          </w:p>
        </w:tc>
        <w:tc>
          <w:tcPr/>
          <w:p>
            <w:pPr>
              <w:pStyle w:val="Compact"/>
            </w:pPr>
            <w:r>
              <w:rPr>
                <w:rFonts w:ascii="Calibri" w:hAnsi="Calibri"/>
                <w:sz w:val="20"/>
              </w:rPr>
              <w:t xml:space="preserve">61,4 [16,9; 92,7]</w:t>
            </w:r>
          </w:p>
        </w:tc>
      </w:tr>
      <w:tr>
        <w:tc>
          <w:tcPr/>
          <w:p>
            <w:pPr>
              <w:pStyle w:val="Compact"/>
            </w:pPr>
            <w:r>
              <w:rPr>
                <w:rFonts w:ascii="Calibri" w:hAnsi="Calibri"/>
                <w:sz w:val="20"/>
              </w:rPr>
              <w:t xml:space="preserve">H2: FED 1 desvío, Δ probabilidad 2035 (pp)</w:t>
            </w:r>
          </w:p>
        </w:tc>
        <w:tc>
          <w:tcPr/>
          <w:p>
            <w:pPr>
              <w:pStyle w:val="Compact"/>
            </w:pPr>
            <w:r>
              <w:rPr>
                <w:rFonts w:ascii="Calibri" w:hAnsi="Calibri"/>
                <w:sz w:val="20"/>
              </w:rPr>
              <w:t xml:space="preserve">0,5 [0,0; 1,5]</w:t>
            </w:r>
          </w:p>
        </w:tc>
        <w:tc>
          <w:tcPr/>
          <w:p>
            <w:pPr>
              <w:pStyle w:val="Compact"/>
            </w:pPr>
            <w:r>
              <w:rPr>
                <w:rFonts w:ascii="Calibri" w:hAnsi="Calibri"/>
                <w:sz w:val="20"/>
              </w:rPr>
              <w:t xml:space="preserve">0,6 [0,0; 1,8]</w:t>
            </w:r>
          </w:p>
        </w:tc>
        <w:tc>
          <w:tcPr/>
          <w:p>
            <w:pPr>
              <w:pStyle w:val="Compact"/>
            </w:pPr>
            <w:r>
              <w:rPr>
                <w:rFonts w:ascii="Calibri" w:hAnsi="Calibri"/>
                <w:sz w:val="20"/>
              </w:rPr>
              <w:t xml:space="preserve">0,6 [0,0; 1,5]</w:t>
            </w:r>
          </w:p>
        </w:tc>
        <w:tc>
          <w:tcPr/>
          <w:p>
            <w:pPr>
              <w:pStyle w:val="Compact"/>
            </w:pPr>
            <w:r>
              <w:rPr>
                <w:rFonts w:ascii="Calibri" w:hAnsi="Calibri"/>
                <w:sz w:val="20"/>
              </w:rPr>
              <w:t xml:space="preserve">0,7 [0,0; 1,8]</w:t>
            </w:r>
          </w:p>
        </w:tc>
        <w:tc>
          <w:tcPr/>
          <w:p>
            <w:pPr>
              <w:pStyle w:val="Compact"/>
            </w:pPr>
            <w:r>
              <w:rPr>
                <w:rFonts w:ascii="Calibri" w:hAnsi="Calibri"/>
                <w:sz w:val="20"/>
              </w:rPr>
              <w:t xml:space="preserve">0,5 [0,0; 1,2]</w:t>
            </w:r>
          </w:p>
        </w:tc>
      </w:tr>
      <w:tr>
        <w:tc>
          <w:tcPr/>
          <w:p>
            <w:pPr>
              <w:pStyle w:val="Compact"/>
            </w:pPr>
            <w:r>
              <w:rPr>
                <w:rFonts w:ascii="Calibri" w:hAnsi="Calibri"/>
                <w:sz w:val="20"/>
              </w:rPr>
              <w:t xml:space="preserve">H2: FED 2022-2023, Δ probabilidad 2035 (pp)</w:t>
            </w:r>
          </w:p>
        </w:tc>
        <w:tc>
          <w:tcPr/>
          <w:p>
            <w:pPr>
              <w:pStyle w:val="Compact"/>
            </w:pPr>
            <w:r>
              <w:rPr>
                <w:rFonts w:ascii="Calibri" w:hAnsi="Calibri"/>
                <w:sz w:val="20"/>
              </w:rPr>
              <w:t xml:space="preserve">7,7 [2,5; 16,0]</w:t>
            </w:r>
          </w:p>
        </w:tc>
        <w:tc>
          <w:tcPr/>
          <w:p>
            <w:pPr>
              <w:pStyle w:val="Compact"/>
            </w:pPr>
            <w:r>
              <w:rPr>
                <w:rFonts w:ascii="Calibri" w:hAnsi="Calibri"/>
                <w:sz w:val="20"/>
              </w:rPr>
              <w:t xml:space="preserve">8,2 [3,0; 17,3]</w:t>
            </w:r>
          </w:p>
        </w:tc>
        <w:tc>
          <w:tcPr/>
          <w:p>
            <w:pPr>
              <w:pStyle w:val="Compact"/>
            </w:pPr>
            <w:r>
              <w:rPr>
                <w:rFonts w:ascii="Calibri" w:hAnsi="Calibri"/>
                <w:sz w:val="20"/>
              </w:rPr>
              <w:t xml:space="preserve">7,2 [2,0; 13,2]</w:t>
            </w:r>
          </w:p>
        </w:tc>
        <w:tc>
          <w:tcPr/>
          <w:p>
            <w:pPr>
              <w:pStyle w:val="Compact"/>
            </w:pPr>
            <w:r>
              <w:rPr>
                <w:rFonts w:ascii="Calibri" w:hAnsi="Calibri"/>
                <w:sz w:val="20"/>
              </w:rPr>
              <w:t xml:space="preserve">9,0 [2,2; 20,5]</w:t>
            </w:r>
          </w:p>
        </w:tc>
        <w:tc>
          <w:tcPr/>
          <w:p>
            <w:pPr>
              <w:pStyle w:val="Compact"/>
            </w:pPr>
            <w:r>
              <w:rPr>
                <w:rFonts w:ascii="Calibri" w:hAnsi="Calibri"/>
                <w:sz w:val="20"/>
              </w:rPr>
              <w:t xml:space="preserve">6,7 [2,7; 13,5]</w:t>
            </w:r>
          </w:p>
        </w:tc>
      </w:tr>
      <w:tr>
        <w:tc>
          <w:tcPr/>
          <w:p>
            <w:pPr>
              <w:pStyle w:val="Compact"/>
            </w:pPr>
            <w:r>
              <w:rPr>
                <w:rFonts w:ascii="Calibri" w:hAnsi="Calibri"/>
                <w:sz w:val="20"/>
              </w:rPr>
              <w:t xml:space="preserve">H2: FED 2022-2023, Δ deuda 2035 (pp PIB)</w:t>
            </w:r>
          </w:p>
        </w:tc>
        <w:tc>
          <w:tcPr/>
          <w:p>
            <w:pPr>
              <w:pStyle w:val="Compact"/>
            </w:pPr>
            <w:r>
              <w:rPr>
                <w:rFonts w:ascii="Calibri" w:hAnsi="Calibri"/>
                <w:sz w:val="20"/>
              </w:rPr>
              <w:t xml:space="preserve">7,0 [1,4; 16,0]</w:t>
            </w:r>
          </w:p>
        </w:tc>
        <w:tc>
          <w:tcPr/>
          <w:p>
            <w:pPr>
              <w:pStyle w:val="Compact"/>
            </w:pPr>
            <w:r>
              <w:rPr>
                <w:rFonts w:ascii="Calibri" w:hAnsi="Calibri"/>
                <w:sz w:val="20"/>
              </w:rPr>
              <w:t xml:space="preserve">7,5 [1,4; 17,1]</w:t>
            </w:r>
          </w:p>
        </w:tc>
        <w:tc>
          <w:tcPr/>
          <w:p>
            <w:pPr>
              <w:pStyle w:val="Compact"/>
            </w:pPr>
            <w:r>
              <w:rPr>
                <w:rFonts w:ascii="Calibri" w:hAnsi="Calibri"/>
                <w:sz w:val="20"/>
              </w:rPr>
              <w:t xml:space="preserve">6,8 [0,1; 15,0]</w:t>
            </w:r>
          </w:p>
        </w:tc>
        <w:tc>
          <w:tcPr/>
          <w:p>
            <w:pPr>
              <w:pStyle w:val="Compact"/>
            </w:pPr>
            <w:r>
              <w:rPr>
                <w:rFonts w:ascii="Calibri" w:hAnsi="Calibri"/>
                <w:sz w:val="20"/>
              </w:rPr>
              <w:t xml:space="preserve">7,6 [0,4; 19,5]</w:t>
            </w:r>
          </w:p>
        </w:tc>
        <w:tc>
          <w:tcPr/>
          <w:p>
            <w:pPr>
              <w:pStyle w:val="Compact"/>
            </w:pPr>
            <w:r>
              <w:rPr>
                <w:rFonts w:ascii="Calibri" w:hAnsi="Calibri"/>
                <w:sz w:val="20"/>
              </w:rPr>
              <w:t xml:space="preserve">7,0 [1,7; 15,1]</w:t>
            </w:r>
          </w:p>
        </w:tc>
      </w:tr>
    </w:tbl>
    <w:bookmarkEnd w:id="131"/>
    <w:bookmarkEnd w:id="132"/>
    <w:bookmarkStart w:id="133" w:name="referencias"/>
    <w:p>
      <w:pPr>
        <w:pStyle w:val="Heading1"/>
      </w:pPr>
      <w:r>
        <w:t xml:space="preserve">Referencias</w:t>
      </w:r>
    </w:p>
    <w:p>
      <w:pPr>
        <w:pStyle w:val="Compact"/>
        <w:numPr>
          <w:ilvl w:val="0"/>
          <w:numId w:val="1019"/>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19"/>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9"/>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19"/>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9"/>
        </w:numPr>
      </w:pPr>
      <w:r>
        <w:t xml:space="preserve">Bai, J., y Perron, P. (2003). Computation and analysis of multiple structural change models.</w:t>
      </w:r>
      <w:r>
        <w:t xml:space="preserve"> </w:t>
      </w:r>
      <w:r>
        <w:rPr>
          <w:i/>
          <w:iCs/>
        </w:rPr>
        <w:t xml:space="preserve">Journal of Applied Econometrics</w:t>
      </w:r>
      <w:r>
        <w:t xml:space="preserve">, 18(1), 1-22.</w:t>
      </w:r>
    </w:p>
    <w:p>
      <w:pPr>
        <w:pStyle w:val="Compact"/>
        <w:numPr>
          <w:ilvl w:val="0"/>
          <w:numId w:val="1019"/>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9"/>
        </w:numPr>
      </w:pPr>
      <w:r>
        <w:t xml:space="preserve">Banco Central de la República Argentina.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19"/>
        </w:numPr>
      </w:pPr>
      <w:r>
        <w:t xml:space="preserve">Banco Central de la República Argentina.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19"/>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9"/>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19"/>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 117(4), 1329-1368.</w:t>
      </w:r>
    </w:p>
    <w:p>
      <w:pPr>
        <w:pStyle w:val="Compact"/>
        <w:numPr>
          <w:ilvl w:val="0"/>
          <w:numId w:val="1019"/>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9"/>
        </w:numPr>
      </w:pPr>
      <w:r>
        <w:t xml:space="preserve">Bohn, H. (1998). The behavior of U.S. public debt and deficits.</w:t>
      </w:r>
      <w:r>
        <w:t xml:space="preserve"> </w:t>
      </w:r>
      <w:r>
        <w:rPr>
          <w:i/>
          <w:iCs/>
        </w:rPr>
        <w:t xml:space="preserve">Quarterly Journal of Economics</w:t>
      </w:r>
      <w:r>
        <w:t xml:space="preserve">, 113(3), 949-963.</w:t>
      </w:r>
    </w:p>
    <w:p>
      <w:pPr>
        <w:pStyle w:val="Compact"/>
        <w:numPr>
          <w:ilvl w:val="0"/>
          <w:numId w:val="1019"/>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9"/>
        </w:numPr>
      </w:pPr>
      <w:r>
        <w:t xml:space="preserve">Bohn, H. (2007). Are stationarity and cointegration restrictions really necessary for the intertemporal budget constraint?</w:t>
      </w:r>
      <w:r>
        <w:t xml:space="preserve"> </w:t>
      </w:r>
      <w:r>
        <w:rPr>
          <w:i/>
          <w:iCs/>
        </w:rPr>
        <w:t xml:space="preserve">Journal of Monetary Economics, 54</w:t>
      </w:r>
      <w:r>
        <w:t xml:space="preserve">(7), 1837-1847.</w:t>
      </w:r>
    </w:p>
    <w:p>
      <w:pPr>
        <w:pStyle w:val="Compact"/>
        <w:numPr>
          <w:ilvl w:val="0"/>
          <w:numId w:val="1019"/>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19"/>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9"/>
        </w:numPr>
      </w:pPr>
      <w:r>
        <w:t xml:space="preserve">Braun, O., y Joy, L. (1968). A model of economic stagnation: A case study of the Argentine economy.</w:t>
      </w:r>
      <w:r>
        <w:t xml:space="preserve"> </w:t>
      </w:r>
      <w:r>
        <w:rPr>
          <w:i/>
          <w:iCs/>
        </w:rPr>
        <w:t xml:space="preserve">The Economic Journal, 78</w:t>
      </w:r>
      <w:r>
        <w:t xml:space="preserve">(312), 868-887. https://doi.org/10.2307/2229183</w:t>
      </w:r>
    </w:p>
    <w:p>
      <w:pPr>
        <w:pStyle w:val="Compact"/>
        <w:numPr>
          <w:ilvl w:val="0"/>
          <w:numId w:val="1019"/>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19"/>
        </w:numPr>
      </w:pPr>
      <w:r>
        <w:t xml:space="preserve">Canova, F. (2005). The transmission of US shocks to Latin America.</w:t>
      </w:r>
      <w:r>
        <w:t xml:space="preserve"> </w:t>
      </w:r>
      <w:r>
        <w:rPr>
          <w:i/>
          <w:iCs/>
        </w:rPr>
        <w:t xml:space="preserve">Journal of Applied Econometrics</w:t>
      </w:r>
      <w:r>
        <w:t xml:space="preserve">, 20(2), 229-251.</w:t>
      </w:r>
    </w:p>
    <w:p>
      <w:pPr>
        <w:pStyle w:val="Compact"/>
        <w:numPr>
          <w:ilvl w:val="0"/>
          <w:numId w:val="1019"/>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9"/>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19"/>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19"/>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9"/>
        </w:numPr>
      </w:pPr>
      <w:r>
        <w:t xml:space="preserve">Chequeado. (2025, diciembre).</w:t>
      </w:r>
      <w:r>
        <w:t xml:space="preserve"> </w:t>
      </w:r>
      <w:r>
        <w:rPr>
          <w:i/>
          <w:iCs/>
        </w:rPr>
        <w:t xml:space="preserve">Luis Caputo anunció la colocación de un bono por US$ 910 millones: qué implica el regreso al mercado de deuda</w:t>
      </w:r>
      <w:r>
        <w:t xml:space="preserve">. https://chequeado.com/el-explicador/luis-caputo-anuncio-un-bono-a-4-anos-que-significa-que-el-pais-vuelva-al-mercado-de-deuda/</w:t>
      </w:r>
    </w:p>
    <w:p>
      <w:pPr>
        <w:pStyle w:val="Compact"/>
        <w:numPr>
          <w:ilvl w:val="0"/>
          <w:numId w:val="1019"/>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9"/>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9"/>
        </w:numPr>
      </w:pPr>
      <w:r>
        <w:t xml:space="preserve">Cushman, D. O., y Zha, T. (1997). Identifying monetary policy in a small open economy under flexible exchange rates.</w:t>
      </w:r>
      <w:r>
        <w:t xml:space="preserve"> </w:t>
      </w:r>
      <w:r>
        <w:rPr>
          <w:i/>
          <w:iCs/>
        </w:rPr>
        <w:t xml:space="preserve">Journal of Monetary Economics</w:t>
      </w:r>
      <w:r>
        <w:t xml:space="preserve">, 39(3), 433-448.</w:t>
      </w:r>
    </w:p>
    <w:p>
      <w:pPr>
        <w:pStyle w:val="Compact"/>
        <w:numPr>
          <w:ilvl w:val="0"/>
          <w:numId w:val="1019"/>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19"/>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9"/>
        </w:numPr>
      </w:pPr>
      <w:r>
        <w:t xml:space="preserve">Denton, F. T. (1971). Adjustment of monthly or quarterly series to annual totals: An approach based on quadratic minimization.</w:t>
      </w:r>
      <w:r>
        <w:t xml:space="preserve"> </w:t>
      </w:r>
      <w:r>
        <w:rPr>
          <w:i/>
          <w:iCs/>
        </w:rPr>
        <w:t xml:space="preserve">Journal of the American Statistical Association, 66</w:t>
      </w:r>
      <w:r>
        <w:t xml:space="preserve">(333), 99-102.</w:t>
      </w:r>
    </w:p>
    <w:p>
      <w:pPr>
        <w:pStyle w:val="Compact"/>
        <w:numPr>
          <w:ilvl w:val="0"/>
          <w:numId w:val="1019"/>
        </w:numPr>
      </w:pPr>
      <w:r>
        <w:t xml:space="preserve">Diamand, M. (1972). La estructura productiva desequilibrada argentina y el tipo de cambio.</w:t>
      </w:r>
      <w:r>
        <w:t xml:space="preserve"> </w:t>
      </w:r>
      <w:r>
        <w:rPr>
          <w:i/>
          <w:iCs/>
        </w:rPr>
        <w:t xml:space="preserve">Desarrollo Económico, 12</w:t>
      </w:r>
      <w:r>
        <w:t xml:space="preserve">(45), 25-47.</w:t>
      </w:r>
    </w:p>
    <w:p>
      <w:pPr>
        <w:pStyle w:val="Compact"/>
        <w:numPr>
          <w:ilvl w:val="0"/>
          <w:numId w:val="1019"/>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9"/>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p>
    <w:p>
      <w:pPr>
        <w:pStyle w:val="Compact"/>
        <w:numPr>
          <w:ilvl w:val="0"/>
          <w:numId w:val="1019"/>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19"/>
        </w:numPr>
      </w:pPr>
      <w:r>
        <w:t xml:space="preserve">Favero, C., y Giavazzi, F. (2007).</w:t>
      </w:r>
      <w:r>
        <w:t xml:space="preserve"> </w:t>
      </w:r>
      <w:r>
        <w:rPr>
          <w:i/>
          <w:iCs/>
        </w:rPr>
        <w:t xml:space="preserve">Debt and the effects of fiscal policy</w:t>
      </w:r>
      <w:r>
        <w:t xml:space="preserve"> </w:t>
      </w:r>
      <w:r>
        <w:t xml:space="preserve">(NBER Working Paper No. 12822).</w:t>
      </w:r>
    </w:p>
    <w:p>
      <w:pPr>
        <w:pStyle w:val="Compact"/>
        <w:numPr>
          <w:ilvl w:val="0"/>
          <w:numId w:val="1019"/>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9"/>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9"/>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9"/>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9"/>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9"/>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19"/>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w:t>
      </w:r>
    </w:p>
    <w:p>
      <w:pPr>
        <w:pStyle w:val="Compact"/>
        <w:numPr>
          <w:ilvl w:val="0"/>
          <w:numId w:val="1019"/>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19"/>
        </w:numPr>
      </w:pPr>
      <w:r>
        <w:t xml:space="preserve">Gonçalves, S., y Kilian, L. (2004). Bootstrapping autoregressions with conditional heteroskedasticity of unknown form.</w:t>
      </w:r>
      <w:r>
        <w:t xml:space="preserve"> </w:t>
      </w:r>
      <w:r>
        <w:rPr>
          <w:i/>
          <w:iCs/>
        </w:rPr>
        <w:t xml:space="preserve">Journal of Econometrics</w:t>
      </w:r>
      <w:r>
        <w:t xml:space="preserve">, 123(1), 89-120.</w:t>
      </w:r>
    </w:p>
    <w:p>
      <w:pPr>
        <w:pStyle w:val="Compact"/>
        <w:numPr>
          <w:ilvl w:val="0"/>
          <w:numId w:val="1019"/>
        </w:numPr>
      </w:pPr>
      <w:r>
        <w:t xml:space="preserve">Hansen, B. E. (1999). Threshold effects in non-dynamic panels: Estimation, testing, and inference.</w:t>
      </w:r>
      <w:r>
        <w:t xml:space="preserve"> </w:t>
      </w:r>
      <w:r>
        <w:rPr>
          <w:i/>
          <w:iCs/>
        </w:rPr>
        <w:t xml:space="preserve">Journal of Econometrics, 93</w:t>
      </w:r>
      <w:r>
        <w:t xml:space="preserve">(2), 345-368.</w:t>
      </w:r>
    </w:p>
    <w:p>
      <w:pPr>
        <w:pStyle w:val="Compact"/>
        <w:numPr>
          <w:ilvl w:val="0"/>
          <w:numId w:val="1019"/>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19"/>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19"/>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https://www.nber.org/papers/w26297</w:t>
      </w:r>
    </w:p>
    <w:p>
      <w:pPr>
        <w:pStyle w:val="Compact"/>
        <w:numPr>
          <w:ilvl w:val="0"/>
          <w:numId w:val="1019"/>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 27</w:t>
      </w:r>
      <w:r>
        <w:t xml:space="preserve">(1), 129-147. https://doi.org/10.1016/0304-3932(91)90007-B</w:t>
      </w:r>
    </w:p>
    <w:p>
      <w:pPr>
        <w:pStyle w:val="Compact"/>
        <w:numPr>
          <w:ilvl w:val="0"/>
          <w:numId w:val="1019"/>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19"/>
        </w:numPr>
      </w:pPr>
      <w:r>
        <w:t xml:space="preserve">Ley 27.541 de Solidaridad Social y Reactivación Productiva en el Marco de la Emergencia Pública (2019). Boletín Oficial de la República Argentina, 23 de diciembre de 2019.</w:t>
      </w:r>
    </w:p>
    <w:p>
      <w:pPr>
        <w:pStyle w:val="Compact"/>
        <w:numPr>
          <w:ilvl w:val="0"/>
          <w:numId w:val="1019"/>
        </w:numPr>
      </w:pPr>
      <w:r>
        <w:t xml:space="preserve">Ley 27.612 de Fortalecimiento de la Sostenibilidad de la Deuda Pública (2021). Boletín Oficial de la República Argentina, 3 de marzo de 2021.</w:t>
      </w:r>
    </w:p>
    <w:p>
      <w:pPr>
        <w:pStyle w:val="Compact"/>
        <w:numPr>
          <w:ilvl w:val="0"/>
          <w:numId w:val="1019"/>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9"/>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19"/>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19"/>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 (Archivos de los cierres 2007 a 2025 en</w:t>
      </w:r>
      <w:r>
        <w:t xml:space="preserve"> </w:t>
      </w:r>
      <w:r>
        <w:rPr>
          <w:rStyle w:val="VerbatimChar"/>
        </w:rPr>
        <w:t xml:space="preserve">datos/crudos/mecon_deuda/</w:t>
      </w:r>
      <w:r>
        <w:t xml:space="preserve">.)</w:t>
      </w:r>
    </w:p>
    <w:p>
      <w:pPr>
        <w:pStyle w:val="Compact"/>
        <w:numPr>
          <w:ilvl w:val="0"/>
          <w:numId w:val="1019"/>
        </w:numPr>
      </w:pPr>
      <w:r>
        <w:t xml:space="preserve">Ministerio de Economía y Producción, Secretaría de Hacienda, Oficina Nacional de Presupuesto. (2006).</w:t>
      </w:r>
      <w:r>
        <w:t xml:space="preserve"> </w:t>
      </w:r>
      <w:r>
        <w:rPr>
          <w:i/>
          <w:iCs/>
        </w:rPr>
        <w:t xml:space="preserve">Compendio fiscal 1993-2006</w:t>
      </w:r>
      <w:r>
        <w:t xml:space="preserve">. https://www.economia.gob.ar/onp/documentos/ejectexto/compendio/compendio93-06.pdf</w:t>
      </w:r>
    </w:p>
    <w:p>
      <w:pPr>
        <w:pStyle w:val="Compact"/>
        <w:numPr>
          <w:ilvl w:val="0"/>
          <w:numId w:val="1019"/>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19"/>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9"/>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9"/>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9"/>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9"/>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19"/>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9"/>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9"/>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2013]. Federal Reserve Bank of Kansas City. Versión en NBER Working Paper No. 21162 (2015, rev. 2018).</w:t>
      </w:r>
    </w:p>
    <w:p>
      <w:pPr>
        <w:pStyle w:val="Compact"/>
        <w:numPr>
          <w:ilvl w:val="0"/>
          <w:numId w:val="1019"/>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19"/>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19"/>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19"/>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9"/>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9"/>
        </w:numPr>
      </w:pPr>
      <w:r>
        <w:t xml:space="preserve">Sargent, T. J., y Wallace, N. (1981). Some unpleasant monetarist arithmetic.</w:t>
      </w:r>
      <w:r>
        <w:t xml:space="preserve"> </w:t>
      </w:r>
      <w:r>
        <w:rPr>
          <w:i/>
          <w:iCs/>
        </w:rPr>
        <w:t xml:space="preserve">Federal Reserve Bank of Minneapolis Quarterly Review, 5</w:t>
      </w:r>
      <w:r>
        <w:t xml:space="preserve">(3), 1-17.</w:t>
      </w:r>
    </w:p>
    <w:p>
      <w:pPr>
        <w:pStyle w:val="Compact"/>
        <w:numPr>
          <w:ilvl w:val="0"/>
          <w:numId w:val="1019"/>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9"/>
        </w:numPr>
      </w:pPr>
      <w:r>
        <w:t xml:space="preserve">Sims, C. A., Stock, J. H., y Watson, M. W. (1990). Inference in linear time series models with some unit roots.</w:t>
      </w:r>
      <w:r>
        <w:t xml:space="preserve"> </w:t>
      </w:r>
      <w:r>
        <w:rPr>
          <w:i/>
          <w:iCs/>
        </w:rPr>
        <w:t xml:space="preserve">Econometrica</w:t>
      </w:r>
      <w:r>
        <w:t xml:space="preserve">, 58(1), 113-144.</w:t>
      </w:r>
    </w:p>
    <w:p>
      <w:pPr>
        <w:pStyle w:val="Compact"/>
        <w:numPr>
          <w:ilvl w:val="0"/>
          <w:numId w:val="1019"/>
        </w:numPr>
      </w:pPr>
      <w:r>
        <w:t xml:space="preserve">Thirlwall, A. P. (1979). The balance of payments constraint as an explanation of international growth rate differences.</w:t>
      </w:r>
      <w:r>
        <w:t xml:space="preserve"> </w:t>
      </w:r>
      <w:r>
        <w:rPr>
          <w:i/>
          <w:iCs/>
        </w:rPr>
        <w:t xml:space="preserve">Banca Nazionale del Lavoro Quarterly Review, 32</w:t>
      </w:r>
      <w:r>
        <w:t xml:space="preserve">(128), 45-53.</w:t>
      </w:r>
    </w:p>
    <w:p>
      <w:pPr>
        <w:pStyle w:val="Compact"/>
        <w:numPr>
          <w:ilvl w:val="0"/>
          <w:numId w:val="1019"/>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19"/>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pPr>
        <w:pStyle w:val="Compact"/>
        <w:numPr>
          <w:ilvl w:val="0"/>
          <w:numId w:val="1019"/>
        </w:numPr>
      </w:pPr>
      <w:r>
        <w:t xml:space="preserve">Wu, J. C., y Xia, F. D. (2016). Measuring the macroeconomic impact of monetary policy at the zero lower bound.</w:t>
      </w:r>
      <w:r>
        <w:t xml:space="preserve"> </w:t>
      </w:r>
      <w:r>
        <w:rPr>
          <w:i/>
          <w:iCs/>
        </w:rPr>
        <w:t xml:space="preserve">Journal of Money, Credit and Banking</w:t>
      </w:r>
      <w:r>
        <w:t xml:space="preserve">, 48(2-3), 253-291.</w:t>
      </w:r>
    </w:p>
    <w:p>
      <w:r>
        <w:pict>
          <v:rect style="width:0;height:1.5pt" o:hralign="center" o:hrstd="t" o:hr="t"/>
        </w:pict>
      </w:r>
    </w:p>
    <w:bookmarkEnd w:id="133"/>
    <w:bookmarkStart w:id="138" w:name="X94fa00cbba88d80644c76c995e4abd03512405e"/>
    <w:p>
      <w:pPr>
        <w:pStyle w:val="Heading1"/>
      </w:pPr>
      <w:r>
        <w:t xml:space="preserve">Notas para el grupo (no forman parte del texto de la tesis)</w:t>
      </w:r>
    </w:p>
    <w:bookmarkStart w:id="134"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134"/>
    <w:bookmarkStart w:id="135" w:name="X516bcb10eb65bb639c4b0de9683673a51efbad9"/>
    <w:p>
      <w:pPr>
        <w:pStyle w:val="Heading2"/>
      </w:pPr>
      <w:r>
        <w:t xml:space="preserve">Nota 2. Tamaño del shock de la FED (decidido el 11/10/2026)</w:t>
      </w:r>
    </w:p>
    <w:p>
      <w:pPr>
        <w:pStyle w:val="FirstParagraph"/>
      </w:pPr>
      <w:r>
        <w:t xml:space="preserve">Los +100 puntos básicos de la versión anterior no estaban justificados y se sacaron. Se usan dos tamaños, los dos con fundamento: un desvío estándar de la variación trimestral de la tasa de política de la FED en 1996-2025 (0,50 puntos), que es la convención de la literatura de VAR, y una repetición del ciclo de subas de 2022-2023 (5,25 puntos en ocho trimestres), que es el episodio histórico más reciente. El primero no tiene un efecto distinguible y el segundo sí (Capítulo 6).</w:t>
      </w:r>
    </w:p>
    <w:bookmarkEnd w:id="135"/>
    <w:bookmarkStart w:id="136"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20"/>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20"/>
        </w:numPr>
      </w:pPr>
      <w:r>
        <w:rPr>
          <w:b/>
          <w:bCs/>
        </w:rPr>
        <w:t xml:space="preserve">Citas corregidas:</w:t>
      </w:r>
    </w:p>
    <w:p>
      <w:pPr>
        <w:pStyle w:val="Compact"/>
        <w:numPr>
          <w:ilvl w:val="1"/>
          <w:numId w:val="1021"/>
        </w:numPr>
      </w:pPr>
      <w:r>
        <w:t xml:space="preserve">Reinhart et al. (2003) se usa ahora para la intolerancia a la deuda.</w:t>
      </w:r>
    </w:p>
    <w:p>
      <w:pPr>
        <w:pStyle w:val="Compact"/>
        <w:numPr>
          <w:ilvl w:val="1"/>
          <w:numId w:val="1021"/>
        </w:numPr>
      </w:pPr>
      <w:r>
        <w:t xml:space="preserve">Mendoza y Oviedo (2007), para la incertidumbre y el límite de deuda.</w:t>
      </w:r>
    </w:p>
    <w:p>
      <w:pPr>
        <w:pStyle w:val="Compact"/>
        <w:numPr>
          <w:ilvl w:val="1"/>
          <w:numId w:val="1021"/>
        </w:numPr>
      </w:pPr>
      <w:r>
        <w:t xml:space="preserve">La fatiga fiscal pasa a Ghosh et al. (2013).</w:t>
      </w:r>
    </w:p>
    <w:p>
      <w:pPr>
        <w:pStyle w:val="Compact"/>
        <w:numPr>
          <w:ilvl w:val="1"/>
          <w:numId w:val="1021"/>
        </w:numPr>
      </w:pPr>
      <w:r>
        <w:t xml:space="preserve">Ando et al. queda con año 2025.</w:t>
      </w:r>
    </w:p>
    <w:p>
      <w:pPr>
        <w:pStyle w:val="Compact"/>
        <w:numPr>
          <w:ilvl w:val="1"/>
          <w:numId w:val="1021"/>
        </w:numPr>
      </w:pPr>
      <w:r>
        <w:t xml:space="preserve">Se sacan Garud y la tesis propia.</w:t>
      </w:r>
    </w:p>
    <w:p>
      <w:pPr>
        <w:pStyle w:val="Compact"/>
        <w:numPr>
          <w:ilvl w:val="0"/>
          <w:numId w:val="1020"/>
        </w:numPr>
      </w:pPr>
      <w:r>
        <w:rPr>
          <w:b/>
          <w:bCs/>
        </w:rPr>
        <w:t xml:space="preserve">Canal cuasifiscal del shock de la FED:</w:t>
      </w:r>
      <w:r>
        <w:t xml:space="preserve"> </w:t>
      </w:r>
      <w:r>
        <w:t xml:space="preserve">se redacta en pasado.</w:t>
      </w:r>
    </w:p>
    <w:p>
      <w:pPr>
        <w:pStyle w:val="Compact"/>
        <w:numPr>
          <w:ilvl w:val="0"/>
          <w:numId w:val="1020"/>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20"/>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22"/>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22"/>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22"/>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23"/>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23"/>
        </w:numPr>
      </w:pPr>
      <w:r>
        <w:rPr>
          <w:b/>
          <w:bCs/>
        </w:rPr>
        <w:t xml:space="preserve">Párrafo cortado:</w:t>
      </w:r>
      <w:r>
        <w:t xml:space="preserve"> </w:t>
      </w:r>
      <w:r>
        <w:t xml:space="preserve">el párrafo de Santiago sobre la subordinación del BCRA, que estaba cortado, se completó y quedó marcado para verificar.</w:t>
      </w:r>
    </w:p>
    <w:bookmarkEnd w:id="136"/>
    <w:bookmarkStart w:id="137" w:name="nota-4.-pendientes"/>
    <w:p>
      <w:pPr>
        <w:pStyle w:val="Heading2"/>
      </w:pPr>
      <w:r>
        <w:t xml:space="preserve">Nota 4. Pendientes</w:t>
      </w:r>
    </w:p>
    <w:p>
      <w:pPr>
        <w:pStyle w:val="Compact"/>
        <w:numPr>
          <w:ilvl w:val="0"/>
          <w:numId w:val="1024"/>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24"/>
        </w:numPr>
      </w:pPr>
      <w:r>
        <w:t xml:space="preserve">Klemm et al. (2014) y Adler y Magud (2014) salieron del texto: no se pudo leer el capítulo de Klemm et al., y en Adler y Magud no está definido el índice que se les atribuía.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repentina de los flujos de capital.</w:t>
      </w:r>
    </w:p>
  </w:footnote>
  <w:footnote w:id="16">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2">
    <w:p>
      <w:pPr>
        <w:pStyle w:val="FootnoteText"/>
      </w:pPr>
      <w:r>
        <w:rPr>
          <w:rStyle w:val="FootnoteReference"/>
        </w:rPr>
        <w:footnoteRef/>
      </w:r>
      <w:r>
        <w:t xml:space="preserve"> </w:t>
      </w:r>
      <w:r>
        <w:t xml:space="preserve">Acreedores que rechazan una reestructuración y reclaman judicialmente el pago completo.</w:t>
      </w:r>
    </w:p>
  </w:footnote>
  <w:footnote w:id="26">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7">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png"/><Relationship Id="rId73" Type="http://schemas.openxmlformats.org/officeDocument/2006/relationships/image" Target="media/rId73.png"/><Relationship Id="rId76" Type="http://schemas.openxmlformats.org/officeDocument/2006/relationships/image" Target="media/rId76.png"/><Relationship Id="rId95" Type="http://schemas.openxmlformats.org/officeDocument/2006/relationships/image" Target="media/rId95.png"/><Relationship Id="rId99" Type="http://schemas.openxmlformats.org/officeDocument/2006/relationships/image" Target="media/rId99.png"/><Relationship Id="rId103" Type="http://schemas.openxmlformats.org/officeDocument/2006/relationships/image" Target="media/rId103.png"/><Relationship Id="rId109" Type="http://schemas.openxmlformats.org/officeDocument/2006/relationships/image" Target="media/rId109.png"/><Relationship Id="rId115" Type="http://schemas.openxmlformats.org/officeDocument/2006/relationships/image" Target="media/rId115.png"/><Relationship Id="rId118" Type="http://schemas.openxmlformats.org/officeDocument/2006/relationships/image" Target="media/rId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2026-10-11T21:44:29Z</dcterms:created>
  <dcterms:modified xsi:type="dcterms:W3CDTF">2026-10-11T21:44:29Z</dcterms:modified>
</cp:coreProperties>
</file>

<file path=docProps/custom.xml><?xml version="1.0" encoding="utf-8"?>
<Properties xmlns="http://schemas.openxmlformats.org/officeDocument/2006/custom-properties" xmlns:vt="http://schemas.openxmlformats.org/officeDocument/2006/docPropsVTypes"/>
</file>