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 borrador de trabajo</w:t>
      </w:r>
    </w:p>
    <w:bookmarkStart w:id="9" w:name="resumen"/>
    <w:p>
      <w:pPr>
        <w:pStyle w:val="Heading1"/>
      </w:pPr>
      <w:r>
        <w:t xml:space="preserve">Resumen</w:t>
      </w:r>
    </w:p>
    <w:p>
      <w:pPr>
        <w:pStyle w:val="FirstParagraph"/>
      </w:pPr>
      <w:r>
        <w:rPr>
          <w:b/>
          <w:bCs/>
        </w:rPr>
        <w:t xml:space="preserve">Objetivo.</w:t>
      </w:r>
      <w:r>
        <w:t xml:space="preserve"> </w:t>
      </w:r>
      <w:r>
        <w:t xml:space="preserve">La tesis evalúa la sostenibilidad de la deuda pública consolidada argentina, que suma la del Sector Público No Financiero y la del Banco Central, en el horizonte 2026-2035, a partir de sus determinantes macroeconómicos históricos (1996-2025): el crecimiento, el tipo de cambio real, el riesgo país y el resultado primario.</w:t>
      </w:r>
    </w:p>
    <w:p>
      <w:pPr>
        <w:pStyle w:val="BodyText"/>
      </w:pPr>
      <w:r>
        <w:rPr>
          <w:b/>
          <w:bCs/>
        </w:rPr>
        <w:t xml:space="preserve">Metodología.</w:t>
      </w:r>
      <w:r>
        <w:t xml:space="preserve"> </w:t>
      </w:r>
      <w:r>
        <w:t xml:space="preserve">Se estima un modelo de vectores autorregresivos estructural con variables exógenas (SVARX) sobre datos trimestrales, con la tasa de política de la Reserva Federal y la volatilidad financiera global como variables externas. Los shocks fiscales se identifican con el método de Blanchard y Perotti (2002), y la deuda consolidada neta se construye según el criterio del FMI (2021). Con el modelo se simulan 120.000 trayectorias de la deuda alrededor del escenario base del FMI (2026) y se mide la probabilidad de que la deuda no se estabilice, la métrica central del marco de sostenibilidad del FMI.</w:t>
      </w:r>
    </w:p>
    <w:p>
      <w:pPr>
        <w:pStyle w:val="BodyText"/>
      </w:pPr>
      <w:r>
        <w:rPr>
          <w:b/>
          <w:bCs/>
        </w:rPr>
        <w:t xml:space="preserve">Resultados.</w:t>
      </w:r>
      <w:r>
        <w:t xml:space="preserve"> </w:t>
      </w:r>
      <w:r>
        <w:t xml:space="preserve">La política fiscal respondió a la deuda en el período (reacción de 0,05 por punto de deuda), pero los shocks cambiarios y de riesgo explican cerca de 60% de la incertidumbre sobre la deuda en 2035, y los fiscales, alrededor de 20%. La probabilidad de que la deuda no se estabilice a cinco años es de 11,5%, con un intervalo de 90% de 7,7% a 15,2%, frente a alrededor de 1% en el análisis del FMI. A diez años baja a 6,6%, frente a menos de 3% del FMI. Un endurecimiento de la Reserva Federal como el de 2022-2023 eleva la deuda esperada en 8 puntos del PIB hacia 2035, sobre todo por el mayor costo de refinanciar la deuda en dólares.</w:t>
      </w:r>
    </w:p>
    <w:p>
      <w:pPr>
        <w:pStyle w:val="BodyText"/>
      </w:pPr>
      <w:r>
        <w:rPr>
          <w:b/>
          <w:bCs/>
        </w:rPr>
        <w:t xml:space="preserve">Conclusión.</w:t>
      </w:r>
      <w:r>
        <w:t xml:space="preserve"> </w:t>
      </w:r>
      <w:r>
        <w:t xml:space="preserve">El superávit primario es necesario pero no alcanza para estabilizar la deuda. Con el mismo escenario base, representar la incertidumbre con la dinámica histórica de la economía argentina da un diagnóstico de sostenibilidad más exigente que el del FMI.</w:t>
      </w:r>
    </w:p>
    <w:p>
      <w:pPr>
        <w:pStyle w:val="BodyText"/>
      </w:pPr>
      <w:r>
        <w:rPr>
          <w:b/>
          <w:bCs/>
        </w:rPr>
        <w:t xml:space="preserve">Palabras clave:</w:t>
      </w:r>
      <w:r>
        <w:t xml:space="preserve"> </w:t>
      </w:r>
      <w:r>
        <w:t xml:space="preserve">deuda pública, sostenibilidad fiscal, SVAR, gráfico de abanico, Argentina.</w:t>
      </w:r>
    </w:p>
    <w:p>
      <w:pPr>
        <w:pStyle w:val="BodyText"/>
      </w:pPr>
      <w:r>
        <w:rPr>
          <w:b/>
          <w:bCs/>
        </w:rPr>
        <w:t xml:space="preserve">Clasificación JEL:</w:t>
      </w:r>
      <w:r>
        <w:t xml:space="preserve"> </w:t>
      </w:r>
      <w:r>
        <w:t xml:space="preserve">E62, F34, H63.</w:t>
      </w:r>
    </w:p>
    <w:bookmarkEnd w:id="9"/>
    <w:bookmarkStart w:id="20" w:name="introducción"/>
    <w:p>
      <w:pPr>
        <w:pStyle w:val="Heading1"/>
      </w:pPr>
      <w:r>
        <w:t xml:space="preserve">1. Introducción</w:t>
      </w:r>
    </w:p>
    <w:bookmarkStart w:id="11"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
          <w:iCs/>
        </w:rPr>
        <w:t xml:space="preserve">sudden stops</w:t>
      </w:r>
      <w:r>
        <w:t xml:space="preserve">)</w:t>
      </w:r>
      <w:r>
        <w:rPr>
          <w:rStyle w:val="FootnoteReference"/>
        </w:rPr>
        <w:footnoteReference w:id="10"/>
      </w:r>
      <w:r>
        <w:t xml:space="preserve"> </w:t>
      </w:r>
      <w:r>
        <w:t xml:space="preserve">y crisis de impago soberano (Comín Comín, 2014, p. 699; Reinhart y Rogoff, 2009). En el caso argentino, ese patrón fue relevado por la historiografía económica desde mediados del siglo XX (Díaz Alejandro, 1970; della Paolera y Taylor, 2001; Rapoport, 2020) y volvió a manifestarse en el default 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 stock de pasivos y un acceso muy limitado al crédito voluntario. El regreso a los mercados fue gradual: la primera colocación en dólares se realizó en diciembre de 2025, con un bono a 2029 bajo legislación local por USD 1.000 millones de valor nominal y un rendimiento de 9,26% anual (Secretaría de Finanzas, 2025). El precio de colocación fue de 91 por cada 100 nominales, de modo que el Tesoro recaudó unos USD 910 millones (Chequeado, 2025). En 2026 el Tesoro siguió financiándose con bonos en dólares bajo ley local y no emitió bajo legislación de Nueva York: en septiembre, el ministro de Economía afirmó que el Gobierno no tenía planes de emitir deuda internacional (Infobae, 2026).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11"/>
    <w:bookmarkStart w:id="12" w:name="planteamiento-del-problema"/>
    <w:p>
      <w:pPr>
        <w:pStyle w:val="Heading2"/>
      </w:pPr>
      <w:r>
        <w:t xml:space="preserve">1.2 Planteamiento del problema</w:t>
      </w:r>
    </w:p>
    <w:p>
      <w:pPr>
        <w:pStyle w:val="FirstParagraph"/>
      </w:pPr>
      <w:r>
        <w:t xml:space="preserve">Resta determinar si un superávit fiscal primario y la voluntad política de pago alcanzan para asegurar la sostenibilidad de la deuda en el mediano plazo. La alternativa es que los determinantes estructurales de la economía argentina condicionen el resultado fiscal e incrementen la probabilidad de un nuevo default o reestructuración soberana.</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además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 default (Reinhart et al., 2003). Por último, la incertidumbre macroeconómica reduce el nivel de deuda que un gobierno puede sostener (Mendoza y Oviedo, 2009), y existe un límite político e institucional a los superávits que una sociedad acepta de manera prolongada, conocido como fatiga fiscal (Ghosh et al., 2013).</w:t>
      </w:r>
    </w:p>
    <w:bookmarkEnd w:id="12"/>
    <w:bookmarkStart w:id="13" w:name="preguntas-de-investigación"/>
    <w:p>
      <w:pPr>
        <w:pStyle w:val="Heading2"/>
      </w:pPr>
      <w:r>
        <w:t xml:space="preserve">1.3 Preguntas de investigación</w:t>
      </w:r>
    </w:p>
    <w:p>
      <w:pPr>
        <w:pStyle w:val="FirstParagraph"/>
      </w:pPr>
      <w:r>
        <w:t xml:space="preserve">La pregunta principal es: ¿en qué medida el crecimiento, el tipo de cambio real, el riesgo país y el resultado primario de Argentina (1996-2025) condicionan la sostenibilidad de su deuda pública consolidada, que suma la del Sector Público No Financiero (SPNF) y la del Banco Central de la República Argentina (BCRA), en el horizonte 2026-2035, y cuál es la probabilidad de que esa trayectoria resulte insostenible?</w:t>
      </w:r>
    </w:p>
    <w:p>
      <w:pPr>
        <w:pStyle w:val="BodyText"/>
      </w:pPr>
      <w:r>
        <w:t xml:space="preserve">Como pregunta específica, se plantea: ¿cómo y en qué magnitud impactaría un endurecimiento de la política monetaria de la Reserva Federal de los Estados Unidos (FED) sobre la dinámica de la deuda pública consolidada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(Blanchard, 2019; Neumeyer y Perri, 2005; Uribe y Yue, 2006). Por último, condiciona la transmisión de la política monetaria doméstica en las economías emergentes (Renzhi y Beirne, 2024). En Argentina, ese último canal operó durante buena parte del período histórico a través del costo de los pasivos remunerados del BCRA, cuyo stock llegó a 18,4% del PIB en 2023 y cayó a 2,2% en 2024, cuando la esterilización monetaria pasó al Tesoro (FMI, 2025, anexo II, cuadro 2).</w:t>
      </w:r>
    </w:p>
    <w:bookmarkEnd w:id="13"/>
    <w:bookmarkStart w:id="14" w:name="objetivos"/>
    <w:p>
      <w:pPr>
        <w:pStyle w:val="Heading2"/>
      </w:pPr>
      <w:r>
        <w:t xml:space="preserve">1.4 Objetivos</w:t>
      </w:r>
    </w:p>
    <w:p>
      <w:pPr>
        <w:pStyle w:val="FirstParagraph"/>
      </w:pPr>
      <w:r>
        <w:t xml:space="preserve">El objetivo general es evaluar la dinámica de la deuda pública consolidada argentina (SPNF y BCRA) a partir de sus determinantes macroeconómicos históricos (1996-2025), para proyectar su sostenibilidad en el horizonte 2026-2035 y estimar la probabilidad de que no se estabilice.</w:t>
      </w:r>
    </w:p>
    <w:p>
      <w:pPr>
        <w:pStyle w:val="BodyText"/>
      </w:pPr>
      <w:r>
        <w:t xml:space="preserve">Para alcanzarlo, se plantean los siguientes objetivos específicos:</w:t>
      </w:r>
    </w:p>
    <w:p>
      <w:pPr>
        <w:pStyle w:val="Compact"/>
        <w:numPr>
          <w:ilvl w:val="0"/>
          <w:numId w:val="1001"/>
        </w:numPr>
      </w:pPr>
      <w:r>
        <w:t xml:space="preserve">Construir una serie trimestral de deuda pública consolidada (SPNF y pasivos remunerados del BCRA) para 1996-2025.</w:t>
      </w:r>
    </w:p>
    <w:p>
      <w:pPr>
        <w:pStyle w:val="Compact"/>
        <w:numPr>
          <w:ilvl w:val="0"/>
          <w:numId w:val="1001"/>
        </w:numPr>
      </w:pPr>
      <w:r>
        <w:t xml:space="preserve">Analizar las propiedades estocásticas de las series (raíz unitaria y quiebres estructurales).</w:t>
      </w:r>
    </w:p>
    <w:p>
      <w:pPr>
        <w:pStyle w:val="Compact"/>
        <w:numPr>
          <w:ilvl w:val="0"/>
          <w:numId w:val="1001"/>
        </w:numPr>
      </w:pPr>
      <w:r>
        <w:t xml:space="preserve">Estimar un modelo de vectores autorregresivos estructural con variables exógenas (SVARX), en el que la deuda consolidada interactúa con el crecimiento, el tipo de cambio real, el riesgo país y el resultado primario, y en el que la tasa de la FED y la volatilidad financiera global entran como variables exógenas.</w:t>
      </w:r>
    </w:p>
    <w:p>
      <w:pPr>
        <w:pStyle w:val="Compact"/>
        <w:numPr>
          <w:ilvl w:val="0"/>
          <w:numId w:val="1001"/>
        </w:numPr>
      </w:pPr>
      <w:r>
        <w:t xml:space="preserve">Medir la contribución de cada canal a la variabilidad de la deuda y la reacción del resultado primario ante el nivel de endeudamiento.</w:t>
      </w:r>
    </w:p>
    <w:p>
      <w:pPr>
        <w:pStyle w:val="Compact"/>
        <w:numPr>
          <w:ilvl w:val="0"/>
          <w:numId w:val="1001"/>
        </w:numPr>
      </w:pPr>
      <w:r>
        <w:t xml:space="preserve">Simular, mediante el método de Monte Carlo, la distribución de trayectorias de la deuda consolidada en 2026-2035 bajo un escenario base.</w:t>
      </w:r>
    </w:p>
    <w:p>
      <w:pPr>
        <w:pStyle w:val="Compact"/>
        <w:numPr>
          <w:ilvl w:val="0"/>
          <w:numId w:val="1001"/>
        </w:numPr>
      </w:pPr>
      <w:r>
        <w:t xml:space="preserve">Estimar el impacto de un endurecimiento de la política monetaria de la FED sobre esa distribución.</w:t>
      </w:r>
    </w:p>
    <w:bookmarkEnd w:id="14"/>
    <w:bookmarkStart w:id="15" w:name="hipótesis"/>
    <w:p>
      <w:pPr>
        <w:pStyle w:val="Heading2"/>
      </w:pPr>
      <w:r>
        <w:t xml:space="preserve">1.5 Hipótesis</w:t>
      </w:r>
    </w:p>
    <w:p>
      <w:pPr>
        <w:pStyle w:val="FirstParagraph"/>
      </w:pPr>
      <w:r>
        <w:t xml:space="preserve">H1a. Los determinantes macroeconómicos históricos de Argentina (1996-2025), es decir, el crecimiento, el tipo de cambio real, el riesgo país y el resultado primario, condicionan la sostenibilidad de la deuda pública consolidada (SPNF y BCRA), de modo que el superávit primario, por sí solo, no basta para estabilizarla en 2026-2035.</w:t>
      </w:r>
    </w:p>
    <w:p>
      <w:pPr>
        <w:pStyle w:val="BodyText"/>
      </w:pPr>
      <w:r>
        <w:t xml:space="preserve">H1b. La probabilidad de que la deuda consolidada no se estabilice, medida a cinco años (2030, el mismo horizonte de la métrica del FMI) y a diez años (2035, el final del horizonte de proyección) y estimada con shocks estructuralmente identificados, es mayor que la que el FMI reporta para la deuda federal bruta en su análisis más reciente: alrededor de 1% a mediano plazo y menos de 3% a diez años (FMI, 2026). Para que la comparación sea válida, el escenario base de la simulación reproduce los supuestos del escenario base del FMI.</w:t>
      </w:r>
    </w:p>
    <w:p>
      <w:pPr>
        <w:pStyle w:val="BodyText"/>
      </w:pPr>
      <w:r>
        <w:t xml:space="preserve">H2. Un endurecimiento de la política monetaria de la FED eleva la trayectoria esperada de la deuda consolidada y su probabilidad de no estabilizarse, a través del riesgo soberano, el tipo de cambio real y el crecimiento. El shock se mide de dos maneras: un desvío estándar de la variación trimestral de la tasa (convención de la literatura de VAR) y una repetición del ciclo de subas de 2022-2023.</w:t>
      </w:r>
    </w:p>
    <w:bookmarkEnd w:id="15"/>
    <w:bookmarkStart w:id="17" w:name="estrategia-metodológica"/>
    <w:p>
      <w:pPr>
        <w:pStyle w:val="Heading2"/>
      </w:pPr>
      <w:r>
        <w:t xml:space="preserve">1.6 Estrategia metodológica</w:t>
      </w:r>
    </w:p>
    <w:p>
      <w:pPr>
        <w:pStyle w:val="FirstParagraph"/>
      </w:pPr>
      <w:r>
        <w:t xml:space="preserve">Para contrastar estas hipótesis se estima un SVARX con datos trimestrales de Argentina (1996-2025). La deuda consolidada entra como variable del sistema, de modo que los shocks se transmiten entre las variables en ambos sentidos: la deuda responde al riesgo país, al tipo de cambio y al resultado fiscal, y a la vez los afecta en los trimestres siguientes. La evolución de la deuda respeta la identidad contable de acumulación, que distingue el tramo en moneda local del tramo en moneda extranjera. Los resultados del modelo alimentan simulaciones de Monte Carlo que generan distribuciones de probabilidad sobre la trayectoria de la deuda en 2026-2035, cuyos resultados se resumen en gráficos de abanico (</w:t>
      </w:r>
      <w:r>
        <w:rPr>
          <w:i/>
          <w:iCs/>
        </w:rPr>
        <w:t xml:space="preserve">fan charts</w:t>
      </w:r>
      <w:r>
        <w:t xml:space="preserve">)</w:t>
      </w:r>
      <w:r>
        <w:rPr>
          <w:rStyle w:val="FootnoteReference"/>
        </w:rPr>
        <w:footnoteReference w:id="16"/>
      </w:r>
      <w:r>
        <w:t xml:space="preserve"> </w:t>
      </w:r>
      <w:r>
        <w:t xml:space="preserve">y en las métricas que utiliza el FMI para evaluar el riesgo soberano.</w:t>
      </w:r>
    </w:p>
    <w:bookmarkEnd w:id="17"/>
    <w:bookmarkStart w:id="18" w:name="justificación"/>
    <w:p>
      <w:pPr>
        <w:pStyle w:val="Heading2"/>
      </w:pPr>
      <w:r>
        <w:t xml:space="preserve">1.7 Justificación</w:t>
      </w:r>
    </w:p>
    <w:p>
      <w:pPr>
        <w:pStyle w:val="FirstParagraph"/>
      </w:pPr>
      <w:r>
        <w:t xml:space="preserve">La Ley 27.612 de Fortalecimiento de la Sostenibilidad de la Deuda Pública exige, desde 2021, que todo nuevo endeudamiento del Estado nacional se someta a un análisis de sostenibilidad. La literatura académica local, sin embargo, no dispone de un protocolo econométrico propio, replicable y contrastado que dé contenido empírico a esa exigencia.</w:t>
      </w:r>
    </w:p>
    <w:p>
      <w:pPr>
        <w:pStyle w:val="BodyText"/>
      </w:pPr>
      <w:r>
        <w:t xml:space="preserve">El precedente metodológico directo es Medeiros (2012), quien combinó un modelo VAR con una función de reacción fiscal para simular la trayectoria de la deuda y construir distribuciones de probabilidad en lugar de escenarios únicos. El FMI adoptó luego esa lógica en su Marco de Riesgo Soberano y Sostenibilidad de la Deuda (SRDSF), aplicado a Argentina en sus revisiones del programa (FMI, 2024, 2025). Esta tesis retoma esa arquitectura y la especifica para el caso argentino en dos direcciones. La primera es metodológica: identifica de manera explícita los canales de transmisión entre el resultado fiscal, el riesgo soberano, el tipo de cambio real y la actividad, e incorpora un shock externo de origen identificable, la política monetaria de la FED. La segunda es de cobertura: estima la dinámica histórica de la deuda incluyendo los pasivos remunerados del BCRA, que el propio FMI considera parte de la deuda pública cuando pueden financiar al Tesoro o representan un riesgo fiscal material (FMI, 2021).</w:t>
      </w:r>
    </w:p>
    <w:bookmarkEnd w:id="18"/>
    <w:bookmarkStart w:id="19"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 el escenario de shock de la FED. El Capítulo 7 los discute y el Capítulo 8 presenta las conclusiones y las limitaciones. [AJUSTAR cuando se cierre el índice.]</w:t>
      </w:r>
    </w:p>
    <w:bookmarkEnd w:id="19"/>
    <w:bookmarkEnd w:id="20"/>
    <w:bookmarkStart w:id="33" w:name="antecedentes"/>
    <w:p>
      <w:pPr>
        <w:pStyle w:val="Heading1"/>
      </w:pPr>
      <w:r>
        <w:t xml:space="preserve">2. Antecedentes</w:t>
      </w:r>
    </w:p>
    <w:p>
      <w:pPr>
        <w:pStyle w:val="FirstParagraph"/>
      </w:pPr>
      <w:r>
        <w:t xml:space="preserve">Este capítulo ordena la literatura relevante en ocho ejes. Los cuatro primeros provienen de la literatura argentina reciente: las limitaciones de los enfoques contables (Rodríguez, 2023; Sanches, 2019), la economía política del endeudamiento y de las reestructuraciones (Aruguete, 2021; Roldán, 2021), las consecuencias materiales del ciclo financiero (Bohoslavsky y Cantamutto, 2024; Cantamutto et al., 2024) y la literatura que relativiza la urgencia de la fatiga fiscal (Blanchard, 1990, 2019; Everaert y Jansen, 2018). Los cuatro restantes reúnen la literatura internacional de simulación estocástica de deuda y tres antecedentes específicos sobre Argentina: la tradición que combina modelos VAR con simulación (Medeiros, 2012; Adler y Sosa, 2013; Wijayanti y Rachmanira, 2020), las dos lecturas de la antesala de la crisis de 2001-2002 (Cetrángolo et al., 1997; Calvo et al., 2003), la controversia entre la ratio deuda/PIB y el balance patrimonial (Levy Yeyati y Sturzenegger, 2023) y el costo real del default (Hébert y Schreger, 2017). El capítulo cierra con el área de vacancia.</w:t>
      </w:r>
    </w:p>
    <w:bookmarkStart w:id="21" w:name="Xd30872c284e5b335f776e4fb8cf86880297864c"/>
    <w:p>
      <w:pPr>
        <w:pStyle w:val="Heading2"/>
      </w:pPr>
      <w:r>
        <w:t xml:space="preserve">2.1 Primer eje: las limitaciones de los enfoques contables</w:t>
      </w:r>
    </w:p>
    <w:p>
      <w:pPr>
        <w:pStyle w:val="FirstParagraph"/>
      </w:pPr>
      <w:r>
        <w:t xml:space="preserve">La literatura coincide en señalar las limitaciones de las metodologías deterministas clásicas para evaluar la solvencia en economías periféricas.</w:t>
      </w:r>
    </w:p>
    <w:p>
      <w:pPr>
        <w:pStyle w:val="BodyText"/>
      </w:pPr>
      <w:r>
        <w:t xml:space="preserve">Rodríguez (2023) analiza la evolución de la deuda pública argentina entre 2001 y 2022 desde el marco de la Nueva Economía Keynesiana. Construye un indicador de</w:t>
      </w:r>
      <w:r>
        <w:t xml:space="preserve"> </w:t>
      </w:r>
      <w:r>
        <w:t xml:space="preserve">“efectos sobre la deuda pública”</w:t>
      </w:r>
      <w:r>
        <w:t xml:space="preserve"> </w:t>
      </w:r>
      <w:r>
        <w:t xml:space="preserve">que descompone la dinámica de la ratio deuda/PIB en sus determinantes. Encuentra que el indicador se ubicó en terreno negativo durante el 68% del período, lo que señala insostenibilidad y falta de margen fiscal, y que la ratio deuda/PIB tomada de forma aislada no alcanza para concluir sobre la sostenibilidad.</w:t>
      </w:r>
    </w:p>
    <w:p>
      <w:pPr>
        <w:pStyle w:val="BodyText"/>
      </w:pPr>
      <w:r>
        <w:t xml:space="preserve">Sanches (2019), en su tesis de maestría, descompone la ratio deuda/PIB argentina para aislar el peso del tipo de cambio, dado un perfil de deuda con alta participación en moneda extranjera. Lo complementa con un panel de países emergentes sobre la sensibilidad del diferencial de rendimiento soberano a la composición por moneda de la deuda. Su hallazgo central es que, con un perfil como el argentino, una depreciación real afecta la ratio deuda/PIB tanto por el canal del capital como por el de los intereses.</w:t>
      </w:r>
    </w:p>
    <w:bookmarkEnd w:id="21"/>
    <w:bookmarkStart w:id="23"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la reestructuración de la deuda en moneda extranjera habilitada por la Ley 27.541 de emergencia pública. Su diagnóstico subraya que los modelos de sostenibilidad no pueden ignorar el uso macroeconómico de los fondos prestados ni la vulnerabilidad que genera un perfil de vencimientos concentrado en moneda extranjera.</w:t>
      </w:r>
    </w:p>
    <w:p>
      <w:pPr>
        <w:pStyle w:val="BodyText"/>
      </w:pPr>
      <w:r>
        <w:t xml:space="preserve">Roldán (2021), en su tesina de grado, analiza la renegociación de 2020 con los tenedores privados de títulos bajo legislación extranjera desde la teoría de juegos. Destaca el papel de las cláusulas de acción colectiva, incorporadas a los nuevos títulos tras los litigios de 2014, que obligan a los acreedores a aceptar el acuerdo una vez superado cierto umbral de adhesión y reducen el poder de negociación de los acreedores que no entran al canje (</w:t>
      </w:r>
      <w:r>
        <w:rPr>
          <w:i/>
          <w:iCs/>
        </w:rPr>
        <w:t xml:space="preserve">holdouts</w:t>
      </w:r>
      <w:r>
        <w:t xml:space="preserve">)</w:t>
      </w:r>
      <w:r>
        <w:rPr>
          <w:rStyle w:val="FootnoteReference"/>
        </w:rPr>
        <w:footnoteReference w:id="22"/>
      </w:r>
      <w:r>
        <w:t xml:space="preserve">.</w:t>
      </w:r>
    </w:p>
    <w:bookmarkEnd w:id="23"/>
    <w:bookmarkStart w:id="24" w:name="X581ad12eca82b5a398ca516d7f4a7b074d3c308"/>
    <w:p>
      <w:pPr>
        <w:pStyle w:val="Heading2"/>
      </w:pPr>
      <w:r>
        <w:t xml:space="preserve">2.3 Tercer eje: la tensión material y la restricción externa</w:t>
      </w:r>
    </w:p>
    <w:p>
      <w:pPr>
        <w:pStyle w:val="FirstParagraph"/>
      </w:pPr>
      <w:r>
        <w:t xml:space="preserve">Bohoslavsky y Cantamutto (2024) sostienen que el sobreendeudamiento argentino guarda una relación estructural con la especialización productiva extractiva del país. Un criterio de sostenibilidad restringido al balance fiscal corriente omite, por lo tanto, la dimensión estructural de largo plazo. En la misma línea, Cantamutto et al. (2024) proponen leer la sostenibilidad desde la</w:t>
      </w:r>
      <w:r>
        <w:t xml:space="preserve"> </w:t>
      </w:r>
      <w:r>
        <w:t xml:space="preserve">“sostenibilidad de la vida”</w:t>
      </w:r>
      <w:r>
        <w:t xml:space="preserve">: cuestionan que la capacidad de pago frente a los acreedores pueda evaluarse con independencia de sus efectos sobre la reproducción social. El planteo sistematiza un argumento previo de Cantamutto y Féliz (2021).</w:t>
      </w:r>
    </w:p>
    <w:bookmarkEnd w:id="24"/>
    <w:bookmarkStart w:id="25" w:name="X3ef49e8e200548a8b05dde81bcde92b615e749b"/>
    <w:p>
      <w:pPr>
        <w:pStyle w:val="Heading2"/>
      </w:pPr>
      <w:r>
        <w:t xml:space="preserve">2.4 Cuarto eje: la discusión sobre la fatiga fiscal</w:t>
      </w:r>
    </w:p>
    <w:p>
      <w:pPr>
        <w:pStyle w:val="FirstParagraph"/>
      </w:pPr>
      <w:r>
        <w:t xml:space="preserve">Junto a los ejes anteriores, que dan por plausible la fatiga fiscal, la literatura incluye trabajos que relativizan su urgencia. Blanchard (1990) ya propuso complementar la ratio deuda/PIB con otros indicadores fiscales en lugar de tratarla como un límite autosuficiente. Tres décadas después, Blanchard (2019) argumenta que, cuando la tasa de interés real se ubica sistemáticamente por debajo del crecimiento, el gobierno puede sostener déficits primarios moderados sin que la ratio diverja.</w:t>
      </w:r>
    </w:p>
    <w:p>
      <w:pPr>
        <w:pStyle w:val="BodyText"/>
      </w:pPr>
      <w:r>
        <w:t xml:space="preserve">Everaert y Jansen (2018) discuten la fatiga fiscal desde otro ángulo. Retoman el panel de países de la OCDE (1970-2014) en el que se apoya buena parte de esta literatura y testean si el patrón no lineal de Medeiros (2012) es una regularidad genuina o un efecto de agregar países heterogéneos en un solo panel. Usan el estimador de grupos medios de Pesaran y Smith, que permite una pendiente de reacción fiscal distinta para cada país, y encuentran heterogeneidad significativa: la fatiga fiscal no es un rasgo compartido por todos los países, sino el promedio de comportamientos muy distintos. La implicancia para un análisis de un solo país, y en particular de Argentina, es directa. Una función de reacción estimada sobre economías avanzadas no es transferible sin más, porque esos parámetros provienen de países con marcos de disciplina institucional (Pacto de Estabilidad, vigilancia de la Comisión Europea) que Argentina no tiene. Esta advertencia respalda el diseño de caso único de esta tesis.</w:t>
      </w:r>
    </w:p>
    <w:bookmarkEnd w:id="25"/>
    <w:bookmarkStart w:id="28" w:name="X4d733897fde12b7f0cf614c762e0f3fc43f0bab"/>
    <w:p>
      <w:pPr>
        <w:pStyle w:val="Heading2"/>
      </w:pPr>
      <w:r>
        <w:t xml:space="preserve">2.5 Quinto eje: simulación estocástica de deuda y marcos de riesgo soberano</w:t>
      </w:r>
    </w:p>
    <w:p>
      <w:pPr>
        <w:pStyle w:val="FirstParagraph"/>
      </w:pPr>
      <w:r>
        <w:t xml:space="preserve">La literatura empírica sobre sostenibilidad de deuda soberana se desplazó, en las últimas dos décadas, de las proyecciones deterministas de un único escenario hacia simulaciones estocásticas que generan distribuciones de probabilidad sobre la trayectoria de la deuda. El origen de este giro en los organismos multilaterales son los gráficos de abanico desarrollados en el FMI por Celasun et al. (2006) y el trabajo de Medeiros (2012) en la Comisión Europea. Medeiros combinó un modelo VAR con una función de reacción fiscal de panel para quince países de la Unión Europea y simuló miles de trayectorias de deuda/PIB. Su especificación recogió la hipótesis de fatiga fiscal, según la cual la respuesta del superávit primario se debilita cuando la deuda es elevada (Ghosh et al., 2013), una noción que luego absorbieron los marcos de evaluación de solvencia europeos (Bouabdallah et al., 2017). El FMI consolidó el enfoque probabilístico en su Marco de Riesgo Soberano y Sostenibilidad de la Deuda (SRDSF; FMI, 2021), que combina el gráfico de abanico con herramientas de realismo sobre el resultado primario y que aplicó a Argentina en sus revisiones del programa (FMI, 2024, 2025).</w:t>
      </w:r>
    </w:p>
    <w:p>
      <w:pPr>
        <w:pStyle w:val="BodyText"/>
      </w:pPr>
      <w:r>
        <w:t xml:space="preserve">Un segundo cuerpo de literatura llevó el problema a economías emergentes expuestas a shocks externos. Adler y Sosa (2013) estimaron, país por país, modelos VAR para economías de América Latina con el crecimiento mundial, el índice VIX y los precios de las materias primas como variables externas, y simularon la trayectoria de la deuda bajo escenarios externos adversos. Entre las variables globales, el VIX fue la única con efectos significativos y robustos. Es decir, la sostenibilidad de la deuda en la región depende en buena medida de factores de empuje externos (</w:t>
      </w:r>
      <w:r>
        <w:rPr>
          <w:i/>
          <w:iCs/>
        </w:rPr>
        <w:t xml:space="preserve">push</w:t>
      </w:r>
      <w:r>
        <w:t xml:space="preserve">)</w:t>
      </w:r>
      <w:r>
        <w:rPr>
          <w:rStyle w:val="FootnoteReference"/>
        </w:rPr>
        <w:footnoteReference w:id="26"/>
      </w:r>
      <w:r>
        <w:t xml:space="preserve">. Adler et al. (2016), con un VAR de panel de 38 economías emergentes entre 1990 y 2012, encontraron que los inversores locales amortiguan los shocks de incertidumbre global y de tasas largas de Estados Unidos, pero frente a las subas de tasas cortas se comportan igual que los no residentes, lo que vuelve especialmente relevante un shock de la política monetaria estadounidense.</w:t>
      </w:r>
    </w:p>
    <w:p>
      <w:pPr>
        <w:pStyle w:val="BodyText"/>
      </w:pPr>
      <w:r>
        <w:t xml:space="preserve">La literatura de sistemas de alerta temprana (</w:t>
      </w:r>
      <w:r>
        <w:rPr>
          <w:i/>
          <w:iCs/>
        </w:rPr>
        <w:t xml:space="preserve">early warning systems</w:t>
      </w:r>
      <w:r>
        <w:t xml:space="preserve">)</w:t>
      </w:r>
      <w:r>
        <w:rPr>
          <w:rStyle w:val="FootnoteReference"/>
        </w:rPr>
        <w:footnoteReference w:id="27"/>
      </w:r>
      <w:r>
        <w:t xml:space="preserve"> </w:t>
      </w:r>
      <w:r>
        <w:t xml:space="preserve">buscó anticipar crisis de deuda con otro objetivo: no explicar mecanismos, sino maximizar el poder predictivo. Wijayanti y Rachmanira (2020) aplicaron el enfoque de señales de Kaminsky, Lizondo y Reinhart y una regresión logística a un panel de 43 países en desarrollo entre 1960 y 2017. Predijeron el 61,5% de las crisis de deuda con dos años de anticipación. El resultado expone una tensión: estos sistemas maximizan el poder predictivo sobre un panel amplio, mientras que el gráfico de abanico del FMI busca representar la distribución de riesgo de un país en particular, y ambos enfoques pueden dar señales distintas frente a un mismo episodio.</w:t>
      </w:r>
    </w:p>
    <w:bookmarkEnd w:id="28"/>
    <w:bookmarkStart w:id="29" w:name="Xed9dfe865fa02d1c78e9c600386051147b065ff"/>
    <w:p>
      <w:pPr>
        <w:pStyle w:val="Heading2"/>
      </w:pPr>
      <w:r>
        <w:t xml:space="preserve">2.6 Sexto eje: dos lecturas convergentes de la crisis de 2001-2002</w:t>
      </w:r>
    </w:p>
    <w:p>
      <w:pPr>
        <w:pStyle w:val="FirstParagraph"/>
      </w:pPr>
      <w:r>
        <w:t xml:space="preserve">Dos trabajos centrados en Argentina, con instrumentos casi opuestos, llegaron a diagnósticos convergentes en la antesala de la crisis de 2001-2002. Cetrángolo et al. (1997) reconstruyeron el esquema de ahorro e inversión del Sector Público Nacional no Financiero para 1975-1996. Desagregaron el presupuesto en ocho rubros de ingresos y siete de gasto, vincularon cada uno a su variable macroeconómica con coeficientes fijos y aplicaron el filtro de Hodrick-Prescott para calcular un déficit ajustado por el ciclo y un impulso fiscal, siguiendo a Blanchard (1990). Su conclusión fiscal fue tranquilizadora: el riesgo fiscal cíclico bajo la Convertibilidad era pequeño (0,3-0,6% del PIB). Pero su propia proyección para 1997-2001 mostraba un déficit de cuenta corriente que superaba el 7% del PIB hacia 2001, y advertía así que el riesgo principal era externo, no fiscal.</w:t>
      </w:r>
    </w:p>
    <w:p>
      <w:pPr>
        <w:pStyle w:val="BodyText"/>
      </w:pPr>
      <w:r>
        <w:t xml:space="preserve">Calvo et al. (2003) llegaron a la misma advertencia con un instrumental distinto: contabilidad de balanza de pagos, calibración de elasticidades de demanda de bienes no transables y la identidad de dinámica de la deuda. Mostraron que, ante una interrupción súbita del financiamiento como la que siguió a la crisis rusa de 1998, el ajuste del tipo de cambio real necesario para restablecer el equilibrio externo dependía de la apertura comercial y del descalce de monedas de los pasivos. En ambos rasgos, Argentina se ubicaba en el peor extremo entre los casos comparados (Argentina, Brasil, Chile, Colombia y Ecuador). Uno de los trabajos detecta el problema por el lado del flujo (cuenta corriente) y el otro por el del stock (descalce patrimonial). Ambos coinciden en que el diagnóstico fiscal de corto plazo no bastaba para juzgar la sostenibilidad.</w:t>
      </w:r>
    </w:p>
    <w:bookmarkEnd w:id="29"/>
    <w:bookmarkStart w:id="30"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explica que el salto cambiario de fines de 2023 llevara la deuda al 156,7% del PIB. En el marco del FMI, ese salto ensanchó el gráfico de abanico hasta 122,7 puntos y llevó la señal mecánica de riesgo a</w:t>
      </w:r>
      <w:r>
        <w:t xml:space="preserve"> </w:t>
      </w:r>
      <w:r>
        <w:t xml:space="preserve">“alto”</w:t>
      </w:r>
      <w:r>
        <w:t xml:space="preserve">, que el propio personal técnico del organismo descartó por no reflejar el riesgo de mediano plazo (FMI, 2024). Una vez disipado el efecto de la devaluación, el ancho del abanico bajó a 74,2 puntos y la señal volvió a</w:t>
      </w:r>
      <w:r>
        <w:t xml:space="preserve"> </w:t>
      </w:r>
      <w:r>
        <w:t xml:space="preserve">“moderado”</w:t>
      </w:r>
      <w:r>
        <w:t xml:space="preserve"> </w:t>
      </w:r>
      <w:r>
        <w:t xml:space="preserve">(FMI, 2025, anexo II).</w:t>
      </w:r>
    </w:p>
    <w:p>
      <w:pPr>
        <w:pStyle w:val="BodyText"/>
      </w:pPr>
      <w:r>
        <w:t xml:space="preserve">Levy Yeyati y Sturzenegger (2023) llevaron la discusión un paso más allá: propusieron reemplazar la ratio deuda/PIB por el patrimonio neto del sector público, es decir, el valor presente de los ingresos menos el de los gastos y pasivos explícitos. Lo simularon con un</w:t>
      </w:r>
      <w:r>
        <w:t xml:space="preserve"> </w:t>
      </w:r>
      <w:r>
        <w:rPr>
          <w:i/>
          <w:iCs/>
        </w:rPr>
        <w:t xml:space="preserve">bootstrap</w:t>
      </w:r>
      <w:r>
        <w:t xml:space="preserve"> </w:t>
      </w:r>
      <w:r>
        <w:t xml:space="preserve">de un VAR de tres variables (PIB, tipo de cambio real y tasa internacional). Para Argentina obtuvieron un patrimonio neto medio de 2,2 veces el PIB, sin valores negativos en la distribución simulada. Además, una devaluación real del 20% apenas lo modifica (de 2,225 a 2,214 veces el PIB), porque el mayor costo en dólares de la deuda se compensa con más recaudación de bienes transables y con la licuación de gastos en pesos. El resultado choca con el cálculo tradicional que los mismos autores citan de Calvo et al. (2003): con el enfoque de descalce de monedas, una devaluación del 50% eleva la ratio deuda/PIB argentina de 36,5% a 50,8%. Los autores advierten que su resultado benigno depende de que Argentina redujo la dolarización de su deuda después de 2001. Con la estructura de deuda de 2001, el mismo shock habría producido un deterioro severo.</w:t>
      </w:r>
    </w:p>
    <w:bookmarkEnd w:id="30"/>
    <w:bookmarkStart w:id="31" w:name="octavo-eje-el-costo-real-del-default"/>
    <w:p>
      <w:pPr>
        <w:pStyle w:val="Heading2"/>
      </w:pPr>
      <w:r>
        <w:t xml:space="preserve">2.8 Octavo eje: el costo real del default</w:t>
      </w:r>
    </w:p>
    <w:p>
      <w:pPr>
        <w:pStyle w:val="FirstParagraph"/>
      </w:pPr>
      <w:r>
        <w:t xml:space="preserve">El último antecedente no discute la sostenibilidad</w:t>
      </w:r>
      <w:r>
        <w:t xml:space="preserve"> </w:t>
      </w:r>
      <w:r>
        <w:rPr>
          <w:i/>
          <w:iCs/>
        </w:rPr>
        <w:t xml:space="preserve">ex ante</w:t>
      </w:r>
      <w:r>
        <w:t xml:space="preserve">, sino el costo</w:t>
      </w:r>
      <w:r>
        <w:t xml:space="preserve"> </w:t>
      </w:r>
      <w:r>
        <w:rPr>
          <w:i/>
          <w:iCs/>
        </w:rPr>
        <w:t xml:space="preserve">ex post</w:t>
      </w:r>
      <w:r>
        <w:t xml:space="preserve"> </w:t>
      </w:r>
      <w:r>
        <w:t xml:space="preserve">del evento que estos marcos buscan evitar. Hébert y Schreger (2017) usaron el litigio de la República Argentina con NML Capital como experimento natural: los fallos judiciales alteraron la probabilidad de default percibida por el mercado con independencia de las noticias económicas del día. Con identificación por heterocedasticidad (Rigobon, 2003; Rigobon y Sack, 2004), estimaron que un aumento de 10 puntos porcentuales en la probabilidad de default, medida con los seguros de incumplimiento (CDS), redujo en alrededor de 6% el índice de acciones argentinas. El paso de una probabilidad de 40% a una de 100%, lo efectivamente ocurrido en 2014, implicó una pérdida de valor de mercado de las empresas cotizantes de entre 30% y 45%, concentrada en exportadoras y filiales de empresas extranjeras. Este trabajo cuantifica el costo del evento extremo que los marcos estocásticos (Medeiros, 2012; FMI, 2021) buscan mantener con baja probabilidad.</w:t>
      </w:r>
    </w:p>
    <w:bookmarkEnd w:id="31"/>
    <w:bookmarkStart w:id="32"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
          <w:bCs/>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Pero no estima un sistema en el que los shocks se propaguen entre el resultado fiscal, el riesgo país, el tipo de cambio real y la actividad. La literatura internacional sí modela esa transmisión, aunque sobre paneles de países (Medeiros, 2012; Adler et al., 2016). En la evaluación más reciente de funciones de reacción fiscal para América Latina y el Caribe, Argentina ni siquiera integra el grupo de países con series aptas para una estimación individual (González y Hernández, 2023). El gráfico de abanico del FMI, por su parte, aplica al escenario base shocks tomados de la historia de los determinantes de la deuda, sin identificar su origen (FMI, 2021, párr. 52), y por eso no permite atribuir el riesgo a una perturbación concreta.</w:t>
      </w:r>
    </w:p>
    <w:p>
      <w:pPr>
        <w:pStyle w:val="BodyText"/>
      </w:pPr>
      <w:r>
        <w:rPr>
          <w:b/>
          <w:bCs/>
        </w:rPr>
        <w:t xml:space="preserve">Un shock externo identificado.</w:t>
      </w:r>
      <w:r>
        <w:t xml:space="preserve"> </w:t>
      </w:r>
      <w:r>
        <w:t xml:space="preserve">Los efectos de la política monetaria de Estados Unidos sobre las economías emergentes se estudiaron sobre los spreads y la actividad (Uribe y Yue, 2006) y sobre los flujos de capital en paneles de países (Adler et al., 2016). No se tradujeron en un cambio en la probabilidad de que la deuda argentina no se estabilice. Levy Yeyati y Sturzenegger (2023) incluyen la tasa internacional en su VAR, pero su variable de interés es el patrimonio neto del sector público y su sistema no incorpora el riesgo soberano ni la respuesta fiscal.</w:t>
      </w:r>
    </w:p>
    <w:p>
      <w:pPr>
        <w:pStyle w:val="BodyText"/>
      </w:pPr>
      <w:r>
        <w:rPr>
          <w:b/>
          <w:bCs/>
        </w:rPr>
        <w:t xml:space="preserve">El perímetro de la deuda en la estimación.</w:t>
      </w:r>
      <w:r>
        <w:t xml:space="preserve"> </w:t>
      </w:r>
      <w:r>
        <w:t xml:space="preserve">El marco del FMI admite incluir los pasivos del banco central en la deuda pública. Las letras de liquidez se incluyen cuando pueden financiar al gobierno, cuando el gobierno responde de hecho por su servicio o cuando representan un riesgo fiscal material, y el propio documento menciona que en Argentina sumaban 5% del PIB a fines de 2018 (FMI, 2021, anexo II). Sin embargo, en su aplicación a Argentina, el FMI corre sus herramientas sobre la deuda bruta del gobierno federal. La deuda consolidada con el BCRA aparece solo como un cuadro complementario de stocks: 110,8% del PIB en 2023 y 51,5% en 2024, con pasivos del BCRA que pasaron de 18,4% a 2,2% del PIB (FMI, 2025, anexo II, cuadro 2). Ningún trabajo estima cómo evolucionó esa deuda consolidada junto con sus determinantes a lo largo del tiempo.</w:t>
      </w:r>
    </w:p>
    <w:p>
      <w:pPr>
        <w:pStyle w:val="BodyText"/>
      </w:pPr>
      <w:r>
        <w:t xml:space="preserve">Esa omisión importa por razones institucionales. La autonomía formal que el BCRA había obtenido en 1992 se redujo de manera progresiva desde 2002, y en especial entre 2010 y 2012, cuando la reforma de su Carta Orgánica amplió los márgenes legales de asistencia al Tesoro (Damill et al., 2015). En ese período, el Tesoro canceló deuda externa con reservas del BCRA (Damill et al., 2015), y entre 2003 y 2015 las utilidades del BCRA se convirtieron en una fuente regular de ingresos extraordinarios del Tesoro (Porto, 2020). La absorción de esa liquidez se hizo con pasivos remunerados: letras (LEBAC y NOBAC) hasta 2018, Leliq y pases entre 2018 y 2024, que respondieron a los mismos shocks cambiarios y de riesgo que la deuda del Tesoro. Un modelo estimado solo sobre la deuda del Tesoro omite esa parte del endeudamiento y puede subestimar la sensibilidad de la deuda a esos shocks. Esto sigue siendo cierto aunque, desde 2024, los pasivos remunerados del BCRA se hayan reducido a niveles mínimos. Los pases pasivos se suspendieron en julio de 2024 y su stock pasó al Tesoro como Letras Fiscales de Liquidez (LEFI), que el BCRA dejó de ofrecer en julio de 2025 (BCRA, 2025). A fin de 2025 el stock de LEFI era nulo, frente a 11,1 billones de pesos un año antes (BCRA, 2026). La proyección parte de un BCRA casi sin pasivos, pero los parámetros que la gobiernan se estiman sobre tres décadas en las que no fue así.</w:t>
      </w:r>
    </w:p>
    <w:p>
      <w:pPr>
        <w:pStyle w:val="BodyText"/>
      </w:pPr>
      <w:r>
        <w:t xml:space="preserve">Esta tesis atiende las tres omisiones con un solo diseño: un SVARX de caso único para Argentina (1996-2025), estimado sobre la deuda consolidada del SPNF y el BCRA, con identificación estructural de los canales y la tasa de la FED como variable exógena. Sus resultados alimentan una simulación de Monte Carlo que expresa el riesgo con las métricas del propio FMI, lo que permite comparar directamente ambos resultados.</w:t>
      </w:r>
    </w:p>
    <w:p>
      <w:pPr>
        <w:pStyle w:val="BodyText"/>
      </w:pPr>
      <w:r>
        <w:t xml:space="preserve">La elección de la metodología y de las variables responde a tres razones. Primero, la combinación no se probó para Argentina: los trabajos que identifican shocks lo hacen sobre paneles de países, y los que estudian la deuda argentina no los identifican. Segundo, el contexto cambió: desde 2024 la política fiscal tiene superávit primario y el BCRA casi no tiene pasivos remunerados, de modo que la pregunta por lo que el superávit no controla cobra más peso. Tercero, el sistema incluye una variable que los trabajos citados no suman a la deuda: los pasivos del BCRA, consolidados con los del Tesoro. Las variables endógenas son los cuatro impulsores de la deuda en la identidad del FMI (crecimiento, tipo de cambio real, costo del financiamiento a través del riesgo país y resultado primario), y la tasa de la FED entra como el shock externo que la literatura revisada vincula con esos cuatro canales.</w:t>
      </w:r>
    </w:p>
    <w:bookmarkEnd w:id="32"/>
    <w:bookmarkEnd w:id="33"/>
    <w:bookmarkStart w:id="46" w:name="marco-teórico"/>
    <w:p>
      <w:pPr>
        <w:pStyle w:val="Heading1"/>
      </w:pPr>
      <w:r>
        <w:t xml:space="preserve">3. Marco teórico</w:t>
      </w:r>
    </w:p>
    <w:p>
      <w:pPr>
        <w:pStyle w:val="FirstParagraph"/>
      </w:pPr>
      <w:r>
        <w:t xml:space="preserve">Este capítulo reúne los conceptos que sostienen el análisis empírico. Parte de un enfoque macroeconómico general, la restricción externa (sección 3.1), y de la teoría de la solvencia intertemporal y la identidad de acumulación de la deuda (3.2). Luego incorpora tres elementos que la pregunta de investigación exige: la restricción presupuestaria consolidada del Tesoro y el Banco Central de la República Argentina (BCRA) (3.3), el descalce de monedas y las interrupciones repentinas del financiamiento (3.4) y la transmisión de la política monetaria de Estados Unidos (3.5). Cierra con la noción probabilística de sostenibilidad que usa el Fondo Monetario Internacional (FMI) (3.6), la fatiga fiscal como teoría complementaria (3.7) y los alcances del marco (3.8). Cada sección indica qué variable o hipótesis del modelo sustenta.</w:t>
      </w:r>
    </w:p>
    <w:bookmarkStart w:id="34"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antes que por la disponibilidad de ahorro o de capacidad ociosa. Braun y Joy (1968) formalizaron un modelo de estancamiento para la economía argentina en el que el balance de pagos, los precios internos y el nivel de actividad se determinan conjuntamente. Diamand (1972) dio la explicación de fondo con el concepto de estructura productiva desequilibrada: un sector primario que opera a precios internacionales y un sector industrial con precios y costos superiores a los internacionales. Como la industria necesita divisas para crecer y no genera las que consume, el abastecimiento de divisas recae en el sector agropecuario, y la expansión interna termina en una crisis de balanza de pagos y una devaluación (Diamand, 1972).</w:t>
      </w:r>
    </w:p>
    <w:p>
      <w:pPr>
        <w:pStyle w:val="BodyText"/>
      </w:pPr>
      <w:r>
        <w:t xml:space="preserve">Thirlwall (1979) dio a la idea una forma general. Si se exige equilibrio de la cuenta corriente en el largo plazo, la tasa de crecimiento compatible con ese equilibrio se aproxima por el cociente entre el crecimiento de las exportaciones y la elasticidad ingreso de la demanda de importaciones. En ese esquema, lo que se ajusta para equilibrar el balance de pagos es el producto, no los precios relativos (Thirlwall, 1979).</w:t>
      </w:r>
    </w:p>
    <w:p>
      <w:pPr>
        <w:pStyle w:val="BodyText"/>
      </w:pPr>
      <w:r>
        <w:t xml:space="preserve">Esos autores describen una restricción de flujos comerciales. Diamand (1972) ya advertía que el crédito externo la posterga sin resolverla, porque cada nuevo crédito agrega intereses y aumenta el déficit externo inicial, de modo que el proceso es inestable cuando se frena la entrada de capitales. Desde los años setenta, la acumulación de deuda pública y privada en moneda extranjera sumó un problema de vulnerabilidad financiera externa (Aruguete, 2021). Ese es el punto de contacto con esta tesis. La deuda en divisas convierte la restricción de divisas en una restricción sobre la deuda pública: los ingresos del Estado se obtienen en pesos y una parte del servicio se paga en dólares. El FMI reconoce esa limitación para el caso actual, al señalar que la base exportadora es pequeña y la capacidad de generar divisas es limitada, de modo que cumplir con las obligaciones en moneda extranjera exige reforzar el balance de pagos (FMI, 2025, anexo II).</w:t>
      </w:r>
    </w:p>
    <w:p>
      <w:pPr>
        <w:pStyle w:val="BodyText"/>
      </w:pPr>
      <w:r>
        <w:t xml:space="preserve">El enfoque cumple en esta tesis una función interpretativa. No se contrasta aquí la ley de Thirlwall, y el modelo no incluye el saldo comercial. Lo que el enfoque aporta es la razón para tratar al tipo de cambio real y al riesgo soberano como determinantes de la deuda y no solo como variables de control. Si la escasez de divisas es el límite del proceso, el superávit primario en pesos no se traduce de manera directa en capacidad de pago en dólares. Esa es la intuición detrás de la hipótesis H1a, y se formaliza con la identidad de la deuda de la sección siguiente.</w:t>
      </w:r>
    </w:p>
    <w:bookmarkEnd w:id="34"/>
    <w:bookmarkStart w:id="39" w:name="Xa279cf3229c29106283bb4d1e58e9229cedcf6a"/>
    <w:p>
      <w:pPr>
        <w:pStyle w:val="Heading2"/>
      </w:pPr>
      <w:r>
        <w:t xml:space="preserve">3.2 Solvencia intertemporal, la regla de Bohn y la identidad de la deuda</w:t>
      </w:r>
    </w:p>
    <w:bookmarkStart w:id="35" w:name="sostenibilidad-en-la-definición-del-fmi"/>
    <w:p>
      <w:pPr>
        <w:pStyle w:val="Heading3"/>
      </w:pPr>
      <w:r>
        <w:t xml:space="preserve">Sostenibilidad en la definición del FMI</w:t>
      </w:r>
    </w:p>
    <w:p>
      <w:pPr>
        <w:pStyle w:val="FirstParagraph"/>
      </w:pPr>
      <w:r>
        <w:t xml:space="preserve">El marco del FMI distingue tres conceptos cercanos. La deuda es sostenible cuando se estabiliza con riesgos de refinanciamiento bajos bajo un conjunto de políticas factibles, no necesariamente las del escenario base. Es insostenible cuando no existe ningún conjunto de políticas política y económicamente factibles que la estabilice con riesgo de refinanciamiento aceptable. La no estabilización bajo el escenario base describe una situación más acotada: la ratio deuda/PIB no se estabiliza con las políticas que el equipo técnico considera más probables, lo cual puede implicar solo que se requiere un ajuste, no una reestructuración (FMI, 2021, párr. 9 y recuadro 2). Esta distinción ordena el uso de las palabras en la tesis. La métrica de H1b mide la no estabilización bajo un escenario base y no la insolvencia. Se la interpreta como un indicador de riesgo, no como un diagnóstico de reestructuración.</w:t>
      </w:r>
    </w:p>
    <w:bookmarkEnd w:id="35"/>
    <w:bookmarkStart w:id="36"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último término, sfₜ, es el ajuste stock-flujo. Reúne las variaciones del stock que no provienen del resultado primario ni de los intereses, como el reconocimiento de pasivos contingentes o la capitalización de intereses. Es la forma en que se aplica la identidad con separación por monedas al caso argentino (Rodríguez, 2023). El FMI proyecta la deuda de Argentina con senderos de crecimiento, resultado primario, tasa efectiva y ajuste stock-flujo (FMI, 2025). La deuda se acumula con esta ecuación y no con una ecuación estimada, lo que mantiene la acumulación contablemente exacta.</w:t>
      </w:r>
    </w:p>
    <w:p>
      <w:pPr>
        <w:pStyle w:val="BodyText"/>
      </w:pPr>
      <w:r>
        <w:t xml:space="preserve">La identidad separa dos efectos de la depreciación real. El primero es el de valuación: εₜ dᶠₜ₋₁ eleva la ratio de manera inmediata aunque el gobierno no haya emitido un dólar adicional. El segundo es el diferencial entre tasa y crecimiento, que en la parte en dólares incluye el tipo de cambio. Con el saldo primario constante, la ratio se estabiliza si pbₜ ≥ (rₜ - gₜ)/(1+gₜ) dₜ₋₁, donde rₜ es la tasa efectiva ponderada por la composición de la cartera. Cuando la depreciación pesa sobre una cartera con alta proporción de moneda extranjera, rₜ puede superar con holgura a gₜ de un año a otro, sin que el resultado primario haya cambiado. Los datos argentinos muestran ese patrón. En 2018, el aumento de la ratio deuda en moneda extranjera/PIB se intensificó por una fuerte depreciación de la moneda y una caída de la actividad de 2,6% (Rodríguez, 2023), y en la relación entre crecimiento y deuda de 2018-2019 pesó la participación de la deuda en moneda extranjera y el mayor tipo de cambio (Rodríguez, 2023). El mecanismo opera en las dos direcciones. En 2024 la deuda federal bruta pasó de 155,4% a 85,3% del PIB, por un ajuste fiscal de más de cinco puntos y por efectos de valuación cambiaria (FMI, 2025). Esta simetría muestra que el tipo de cambio real puede mover la ratio más que el resultado primario en cualquiera de los dos sentidos.</w:t>
      </w:r>
    </w:p>
    <w:bookmarkEnd w:id="36"/>
    <w:bookmarkStart w:id="37"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 la regla es</w:t>
      </w:r>
    </w:p>
    <w:p>
      <w:pPr>
        <w:pStyle w:val="BodyText"/>
      </w:pPr>
      <w:r>
        <w:t xml:space="preserve">pbₜ = α + ρ dₜ₋₁ + γ zₜ + uₜ,</w:t>
      </w:r>
    </w:p>
    <w:p>
      <w:pPr>
        <w:pStyle w:val="BodyText"/>
      </w:pPr>
      <w:r>
        <w:t xml:space="preserve">con zₜ un conjunto de determinantes cíclicos. Si ρ &gt; 0, uₜ está acotado como proporción del PIB y el valor presente del PIB es finito, la política fiscal satisface la restricción presupuestaria intertemporal y la condición de transversalidad. La demostración formal figuraba en un apéndice no publicado de Bohn (1998) y se presenta en Bohn (2005), donde se la presenta como un resultado de trabajos previos del autor, entre ellos Bohn (1998). La idea de la prueba es que una respuesta positiva reduce el crecimiento de la deuda respecto de un esquema Ponzi en un factor (1-ρ) por período, por lo que el valor presente de la deuda tiende a cero (Bohn, 2005).</w:t>
      </w:r>
    </w:p>
    <w:p>
      <w:pPr>
        <w:pStyle w:val="BodyText"/>
      </w:pPr>
      <w:r>
        <w:t xml:space="preserve">Bohn (2005) subraya tres puntos que importan para esta tesis. Primero, la proposición es una condición suficiente y no necesaria, porque una respuesta ausente o inestable es compatible tanto con una política insostenible como con una muestra insuficiente para identificarla. Segundo, la regla puede ser no lineal o variar en el tiempo y conservar la propiedad, siempre que la respuesta sea positiva a niveles altos de deuda. Tercero, los datos de Estados Unidos entre 1792 y 2003 arrojan una respuesta positiva y robusta del superávit primario a la deuda, y el propio autor la considera la evidencia más creíble a favor de la sostenibilidad (Bohn, 2005). Para el período 1916-1995 reporta un coeficiente de alrededor de 0,05 (Bohn, 1998, según Bohn, 2005).</w:t>
      </w:r>
    </w:p>
    <w:p>
      <w:pPr>
        <w:pStyle w:val="BodyText"/>
      </w:pPr>
      <w:r>
        <w:t xml:space="preserve">Conviene corregir una atribución frecuente. Bohn (2007) no demuestra que ρ &gt; 0 sea suficiente sin cointegración. Lo que muestra es que las pruebas de estacionariedad y cointegración sobre series fiscales no pueden rechazar la sostenibilidad: la restricción intertemporal se cumple si la deuda, o los ingresos y gastos con intereses, son integrados de orden arbitrariamente alto, y no hace falta que ingresos y gastos cointegren (Bohn, 2007). La suficiencia de ρ &gt; 0 proviene de Bohn (1998, 2005). La lectura de Bohn (2007) tiene una consecuencia para el diseño econométrico: que una prueba de cointegración no rechace la hipótesis nula de no cointegración, como ocurre en la muestra de la tesis, no permite concluir que la política sea insostenible, y por eso el sistema se estima en niveles sin imponer relaciones de cointegración.</w:t>
      </w:r>
    </w:p>
    <w:bookmarkEnd w:id="37"/>
    <w:bookmarkStart w:id="38" w:name="Xc6e60f5a5238a1c66820dbbaf1540ecfd51aebe"/>
    <w:p>
      <w:pPr>
        <w:pStyle w:val="Heading3"/>
      </w:pPr>
      <w:r>
        <w:t xml:space="preserve">Por qué ρ &gt; 0 no basta para estabilizar la deuda</w:t>
      </w:r>
    </w:p>
    <w:p>
      <w:pPr>
        <w:pStyle w:val="FirstParagraph"/>
      </w:pPr>
      <w:r>
        <w:t xml:space="preserve">La regla de Bohn es un resultado de solvencia asintótica. No dice que la ratio se estabilice ni cuándo lo hace. Para ver la diferencia, se puede reemplazar la regla en la identidad con una tasa efectiva r constante. Se obtiene</w:t>
      </w:r>
    </w:p>
    <w:p>
      <w:pPr>
        <w:pStyle w:val="BodyText"/>
      </w:pPr>
      <w:r>
        <w:t xml:space="preserve">dₜ - dₜ₋₁ = ((r-g)/(1+g) - ρ) dₜ₋₁ - α - γ zₜ - uₜ .</w:t>
      </w:r>
    </w:p>
    <w:p>
      <w:pPr>
        <w:pStyle w:val="BodyText"/>
      </w:pPr>
      <w:r>
        <w:t xml:space="preserve">La ratio converge a un nivel finito solo si ρ &gt; (r-g)/(1+g). Si 0 &lt; ρ &lt; (r-g)/(1+g), la deuda crece a una tasa inferior a la de un esquema Ponzi y, por lo tanto, la condición de transversalidad se cumple, pero la ratio sigue aumentando. Dicho de otro modo, un coeficiente positivo y significativo es compatible con una trayectoria que no se estabiliza en un horizonte de decisión relevante.</w:t>
      </w:r>
    </w:p>
    <w:p>
      <w:pPr>
        <w:pStyle w:val="BodyText"/>
      </w:pPr>
      <w:r>
        <w:t xml:space="preserve">Esta es la lógica de H1a. Con un coeficiente de la magnitud que Bohn estima para Estados Unidos, del orden de 0,05, una respuesta fiscal significativa pero pequeña es superada por un diferencial r-g de uno o dos puntos. En una economía con deuda en moneda extranjera, el término r incluye la depreciación real y el spread soberano, que son variables con shocks grandes y poco predecibles, de modo que (r-g)/(1+g) puede exceder a ρ por márgenes amplios en años de estrés. El coeficiente ρ que estima esta tesis es positivo y de magnitud reducida (Capítulo 6). La conclusión que corresponde a H1a no es que el gobierno no reaccione, sino que su reacción, por sí sola, no basta para estabilizar la deuda cuando dominan el diferencial r-g, los efectos de valuación y los shocks externos. Esa lectura es compatible con la evidencia de que las consolidaciones fiscales discrecionales tienen en promedio un efecto reducido sobre la ratio de deuda (Ando et al., 2025).</w:t>
      </w:r>
    </w:p>
    <w:bookmarkEnd w:id="38"/>
    <w:bookmarkEnd w:id="39"/>
    <w:bookmarkStart w:id="40"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presupuestaria consolidada de las autoridades fiscal y monetaria: los déficits se financian con señoreaje y con venta de bonos al público, y la demanda de bonos pone un límite al stock real de deuda respecto del tamaño de la economía. Cuando la tasa de interés de los bonos supera a la tasa de crecimiento, un endurecimiento monetario hoy puede significar más inflación en el futuro, porque la deuda adicional debe financiarse con señoreaje (Sargent y Wallace, 1981). La implicancia para esta tesis es que los pasivos remunerados del banco central no son neutrales para la sostenibilidad. Si se emiten para absorber pesos que de otro modo presionarían sobre el tipo de cambio, su servicio es un costo cuasifiscal que alguna autoridad deberá cubrir.</w:t>
      </w:r>
    </w:p>
    <w:p>
      <w:pPr>
        <w:pStyle w:val="BodyText"/>
      </w:pPr>
      <w:r>
        <w:t xml:space="preserve">Leeper (1991) agrega la dimensión de la interacción entre políticas. La existencia y la unicidad del equilibrio dependen de si cada autoridad responde o no a la deuda (política pasiva o activa). El caso en que la política fiscal es activa, es decir, no corrige el resultado primario ante la deuda, y la monetaria es pasiva (región II de Leeper, 1991), se asemeja al régimen fiscal dominante de Sargent y Wallace (1981) y suele llamarse dominancia fiscal. La contrapartida empírica es la regla de Bohn de la sección 3.2: un ρ positivo indica una autoridad fiscal que responde, pero solo a la deuda que se mide dentro de su perímetro.</w:t>
      </w:r>
    </w:p>
    <w:p>
      <w:pPr>
        <w:pStyle w:val="BodyText"/>
      </w:pPr>
      <w:r>
        <w:t xml:space="preserve">El FMI recoge este argumento en su marco de análisis. Propone consolidar al banco central con el gobierno cuando el banco tiene una posición de capital muy negativa, o cuando participa de manera significativa en el financiamiento monetario directo del presupuesto o en actividades cuasifiscales. La consolidación implica netear los créditos del banco central contra el gobierno y sumar los pasivos de deuda del banco central, excluidos la moneda y los depósitos en poder de residentes (FMI, 2021, párr. 40 y anexo II, sección B). En el caso argentino, ese perímetro tuvo importancia cuantitativa. Los pasivos del BCRA pasaron de 18,4% del PIB en 2023 a 2,2% en 2024, mientras el Tesoro asumía el costo de la deuda de corto plazo del banco, con una recapitalización de alrededor de 2,5% del PIB (FMI, 2025, anexo II). La deuda neta consolidada pasó de 111% a 52% del PIB entre ambos años (FMI, 2025, anexo II). Una medida que solo tome la deuda del Tesoro no registra el traspaso de los pasivos del banco al Tesoro como un cambio en la composición de una misma deuda pública. Por eso esta tesis trabaja con la deuda consolidada neta.</w:t>
      </w:r>
    </w:p>
    <w:bookmarkEnd w:id="40"/>
    <w:bookmarkStart w:id="41" w:name="X20862c7541b595f20b5f9ddc0e3ce04fa00711b"/>
    <w:p>
      <w:pPr>
        <w:pStyle w:val="Heading2"/>
      </w:pPr>
      <w:r>
        <w:t xml:space="preserve">3.4 Descalce de monedas, pecado original e interrupciones repentinas</w:t>
      </w:r>
    </w:p>
    <w:p>
      <w:pPr>
        <w:pStyle w:val="FirstParagraph"/>
      </w:pPr>
      <w:r>
        <w:t xml:space="preserve">Eichengreen, Hausmann y Panizza (2003) distinguen tres conceptos que a menudo se usan como sinónimos. El descalce de monedas es la diferencia entre las monedas en que se denominan activos y pasivos. La intolerancia a la deuda es la incapacidad de las economías emergentes de manejar niveles de deuda que resultan manejables para las avanzadas (Reinhart, Rogoff y Savastano, 2003). El pecado original es la dificultad de los emergentes para endeudarse en el exterior en su propia moneda. Los dos primeros tratan de explicar la volatilidad y la dificultad para pagar, y el tercero se ocupa de las consecuencias de esos problemas y de cómo los manejan las autoridades (Eichengreen et al., 2003).</w:t>
      </w:r>
    </w:p>
    <w:p>
      <w:pPr>
        <w:pStyle w:val="BodyText"/>
      </w:pPr>
      <w:r>
        <w:t xml:space="preserve">La distinción es relevante porque el caso argentino actual matiza la versión más rígida del pecado original. El Tesoro mantiene alrededor de 20% del PIB en deuda en pesos en manos del sector privado, y la deuda neta consolidada en pesos fue de alrededor de 19% del PIB en 2024 (FMI, 2025, anexo II). La deuda en pesos coexiste con una porción mayoritaria en moneda extranjera: la deuda neta consolidada total fue de 52% del PIB en 2024, por lo que la parte en moneda local no llega a la mitad del total (FMI, 2025, anexo II, cuadro 2). El descalce sigue vigente, aunque de menor tamaño que en años anteriores. Por eso la identidad de la sección 3.2 separa los dos tramos y no supone que la deuda sea toda en dólares ni toda en pesos.</w:t>
      </w:r>
    </w:p>
    <w:p>
      <w:pPr>
        <w:pStyle w:val="BodyText"/>
      </w:pPr>
      <w:r>
        <w:t xml:space="preserve">Calvo, Izquierdo y Talvi (2003) muestran cómo opera el descalce en una interrupción repentina de los flujos de capital (</w:t>
      </w:r>
      <w:r>
        <w:rPr>
          <w:i/>
          <w:iCs/>
        </w:rPr>
        <w:t xml:space="preserve">sudden stop</w:t>
      </w:r>
      <w:r>
        <w:t xml:space="preserve">). Esas interrupciones suelen ir acompañadas de una depreciación real sustancial, que daña a los países con pasivos muy dolarizados y convierte posiciones fiscales y corporativas que parecían sostenibles en insostenibles. El ajuste de precios relativos requerido es mayor cuanto más cerrada es la economía en la oferta de bienes transables (Calvo et al., 2003). Los autores usan este mecanismo para explicar la caída de la Convertibilidad. Es la misma lógica que mueve el término εₜ dᶠₜ₋₁ de la identidad. Para el período 2016-2020, Aruguete (2021) describe una crisis de balanza de pagos originada en un proceso de sobreendeudamiento público iniciado cuatro años antes.</w:t>
      </w:r>
    </w:p>
    <w:bookmarkEnd w:id="41"/>
    <w:bookmarkStart w:id="42" w:name="X338997c1c1ad6c197b4a88bfa341f9a999e425f"/>
    <w:p>
      <w:pPr>
        <w:pStyle w:val="Heading2"/>
      </w:pPr>
      <w:r>
        <w:t xml:space="preserve">3.5 Canales de transmisión de la política monetaria de Estados Unidos</w:t>
      </w:r>
    </w:p>
    <w:p>
      <w:pPr>
        <w:pStyle w:val="FirstParagraph"/>
      </w:pPr>
      <w:r>
        <w:t xml:space="preserve">La pregunta específica de la tesis es qué ocurre con la deuda consolidada ante un endurecimiento de la política de la Reserva Federal (FED). La literatura identifica cuatro canales por los que una suba de la tasa de Estados Unidos llega a las cuentas públicas de una economía emergente. Los tres primeros están en el modelo de la tesis, y el cuarto queda fuera de él.</w:t>
      </w:r>
    </w:p>
    <w:p>
      <w:pPr>
        <w:pStyle w:val="BodyText"/>
      </w:pPr>
      <w:r>
        <w:rPr>
          <w:b/>
          <w:bCs/>
        </w:rPr>
        <w:t xml:space="preserve">Riesgo soberano.</w:t>
      </w:r>
      <w:r>
        <w:t xml:space="preserve"> </w:t>
      </w:r>
      <w:r>
        <w:t xml:space="preserve">Uribe y Yue (2006) estiman que los shocks de la tasa de Estados Unidos explican alrededor de 20% de los movimientos de la actividad en economías emergentes en frecuencias de ciclo económico, y que afectan a las variables domésticas sobre todo a través del spread soberano. Kalemli-Özcan (2019) encuentra que la política monetaria de Estados Unidos afecta el costo del crédito interno de otros países a través de la percepción de riesgo de los inversores globales, con efectos más intensos sobre los emergentes que sobre las economías avanzadas, y que los flujos de capital, muy sensibles a esa percepción, inciden de forma directa sobre los spreads de crédito locales. Rey (2013) sostiene que los flujos de capital, los precios de los activos y el crédito se mueven con un ciclo financiero global asociado al índice VIX, y que la política monetaria del centro es uno de los factores de ese ciclo. Por eso el EMBI+ es una variable endógena del sistema, la tasa en dólares se construye como tasa de la FED más EMBI+ y el VIX entra como variable exógena que recoge las condiciones financieras globales (Adler y Sosa, 2013, usan el VIX entre sus variables globales).</w:t>
      </w:r>
    </w:p>
    <w:p>
      <w:pPr>
        <w:pStyle w:val="BodyText"/>
      </w:pPr>
      <w:r>
        <w:rPr>
          <w:b/>
          <w:bCs/>
        </w:rPr>
        <w:t xml:space="preserve">Tipo de cambio real y valuación.</w:t>
      </w:r>
      <w:r>
        <w:t xml:space="preserve"> </w:t>
      </w:r>
      <w:r>
        <w:t xml:space="preserve">Los shocks de Estados Unidos influyen en las economías de América Latina por vía financiera y producen en dos episodios, las crisis de Argentina y de Brasil, efectos desestabilizadores sobre los tipos de cambio nominales (Canova, 2005). Una vez que el tipo de cambio real se deprecia, el efecto sobre una cartera con deuda en divisas es el mecanismo de valuación de la sección 3.2 y de Calvo et al. (2003). Por eso el tipo de cambio real es una variable endógena y su efecto se mide como parte del bloque cambiario y de riesgo.</w:t>
      </w:r>
    </w:p>
    <w:p>
      <w:pPr>
        <w:pStyle w:val="BodyText"/>
      </w:pPr>
      <w:r>
        <w:rPr>
          <w:b/>
          <w:bCs/>
        </w:rPr>
        <w:t xml:space="preserve">Crecimiento y diferencial r-g.</w:t>
      </w:r>
      <w:r>
        <w:t xml:space="preserve"> </w:t>
      </w:r>
      <w:r>
        <w:t xml:space="preserve">Neumeyer y Perri (2005) descomponen la tasa de interés real de una economía emergente en una tasa internacional y un componente de riesgo país. Con datos argentinos, eliminar el riesgo país reduce la volatilidad del producto en 27%, mientras que estabilizar la tasa internacional la reduce en menos de 3% (Neumeyer y Perri, 2004). El resultado sugiere que el canal relevante es el spread y no el nivel de la tasa de referencia, y coincide con el de Uribe y Yue (2006). De ahí que el crecimiento sea endógeno y que el diferencial r-g de la identidad se mueva a la vez por el numerador y el denominador.</w:t>
      </w:r>
    </w:p>
    <w:p>
      <w:pPr>
        <w:pStyle w:val="BodyText"/>
      </w:pPr>
      <w:r>
        <w:rPr>
          <w:b/>
          <w:bCs/>
        </w:rPr>
        <w:t xml:space="preserve">Tasas domésticas y costo cuasifiscal.</w:t>
      </w:r>
      <w:r>
        <w:t xml:space="preserve"> </w:t>
      </w:r>
      <w:r>
        <w:t xml:space="preserve">Una suba de la tasa externa también presiona sobre las tasas en pesos y sobre el costo de los pasivos remunerados del banco central, tal como se describe en la sección 3.3. Este canal tiene sustento histórico en el caso argentino, pero el modelo no lo identifica por separado, porque no incluye una tasa doméstica como variable. Su efecto queda incorporado en la deuda consolidada y en la tasa efectiva del escenario base. Esta es una limitación que se declara en la sección 3.8.</w:t>
      </w:r>
    </w:p>
    <w:p>
      <w:pPr>
        <w:pStyle w:val="BodyText"/>
      </w:pPr>
      <w:r>
        <w:t xml:space="preserve">El tratamiento de la FED y del VIX como variables exógenas se apoya en que Argentina es una economía pequeña y abierta. Canova (2005) identifica los shocks de Estados Unidos y los trata como exógenos respecto de los países latinoamericanos. Adler, Djigbenou y Sosa (2016), con un VAR de panel sobre los flujos brutos de capital de economías emergentes, muestran que la respuesta ante los shocks globales difiere según el tipo de shock: los inversores locales cumplen un papel estabilizador tanto ante los shocks de incertidumbre global, donde la repatriación de activos compensa en buena medida la salida de no residentes, como ante los de la tasa larga de Estados Unidos, donde la compensación es mucho más limitada. Esto justifica incluir a la vez la tasa de la FED y el VIX, que no se confunden entre sí.</w:t>
      </w:r>
    </w:p>
    <w:bookmarkEnd w:id="42"/>
    <w:bookmarkStart w:id="43" w:name="sostenibilidad-en-sentido-probabilístico"/>
    <w:p>
      <w:pPr>
        <w:pStyle w:val="Heading2"/>
      </w:pPr>
      <w:r>
        <w:t xml:space="preserve">3.6 Sostenibilidad en sentido probabilístico</w:t>
      </w:r>
    </w:p>
    <w:p>
      <w:pPr>
        <w:pStyle w:val="FirstParagraph"/>
      </w:pPr>
      <w:r>
        <w:t xml:space="preserve">El análisis tradicional de sostenibilidad proyecta una sola trayectoria de la deuda. El enfoque probabilístico representa la incertidumbre alrededor de esa trayectoria. Celasun, Debrun y Ostry (2006) proponen un algoritmo de simulación de la trayectoria de la deuda con shocks realistas al crecimiento, a las tasas de interés y al tipo de cambio, junto con la respuesta endógena de la política fiscal y los shocks fiscales propios. Su arquitectura combina un VAR sin restricciones sobre la tasa de interés externa real, la tasa doméstica real, el crecimiento y el tipo de cambio real efectivo, con una función de reacción fiscal estimada en panel que incluye la deuda rezagada. Los gráficos de abanico resultan de combinar ese patrón de shocks con la reacción fiscal, y las aplicaciones incluyen a Argentina (Celasun et al., 2006). Medeiros (2012) simula las ratios de deuda de quince Estados miembros de la Unión Europea con modelos VAR y una función de reacción fiscal de panel, con errores normales o remuestreados, y muestra que las trayectorias simuladas tienen asimetría positiva. Sugiere correr los escenarios de sostenibilidad también con una función de reacción fiscal o con una hipótesis equivalente de reversión a la media (Medeiros, 2012).</w:t>
      </w:r>
    </w:p>
    <w:p>
      <w:pPr>
        <w:pStyle w:val="BodyText"/>
      </w:pPr>
      <w:r>
        <w:t xml:space="preserve">El FMI adoptó esa lógica. Su marco de 2021 construye el gráfico de abanico aplicando al escenario base shocks tomados de la historia de los determinantes de la deuda (FMI, 2021, párr. 52). Entre las métricas del abanico, la primera es la probabilidad de que la deuda no se estabilice en el mediano plazo, definida como la probabilidad de que el resultado primario proyectado del escenario base en t+5 sea inferior al necesario para estabilizar la deuda en t+5 (FMI, 2021, párr. 53). Para Argentina, el FMI estimó una probabilidad de estabilización cercana a 97% en el escenario base, tanto en el mediano plazo como en un abanico que termina en 2034 (FMI, 2025, anexo II, párr. 6 y 8). Esa cifra es el umbral de H1b.</w:t>
      </w:r>
    </w:p>
    <w:p>
      <w:pPr>
        <w:pStyle w:val="BodyText"/>
      </w:pPr>
      <w:r>
        <w:t xml:space="preserve">Este enfoque tiene una ventaja sobre el análisis puntual: permite separar la dispersión debida a los shocks (los efectos de valuación, de riesgo y de crecimiento) de la trayectoria central. También tiene el límite que se desprende de la sección 3.2: una probabilidad de no estabilización es una medida de riesgo bajo un escenario base, no una prueba de insostenibilidad en el sentido formal del FMI (FMI, 2021, recuadro 2).</w:t>
      </w:r>
    </w:p>
    <w:bookmarkEnd w:id="43"/>
    <w:bookmarkStart w:id="44" w:name="X4b0d8751a9ddb75de76d745052144bc2c592993"/>
    <w:p>
      <w:pPr>
        <w:pStyle w:val="Heading2"/>
      </w:pPr>
      <w:r>
        <w:t xml:space="preserve">3.7 Fatiga fiscal y no linealidades como teoría complementaria</w:t>
      </w:r>
    </w:p>
    <w:p>
      <w:pPr>
        <w:pStyle w:val="FirstParagraph"/>
      </w:pPr>
      <w:r>
        <w:t xml:space="preserve">La regla lineal de Bohn supone que la respuesta del resultado primario es constante. Ghosh, Kim, Mendoza, Ostry y Qureshi (2013) sostienen que esa respuesta se debilita cuando la deuda crece, porque la capacidad de aumentar el resultado primario no sigue el ritmo del aumento de la deuda. Esa fatiga fiscal genera un límite endógeno de la deuda más allá del cual no puede refinanciarse (Ghosh et al., 2013). Su evidencia proviene de 23 economías avanzadas entre 1970 y 2007, por lo que trasladarla a una economía emergente con restricción externa requiere cautela. Las estimaciones de umbral de tipo Hansen (1999) permiten contrastar si la respuesta fiscal cambia por encima de un nivel de riesgo o de deuda.</w:t>
      </w:r>
    </w:p>
    <w:p>
      <w:pPr>
        <w:pStyle w:val="BodyText"/>
      </w:pPr>
      <w:r>
        <w:t xml:space="preserve">En esta tesis la fatiga fiscal no organiza el marco ni sustenta una hipótesis. Es un resultado complementario del Capítulo 6, que se interpreta como una verificación de robustez de la regla lineal, no como la explicación central. La razón es que el objetivo es evaluar el peso conjunto de los canales sobre la deuda y la probabilidad de que no se estabilice, y para eso la reacción fiscal es un componente más del sistema.</w:t>
      </w:r>
    </w:p>
    <w:bookmarkEnd w:id="44"/>
    <w:bookmarkStart w:id="45" w:name="alcances-y-límites-del-marco"/>
    <w:p>
      <w:pPr>
        <w:pStyle w:val="Heading2"/>
      </w:pPr>
      <w:r>
        <w:t xml:space="preserve">3.8 Alcances y límites del marco</w:t>
      </w:r>
    </w:p>
    <w:p>
      <w:pPr>
        <w:pStyle w:val="FirstParagraph"/>
      </w:pPr>
      <w:r>
        <w:t xml:space="preserve">El marco tiene cuatro límites. Primero, la restricción externa se usa como enfoque interpretativo y no se contrasta de manera directa, porque el sistema no incluye el saldo comercial ni la disponibilidad de reservas. Segundo, la regla de Bohn es una condición suficiente de solvencia asintótica, no una prueba de que la deuda se estabilice en el horizonte 2026-2035, y su interpretación requiere compararla con el diferencial r-g. Tercero, el canal de las tasas domésticas y del costo cuasifiscal no se identifica por separado y se absorbe en la deuda consolidada y en la tasa efectiva del escenario base. Cuarto, la probabilidad de no estabilización se mide bajo el escenario base del FMI y no es una medida de insolvencia ni de la necesidad de una reestructuración.</w:t>
      </w:r>
    </w:p>
    <w:p>
      <w:pPr>
        <w:pStyle w:val="BodyText"/>
      </w:pPr>
      <w:r>
        <w:t xml:space="preserve">Quedan fuera del estudio la teoría del crecimiento óptimo y los modelos de ciclo real sin fricciones financieras, que no admiten la restricción externa ni el riesgo soberano, y el análisis jurídico sobre la legitimidad del endeudamiento. Los conceptos del capítulo se corresponden con la matriz operativa del Capítulo 4: el descalce y la identidad con las variables de deuda, tipo de cambio real y riesgo país; la regla de Bohn con la ecuación del resultado primario; los canales de la FED con las variables exógenas; y la sostenibilidad probabilística con la simulación de Monte Carlo.</w:t>
      </w:r>
    </w:p>
    <w:p>
      <w:r>
        <w:pict>
          <v:rect style="width:0;height:1.5pt" o:hralign="center" o:hrstd="t" o:hr="t"/>
        </w:pict>
      </w:r>
    </w:p>
    <w:bookmarkEnd w:id="45"/>
    <w:bookmarkEnd w:id="46"/>
    <w:bookmarkStart w:id="55"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Cada decisión de especificación se fundamenta en el marco del FMI, en la literatura o en las propiedades de los datos.</w:t>
      </w:r>
    </w:p>
    <w:bookmarkStart w:id="47" w:name="arquitectura-general"/>
    <w:p>
      <w:pPr>
        <w:pStyle w:val="Heading2"/>
      </w:pPr>
      <w:r>
        <w:t xml:space="preserve">4.1 Arquitectura general</w:t>
      </w:r>
    </w:p>
    <w:p>
      <w:pPr>
        <w:pStyle w:val="FirstParagraph"/>
      </w:pPr>
      <w:r>
        <w:t xml:space="preserve">El modelo sigue la arquitectura que el propio FMI desarrolló para economías emergentes y aplicó a</w:t>
      </w:r>
      <w:r>
        <w:t xml:space="preserve"> </w:t>
      </w:r>
      <w:r>
        <w:t xml:space="preserve">Argentina. Celasun, Debrun y Ostry (2006) proponen tres piezas:</w:t>
      </w:r>
    </w:p>
    <w:p>
      <w:pPr>
        <w:pStyle w:val="Compact"/>
        <w:numPr>
          <w:ilvl w:val="0"/>
          <w:numId w:val="1002"/>
        </w:numPr>
      </w:pPr>
      <w:r>
        <w:t xml:space="preserve">Un</w:t>
      </w:r>
      <w:r>
        <w:t xml:space="preserve"> </w:t>
      </w:r>
      <w:r>
        <w:rPr>
          <w:b/>
          <w:bCs/>
        </w:rPr>
        <w:t xml:space="preserve">VAR trimestral sin restricciones</w:t>
      </w:r>
      <w:r>
        <w:t xml:space="preserve"> </w:t>
      </w:r>
      <w:r>
        <w:t xml:space="preserve">sobre los determinantes de la dinámica de la deuda:</w:t>
      </w:r>
      <w:r>
        <w:t xml:space="preserve"> </w:t>
      </w:r>
      <w:r>
        <w:t xml:space="preserve">crecimiento, tasas de interés y tipo de cambio. El VAR describe cómo se mueven juntos, estima</w:t>
      </w:r>
      <w:r>
        <w:t xml:space="preserve"> </w:t>
      </w:r>
      <w:r>
        <w:t xml:space="preserve">las varianzas y covarianzas de sus shocks y genera proyecciones consistentes entre sí.</w:t>
      </w:r>
    </w:p>
    <w:p>
      <w:pPr>
        <w:pStyle w:val="Compact"/>
        <w:numPr>
          <w:ilvl w:val="0"/>
          <w:numId w:val="1002"/>
        </w:numPr>
      </w:pPr>
      <w:r>
        <w:t xml:space="preserve">Un bloque de</w:t>
      </w:r>
      <w:r>
        <w:t xml:space="preserve"> </w:t>
      </w:r>
      <w:r>
        <w:rPr>
          <w:b/>
          <w:bCs/>
        </w:rPr>
        <w:t xml:space="preserve">comportamiento fiscal</w:t>
      </w:r>
      <w:r>
        <w:t xml:space="preserve">, en su caso una función de reacción fiscal.</w:t>
      </w:r>
    </w:p>
    <w:p>
      <w:pPr>
        <w:pStyle w:val="Compact"/>
        <w:numPr>
          <w:ilvl w:val="0"/>
          <w:numId w:val="1002"/>
        </w:numPr>
      </w:pPr>
      <w:r>
        <w:t xml:space="preserve">La</w:t>
      </w:r>
      <w:r>
        <w:t xml:space="preserve"> </w:t>
      </w:r>
      <w:r>
        <w:rPr>
          <w:b/>
          <w:bCs/>
        </w:rPr>
        <w:t xml:space="preserve">identidad de acumulación de la deuda</w:t>
      </w:r>
      <w:r>
        <w:t xml:space="preserve">, que separa el tramo en moneda local del tramo</w:t>
      </w:r>
      <w:r>
        <w:t xml:space="preserve"> </w:t>
      </w:r>
      <w:r>
        <w:t xml:space="preserve">en moneda extranjera. Por ella pasan las proyecciones del VAR, anualizadas, para calcular la</w:t>
      </w:r>
      <w:r>
        <w:t xml:space="preserve"> </w:t>
      </w:r>
      <w:r>
        <w:t xml:space="preserve">deuda de manera recursiva y construir los gráficos de abanico.</w:t>
      </w:r>
    </w:p>
    <w:p>
      <w:pPr>
        <w:pStyle w:val="FirstParagraph"/>
      </w:pPr>
      <w:r>
        <w:t xml:space="preserve">El marco vigente del FMI (2021, párr. 52) mantiene la idea central: el gráfico de abanico se</w:t>
      </w:r>
      <w:r>
        <w:t xml:space="preserve"> </w:t>
      </w:r>
      <w:r>
        <w:t xml:space="preserve">arma aplicando al escenario base shocks tomados de la historia de los determinantes de la deuda.</w:t>
      </w:r>
    </w:p>
    <w:p>
      <w:pPr>
        <w:pStyle w:val="BodyText"/>
      </w:pPr>
      <w:r>
        <w:t xml:space="preserve">El modelo de esta tesis conserva esas tres piezas. Agrega dos cosas que la vacancia justifica: los</w:t>
      </w:r>
      <w:r>
        <w:t xml:space="preserve"> </w:t>
      </w:r>
      <w:r>
        <w:t xml:space="preserve">shocks se identifican estructuralmente y la tasa de la FED entra como un shock externo con</w:t>
      </w:r>
      <w:r>
        <w:t xml:space="preserve"> </w:t>
      </w:r>
      <w:r>
        <w:t xml:space="preserve">nombre propio.</w:t>
      </w:r>
    </w:p>
    <w:bookmarkEnd w:id="47"/>
    <w:bookmarkStart w:id="48" w:name="variables-del-sistema"/>
    <w:p>
      <w:pPr>
        <w:pStyle w:val="Heading2"/>
      </w:pPr>
      <w:r>
        <w:t xml:space="preserve">4.2 Variables del sistema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Crecimiento real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de la deuda (Celasun et al., 2006; FMI, 2021). Se usa el crecimiento, no la brecha del producto, porque es lo que entra en la identidad. El PIB real publicado no está desestacionalizado, por lo que el modelo incluye variables binarias estacionales (Lütkepohl, 2005).</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Su ecuación incluye la deuda rezagada; ese coeficiente es la reacción fiscal de Bohn (1998), que caracteriza la respuesta del superávit al endeudamiento.</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Fonts w:ascii="Calibri" w:hAnsi="Calibri"/>
                <w:sz w:val="20"/>
              </w:rPr>
              <w:t xml:space="preserve">Riesgo soberano: forma parte de la tasa en dólares (tasa de Estados Unidos más spread).</w:t>
            </w:r>
          </w:p>
        </w:tc>
      </w:tr>
      <w:tr>
        <w:tc>
          <w:tcPr/>
          <w:p>
            <w:pPr>
              <w:pStyle w:val="Compact"/>
            </w:pPr>
            <w:r>
              <w:rPr>
                <w:rFonts w:ascii="Calibri" w:hAnsi="Calibri"/>
                <w:sz w:val="20"/>
              </w:rPr>
              <w:t xml:space="preserve">Tipo de cambio real multilateral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Efecto de valuación sobre la deuda en moneda extranjera (Calvo et al., 2003).</w:t>
            </w:r>
          </w:p>
        </w:tc>
      </w:tr>
      <w:tr>
        <w:tc>
          <w:tcPr/>
          <w:p>
            <w:pPr>
              <w:pStyle w:val="Compact"/>
            </w:pPr>
            <w:r>
              <w:rPr>
                <w:rFonts w:ascii="Calibri" w:hAnsi="Calibri"/>
                <w:sz w:val="20"/>
              </w:rPr>
              <w:t xml:space="preserve">Deuda consolidada neta (% del PIB)</w:t>
            </w:r>
          </w:p>
        </w:tc>
        <w:tc>
          <w:tcPr/>
          <w:p>
            <w:pPr>
              <w:pStyle w:val="Compact"/>
            </w:pPr>
            <w:r>
              <w:rPr>
                <w:rFonts w:ascii="Calibri" w:hAnsi="Calibri"/>
                <w:sz w:val="20"/>
              </w:rPr>
              <w:t xml:space="preserve">Entra rezagada en las ecuaciones; evoluciona por la identidad</w:t>
            </w:r>
          </w:p>
        </w:tc>
        <w:tc>
          <w:tcPr/>
          <w:p>
            <w:pPr>
              <w:pStyle w:val="Compact"/>
            </w:pPr>
            <w:r>
              <w:rPr>
                <w:rFonts w:ascii="Calibri" w:hAnsi="Calibri"/>
                <w:sz w:val="20"/>
              </w:rPr>
              <w:t xml:space="preserve">Retroalimentación de la deuda sobre el sistema (Favero y Giavazzi, 2007).</w:t>
            </w:r>
          </w:p>
        </w:tc>
      </w:tr>
      <w:tr>
        <w:tc>
          <w:tcPr/>
          <w:p>
            <w:pPr>
              <w:pStyle w:val="Compact"/>
            </w:pPr>
            <w:r>
              <w:rPr>
                <w:rFonts w:ascii="Calibri" w:hAnsi="Calibri"/>
                <w:sz w:val="20"/>
              </w:rPr>
              <w:t xml:space="preserve">Variación de la tasa de la FED</w:t>
            </w:r>
          </w:p>
        </w:tc>
        <w:tc>
          <w:tcPr/>
          <w:p>
            <w:pPr>
              <w:pStyle w:val="Compact"/>
            </w:pPr>
            <w:r>
              <w:rPr>
                <w:rFonts w:ascii="Calibri" w:hAnsi="Calibri"/>
                <w:sz w:val="20"/>
              </w:rPr>
              <w:t xml:space="preserve">Exógena</w:t>
            </w:r>
          </w:p>
        </w:tc>
        <w:tc>
          <w:tcPr/>
          <w:p>
            <w:pPr>
              <w:pStyle w:val="Compact"/>
            </w:pPr>
            <w:r>
              <w:rPr>
                <w:rFonts w:ascii="Calibri" w:hAnsi="Calibri"/>
                <w:sz w:val="20"/>
              </w:rPr>
              <w:t xml:space="preserve">Shock externo de H2.</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sz w:val="20"/>
              </w:rPr>
              <w:t xml:space="preserve">Condiciones financieras globales; es la única variable global con efectos robustos en Adler y Sosa (2013).</w:t>
            </w:r>
          </w:p>
        </w:tc>
      </w:tr>
      <w:tr>
        <w:tc>
          <w:tcPr/>
          <w:p>
            <w:pPr>
              <w:pStyle w:val="Compact"/>
            </w:pPr>
            <w:r>
              <w:rPr>
                <w:rFonts w:ascii="Calibri" w:hAnsi="Calibri"/>
                <w:sz w:val="20"/>
              </w:rPr>
              <w:t xml:space="preserve">Dummies de quiebre</w:t>
            </w:r>
          </w:p>
        </w:tc>
        <w:tc>
          <w:tcPr/>
          <w:p>
            <w:pPr>
              <w:pStyle w:val="Compact"/>
            </w:pPr>
            <w:r>
              <w:rPr>
                <w:rFonts w:ascii="Calibri" w:hAnsi="Calibri"/>
                <w:sz w:val="20"/>
              </w:rPr>
              <w:t xml:space="preserve">Exógenas</w:t>
            </w:r>
          </w:p>
        </w:tc>
        <w:tc>
          <w:tcPr/>
          <w:p>
            <w:pPr>
              <w:pStyle w:val="Compact"/>
            </w:pPr>
            <w:r>
              <w:rPr>
                <w:rFonts w:ascii="Calibri" w:hAnsi="Calibri"/>
                <w:sz w:val="20"/>
              </w:rPr>
              <w:t xml:space="preserve">Quiebres de Bai-Perron estimados sobre la propia serie de deuda (Bai y Perron, 2003).</w:t>
            </w:r>
          </w:p>
        </w:tc>
      </w:tr>
    </w:tbl>
    <w:p>
      <w:pPr>
        <w:pStyle w:val="BodyText"/>
      </w:pPr>
      <w:r>
        <w:rPr>
          <w:b/>
          <w:bCs/>
        </w:rPr>
        <w:t xml:space="preserve">Por qué la deuda entra rezagada y se acumula con la identidad.</w:t>
      </w:r>
      <w:r>
        <w:t xml:space="preserve"> </w:t>
      </w:r>
      <w:r>
        <w:t xml:space="preserve">Favero y Giavazzi (2007)</w:t>
      </w:r>
      <w:r>
        <w:t xml:space="preserve"> </w:t>
      </w:r>
      <w:r>
        <w:t xml:space="preserve">muestran que un VAR fiscal que omite la retroalimentación de la deuda está mal especificado:</w:t>
      </w:r>
      <w:r>
        <w:t xml:space="preserve"> </w:t>
      </w:r>
      <w:r>
        <w:t xml:space="preserve">la restricción presupuestaria hace que el nivel de deuda condicione la política fiscal y las</w:t>
      </w:r>
      <w:r>
        <w:t xml:space="preserve"> </w:t>
      </w:r>
      <w:r>
        <w:t xml:space="preserve">tasas. Su solución es incluir la deuda rezagada en las ecuaciones y hacerla evolucionar con la</w:t>
      </w:r>
      <w:r>
        <w:t xml:space="preserve"> </w:t>
      </w:r>
      <w:r>
        <w:t xml:space="preserve">identidad, no con una ecuación estimada. Eso permite captar los efectos conjuntos que plantea la pregunta de</w:t>
      </w:r>
      <w:r>
        <w:t xml:space="preserve"> </w:t>
      </w:r>
      <w:r>
        <w:t xml:space="preserve">investigación y mantiene la acumulación contablemente exacta.</w:t>
      </w:r>
    </w:p>
    <w:bookmarkEnd w:id="48"/>
    <w:bookmarkStart w:id="50" w:name="variables-exógenas"/>
    <w:p>
      <w:pPr>
        <w:pStyle w:val="Heading2"/>
      </w:pPr>
      <w:r>
        <w:t xml:space="preserve">4.3 Variables exógenas</w:t>
      </w:r>
    </w:p>
    <w:p>
      <w:pPr>
        <w:pStyle w:val="FirstParagraph"/>
      </w:pPr>
      <w:r>
        <w:t xml:space="preserve">Argentina es una economía pequeña y abierta: sus variables no afectan la tasa de la FED ni el</w:t>
      </w:r>
      <w:r>
        <w:t xml:space="preserve"> </w:t>
      </w:r>
      <w:r>
        <w:t xml:space="preserve">VIX. En los VAR de economías pequeñas y abiertas, el supuesto estándar es que las variables</w:t>
      </w:r>
      <w:r>
        <w:t xml:space="preserve"> </w:t>
      </w:r>
      <w:r>
        <w:t xml:space="preserve">externas forman un bloque exógeno (Cushman y Zha, 1997). Así se modela la transmisión de los</w:t>
      </w:r>
      <w:r>
        <w:t xml:space="preserve"> </w:t>
      </w:r>
      <w:r>
        <w:t xml:space="preserve">shocks de Estados Unidos a América Latina (Canova, 2005) y la relación entre tasas</w:t>
      </w:r>
      <w:r>
        <w:t xml:space="preserve"> </w:t>
      </w:r>
      <w:r>
        <w:t xml:space="preserve">internacionales y spreads en emergentes (Uribe y Yue, 2006).</w:t>
      </w:r>
    </w:p>
    <w:p>
      <w:pPr>
        <w:pStyle w:val="BodyText"/>
      </w:pPr>
      <w:r>
        <w:t xml:space="preserve">Una consecuencia importante es que</w:t>
      </w:r>
      <w:r>
        <w:t xml:space="preserve"> </w:t>
      </w:r>
      <w:r>
        <w:rPr>
          <w:b/>
          <w:bCs/>
        </w:rPr>
        <w:t xml:space="preserve">el efecto de la FED (H2) no depende de cómo se ordenen las</w:t>
      </w:r>
      <w:r>
        <w:rPr>
          <w:b/>
          <w:bCs/>
        </w:rPr>
        <w:t xml:space="preserve"> </w:t>
      </w:r>
      <w:r>
        <w:rPr>
          <w:b/>
          <w:bCs/>
        </w:rPr>
        <w:t xml:space="preserve">variables argentinas entre sí</w:t>
      </w:r>
      <w:r>
        <w:t xml:space="preserve">. Se calcula como un multiplicador dinámico de la variable</w:t>
      </w:r>
      <w:r>
        <w:t xml:space="preserve"> </w:t>
      </w:r>
      <w:r>
        <w:t xml:space="preserve">exógena.</w:t>
      </w:r>
    </w:p>
    <w:p>
      <w:pPr>
        <w:pStyle w:val="BodyText"/>
      </w:pPr>
      <w:r>
        <w:t xml:space="preserve">La serie es la tasa de fondos federales. En los trimestres en que esa tasa estuvo en el piso de</w:t>
      </w:r>
      <w:r>
        <w:t xml:space="preserve"> </w:t>
      </w:r>
      <w:r>
        <w:t xml:space="preserve">cero se usa la tasa sombra de Wu y Xia (2016), que mide la orientación de la política monetaria</w:t>
      </w:r>
      <w:r>
        <w:t xml:space="preserve"> </w:t>
      </w:r>
      <w:r>
        <w:t xml:space="preserve">cuando la tasa efectiva no puede bajar más.</w:t>
      </w:r>
    </w:p>
    <w:bookmarkStart w:id="49" w:name="X4626adc4a04cc38647431de13eed7f7fdb244c4"/>
    <w:p>
      <w:pPr>
        <w:pStyle w:val="Heading3"/>
      </w:pPr>
      <w:r>
        <w:t xml:space="preserve">Canales por los que opera el shock de la FED</w:t>
      </w:r>
    </w:p>
    <w:p>
      <w:pPr>
        <w:pStyle w:val="FirstParagraph"/>
      </w:pPr>
      <w:r>
        <w:t xml:space="preserve">Cada canal de transmisión que plantea la pregunta específica (Capítulo 1) está representado por una variable del sistema. Por eso el modelo puede medir cuánto pasa por cada uno.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Canal</w:t>
            </w:r>
          </w:p>
        </w:tc>
        <w:tc>
          <w:tcPr/>
          <w:p>
            <w:pPr>
              <w:pStyle w:val="Compact"/>
            </w:pPr>
            <w:r>
              <w:rPr>
                <w:rFonts w:ascii="Calibri" w:hAnsi="Calibri"/>
                <w:sz w:val="20"/>
              </w:rPr>
              <w:t xml:space="preserve">Variable del modelo</w:t>
            </w:r>
          </w:p>
        </w:tc>
        <w:tc>
          <w:tcPr/>
          <w:p>
            <w:pPr>
              <w:pStyle w:val="Compact"/>
            </w:pPr>
            <w:r>
              <w:rPr>
                <w:rFonts w:ascii="Calibri" w:hAnsi="Calibri"/>
                <w:sz w:val="20"/>
              </w:rPr>
              <w:t xml:space="preserve">Cómo afecta a la deuda en la identidad</w:t>
            </w:r>
          </w:p>
        </w:tc>
      </w:tr>
      <w:tr>
        <w:tc>
          <w:tcPr/>
          <w:p>
            <w:pPr>
              <w:pStyle w:val="Compact"/>
            </w:pPr>
            <w:r>
              <w:rPr>
                <w:rFonts w:ascii="Calibri" w:hAnsi="Calibri"/>
                <w:sz w:val="20"/>
              </w:rPr>
              <w:t xml:space="preserve">Prima de riesgo soberano (Uribe y Yue, 2006)</w:t>
            </w:r>
          </w:p>
        </w:tc>
        <w:tc>
          <w:tcPr/>
          <w:p>
            <w:pPr>
              <w:pStyle w:val="Compact"/>
            </w:pPr>
            <w:r>
              <w:rPr>
                <w:rFonts w:ascii="Calibri" w:hAnsi="Calibri"/>
                <w:sz w:val="20"/>
              </w:rPr>
              <w:t xml:space="preserve">EMBI+</w:t>
            </w:r>
          </w:p>
        </w:tc>
        <w:tc>
          <w:tcPr/>
          <w:p>
            <w:pPr>
              <w:pStyle w:val="Compact"/>
            </w:pPr>
            <w:r>
              <w:rPr>
                <w:rFonts w:ascii="Calibri" w:hAnsi="Calibri"/>
                <w:sz w:val="20"/>
              </w:rPr>
              <w:t xml:space="preserve">Eleva la tasa en dólares (tasa de la FED más el spread).</w:t>
            </w:r>
          </w:p>
        </w:tc>
      </w:tr>
      <w:tr>
        <w:tc>
          <w:tcPr/>
          <w:p>
            <w:pPr>
              <w:pStyle w:val="Compact"/>
            </w:pPr>
            <w:r>
              <w:rPr>
                <w:rFonts w:ascii="Calibri" w:hAnsi="Calibri"/>
                <w:sz w:val="20"/>
              </w:rPr>
              <w:t xml:space="preserve">Depreciación real y efecto de valuación (Calvo et al., 2003)</w:t>
            </w:r>
          </w:p>
        </w:tc>
        <w:tc>
          <w:tcPr/>
          <w:p>
            <w:pPr>
              <w:pStyle w:val="Compact"/>
            </w:pPr>
            <w:r>
              <w:rPr>
                <w:rFonts w:ascii="Calibri" w:hAnsi="Calibri"/>
                <w:sz w:val="20"/>
              </w:rPr>
              <w:t xml:space="preserve">TCRM</w:t>
            </w:r>
          </w:p>
        </w:tc>
        <w:tc>
          <w:tcPr/>
          <w:p>
            <w:pPr>
              <w:pStyle w:val="Compact"/>
            </w:pPr>
            <w:r>
              <w:rPr>
                <w:rFonts w:ascii="Calibri" w:hAnsi="Calibri"/>
                <w:sz w:val="20"/>
              </w:rPr>
              <w:t xml:space="preserve">Aumenta en pesos el valor de la deuda en moneda extranjera.</w:t>
            </w:r>
          </w:p>
        </w:tc>
      </w:tr>
      <w:tr>
        <w:tc>
          <w:tcPr/>
          <w:p>
            <w:pPr>
              <w:pStyle w:val="Compact"/>
            </w:pPr>
            <w:r>
              <w:rPr>
                <w:rFonts w:ascii="Calibri" w:hAnsi="Calibri"/>
                <w:sz w:val="20"/>
              </w:rPr>
              <w:t xml:space="preserve">Menor crecimiento y diferencial tasa-crecimiento (Neumeyer y Perri, 2005)</w:t>
            </w:r>
          </w:p>
        </w:tc>
        <w:tc>
          <w:tcPr/>
          <w:p>
            <w:pPr>
              <w:pStyle w:val="Compact"/>
            </w:pPr>
            <w:r>
              <w:rPr>
                <w:rFonts w:ascii="Calibri" w:hAnsi="Calibri"/>
                <w:sz w:val="20"/>
              </w:rPr>
              <w:t xml:space="preserve">Crecimiento real</w:t>
            </w:r>
          </w:p>
        </w:tc>
        <w:tc>
          <w:tcPr/>
          <w:p>
            <w:pPr>
              <w:pStyle w:val="Compact"/>
            </w:pPr>
            <w:r>
              <w:rPr>
                <w:rFonts w:ascii="Calibri" w:hAnsi="Calibri"/>
                <w:sz w:val="20"/>
              </w:rPr>
              <w:t xml:space="preserve">Achica el denominador y empeora el diferencial r - g.</w:t>
            </w:r>
          </w:p>
        </w:tc>
      </w:tr>
      <w:tr>
        <w:tc>
          <w:tcPr/>
          <w:p>
            <w:pPr>
              <w:pStyle w:val="Compact"/>
            </w:pPr>
            <w:r>
              <w:rPr>
                <w:rFonts w:ascii="Calibri" w:hAnsi="Calibri"/>
                <w:sz w:val="20"/>
              </w:rPr>
              <w:t xml:space="preserve">Respuesta fiscal</w:t>
            </w:r>
          </w:p>
        </w:tc>
        <w:tc>
          <w:tcPr/>
          <w:p>
            <w:pPr>
              <w:pStyle w:val="Compact"/>
            </w:pPr>
            <w:r>
              <w:rPr>
                <w:rFonts w:ascii="Calibri" w:hAnsi="Calibri"/>
                <w:sz w:val="20"/>
              </w:rPr>
              <w:t xml:space="preserve">Resultado primario</w:t>
            </w:r>
          </w:p>
        </w:tc>
        <w:tc>
          <w:tcPr/>
          <w:p>
            <w:pPr>
              <w:pStyle w:val="Compact"/>
            </w:pPr>
            <w:r>
              <w:rPr>
                <w:rFonts w:ascii="Calibri" w:hAnsi="Calibri"/>
                <w:sz w:val="20"/>
              </w:rPr>
              <w:t xml:space="preserve">Cambia el flujo que reduce o aumenta la deuda.</w:t>
            </w:r>
          </w:p>
        </w:tc>
      </w:tr>
      <w:tr>
        <w:tc>
          <w:tcPr/>
          <w:p>
            <w:pPr>
              <w:pStyle w:val="Compact"/>
            </w:pPr>
            <w:r>
              <w:rPr>
                <w:rFonts w:ascii="Calibri" w:hAnsi="Calibri"/>
                <w:sz w:val="20"/>
              </w:rPr>
              <w:t xml:space="preserve">Costo de la deuda en dólares</w:t>
            </w:r>
          </w:p>
        </w:tc>
        <w:tc>
          <w:tcPr/>
          <w:p>
            <w:pPr>
              <w:pStyle w:val="Compact"/>
            </w:pPr>
            <w:r>
              <w:rPr>
                <w:rFonts w:ascii="Calibri" w:hAnsi="Calibri"/>
                <w:sz w:val="20"/>
              </w:rPr>
              <w:t xml:space="preserve">Tasa de la FED (exógena)</w:t>
            </w:r>
          </w:p>
        </w:tc>
        <w:tc>
          <w:tcPr/>
          <w:p>
            <w:pPr>
              <w:pStyle w:val="Compact"/>
            </w:pPr>
            <w:r>
              <w:rPr>
                <w:rFonts w:ascii="Calibri" w:hAnsi="Calibri"/>
                <w:sz w:val="20"/>
              </w:rPr>
              <w:t xml:space="preserve">Entra directamente en la tasa en dólares.</w:t>
            </w:r>
          </w:p>
        </w:tc>
      </w:tr>
    </w:tbl>
    <w:p>
      <w:pPr>
        <w:pStyle w:val="BodyText"/>
      </w:pPr>
      <w:r>
        <w:t xml:space="preserve">El canal cuasifiscal, es decir, el mayor costo de los pasivos remunerados del BCRA, operó en el período de estimación a través de la deuda consolidada. No se proyecta como un canal separado porque esos pasivos son mínimos desde 2024 (FMI, 2025, anexo II).</w:t>
      </w:r>
    </w:p>
    <w:bookmarkEnd w:id="49"/>
    <w:bookmarkEnd w:id="50"/>
    <w:bookmarkStart w:id="51" w:name="identificación-de-los-shocks-domésticos"/>
    <w:p>
      <w:pPr>
        <w:pStyle w:val="Heading2"/>
      </w:pPr>
      <w:r>
        <w:t xml:space="preserve">4.4 Identificación de los shocks domésticos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Shock</w:t>
            </w:r>
          </w:p>
        </w:tc>
        <w:tc>
          <w:tcPr/>
          <w:p>
            <w:pPr>
              <w:pStyle w:val="Compact"/>
            </w:pPr>
            <w:r>
              <w:rPr>
                <w:rFonts w:ascii="Calibri" w:hAnsi="Calibri"/>
                <w:sz w:val="20"/>
              </w:rPr>
              <w:t xml:space="preserve">Supuesto</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El componente cíclico del resultado primario se descuenta con una elasticidad de 0,25, y el resto es el shock fiscal discrecional.</w:t>
            </w:r>
          </w:p>
        </w:tc>
        <w:tc>
          <w:tcPr/>
          <w:p>
            <w:pPr>
              <w:pStyle w:val="Compact"/>
            </w:pPr>
            <w:r>
              <w:rPr>
                <w:rFonts w:ascii="Calibri" w:hAnsi="Calibri"/>
                <w:sz w:val="20"/>
              </w:rPr>
              <w:t xml:space="preserve">Blanchard y Perotti (2002). La política discrecional tarda más de un trimestre en reaccionar, y la elasticidad se toma de estimaciones externas (Girouard y André, 2005).</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El producto puede responder al shock fiscal dentro del trimestre.</w:t>
            </w:r>
          </w:p>
        </w:tc>
        <w:tc>
          <w:tcPr/>
          <w:p>
            <w:pPr>
              <w:pStyle w:val="Compact"/>
            </w:pPr>
            <w:r>
              <w:rPr>
                <w:rFonts w:ascii="Calibri" w:hAnsi="Calibri"/>
                <w:sz w:val="20"/>
              </w:rPr>
              <w:t xml:space="preserve">Blanchard y Perotti (2002).</w:t>
            </w:r>
          </w:p>
        </w:tc>
      </w:tr>
      <w:tr>
        <w:tc>
          <w:tcPr/>
          <w:p>
            <w:pPr>
              <w:pStyle w:val="Compact"/>
            </w:pPr>
            <w:r>
              <w:rPr>
                <w:rFonts w:ascii="Calibri" w:hAnsi="Calibri"/>
                <w:sz w:val="20"/>
              </w:rPr>
              <w:t xml:space="preserve">Riesgo soberano y tipo de cambio</w:t>
            </w:r>
          </w:p>
        </w:tc>
        <w:tc>
          <w:tcPr/>
          <w:p>
            <w:pPr>
              <w:pStyle w:val="Compact"/>
            </w:pPr>
            <w:r>
              <w:rPr>
                <w:rFonts w:ascii="Calibri" w:hAnsi="Calibri"/>
                <w:sz w:val="20"/>
              </w:rPr>
              <w:t xml:space="preserve">Se identifican como</w:t>
            </w:r>
            <w:r>
              <w:rPr>
                <w:rFonts w:ascii="Calibri" w:hAnsi="Calibri"/>
                <w:sz w:val="20"/>
              </w:rPr>
              <w:t xml:space="preserve"> </w:t>
            </w:r>
            <w:r>
              <w:rPr>
                <w:rFonts w:ascii="Calibri" w:hAnsi="Calibri"/>
                <w:b/>
                <w:bCs/>
                <w:sz w:val="20"/>
              </w:rPr>
              <w:t xml:space="preserve">bloque</w:t>
            </w:r>
            <w:r>
              <w:rPr>
                <w:rFonts w:ascii="Calibri" w:hAnsi="Calibri"/>
                <w:sz w:val="20"/>
              </w:rPr>
              <w:t xml:space="preserve">, sin ordenarlos entre sí. Se reporta solo su contribución conjunta.</w:t>
            </w:r>
          </w:p>
        </w:tc>
        <w:tc>
          <w:tcPr/>
          <w:p>
            <w:pPr>
              <w:pStyle w:val="Compact"/>
            </w:pPr>
            <w:r>
              <w:rPr>
                <w:rFonts w:ascii="Calibri" w:hAnsi="Calibri"/>
                <w:sz w:val="20"/>
              </w:rPr>
              <w:t xml:space="preserve">Christiano, Eichenbaum y Evans (1999): con una identificación recursiva por bloques, lo que se identifica no depende del orden dentro de cada bloque. No hay razón teórica para ordenar el EMBI+ y el tipo de cambio, y H1a solo necesita el bloque</w:t>
            </w:r>
            <w:r>
              <w:rPr>
                <w:rFonts w:ascii="Calibri" w:hAnsi="Calibri"/>
                <w:sz w:val="20"/>
              </w:rPr>
              <w:t xml:space="preserve"> </w:t>
            </w:r>
            <w:r>
              <w:rPr>
                <w:rFonts w:ascii="Calibri" w:hAnsi="Calibri"/>
                <w:sz w:val="20"/>
              </w:rPr>
              <w:t xml:space="preserve">“cambiario y de riesgo”</w:t>
            </w:r>
            <w:r>
              <w:rPr>
                <w:rFonts w:ascii="Calibri" w:hAnsi="Calibri"/>
                <w:sz w:val="20"/>
              </w:rPr>
              <w:t xml:space="preserve"> </w:t>
            </w:r>
            <w:r>
              <w:rPr>
                <w:rFonts w:ascii="Calibri" w:hAnsi="Calibri"/>
                <w:sz w:val="20"/>
              </w:rPr>
              <w:t xml:space="preserve">en conjunto.</w:t>
            </w:r>
          </w:p>
        </w:tc>
      </w:tr>
    </w:tbl>
    <w:bookmarkEnd w:id="51"/>
    <w:bookmarkStart w:id="52" w:name="niveles-rezagos-e-inferencia"/>
    <w:p>
      <w:pPr>
        <w:pStyle w:val="Heading2"/>
      </w:pPr>
      <w:r>
        <w:t xml:space="preserve">4.5 Niveles, rezagos e inferencia</w:t>
      </w:r>
    </w:p>
    <w:p>
      <w:pPr>
        <w:pStyle w:val="Compact"/>
        <w:numPr>
          <w:ilvl w:val="0"/>
          <w:numId w:val="1003"/>
        </w:numPr>
      </w:pPr>
      <w:r>
        <w:rPr>
          <w:b/>
          <w:bCs/>
        </w:rPr>
        <w:t xml:space="preserve">Variables en niveles.</w:t>
      </w:r>
      <w:r>
        <w:t xml:space="preserve"> </w:t>
      </w:r>
      <w:r>
        <w:t xml:space="preserve">El VAR se estima en niveles aunque algunas variables tengan raíz unitaria. Sims, Stock y Watson (1990) muestran que las estimaciones siguen siendo consistentes sin imponer relaciones de cointegración. Las pruebas de raíz unitaria (ADF y KPSS) no permiten clasificar con claridad la mayoría de las series, y la prueba de Johansen (1991) sobre las variables en niveles no rechaza la ausencia de cointegración (Apéndice, sección A.1). Imponer un rango de cointegración sería, entonces, un supuesto sin respaldo.</w:t>
      </w:r>
    </w:p>
    <w:p>
      <w:pPr>
        <w:pStyle w:val="Compact"/>
        <w:numPr>
          <w:ilvl w:val="0"/>
          <w:numId w:val="1003"/>
        </w:numPr>
      </w:pPr>
      <w:r>
        <w:rPr>
          <w:b/>
          <w:bCs/>
        </w:rPr>
        <w:t xml:space="preserve">Muestra de estimación.</w:t>
      </w:r>
      <w:r>
        <w:t xml:space="preserve"> </w:t>
      </w:r>
      <w:r>
        <w:t xml:space="preserve">Todas las series cubren 1996-2025 y todas las especificaciones se estiman sobre la misma muestra efectiva, 1998T2-2025T4 (111 trimestres). Los primeros trimestres no se pierden por falta de datos: se usan como condiciones iniciales de los rezagos (la variación de la tasa de la FED con dos rezagos y hasta seis rezagos del VAR). Reservar el mismo número de observaciones para cualquier orden del VAR es lo que permite comparar los criterios de información entre órdenes (Lütkepohl, 2005, sec. 4.3) y hace que la deuda neta, la neta en libros y la bruta se estimen sobre exactamente los mismos trimestres. La simulación usa esa misma muestra para remuestrear los shocks, y la variante con shocks como los del FMI usa los años 1997-2025 de las mismas series.</w:t>
      </w:r>
    </w:p>
    <w:p>
      <w:pPr>
        <w:pStyle w:val="Compact"/>
        <w:numPr>
          <w:ilvl w:val="0"/>
          <w:numId w:val="1003"/>
        </w:numPr>
      </w:pPr>
      <w:r>
        <w:rPr>
          <w:b/>
          <w:bCs/>
        </w:rPr>
        <w:t xml:space="preserve">Rezagos.</w:t>
      </w:r>
      <w:r>
        <w:t xml:space="preserve"> </w:t>
      </w:r>
      <w:r>
        <w:t xml:space="preserve">El orden del VAR se elige con el criterio de información de Akaike (AIC), sujeto a que el modelo sea estable, es decir, a que todas las raíces de su polinomio característico queden fuera del círculo unitario. La estabilidad no es un requisito accesorio: es la condición para que el VAR tenga una representación de medias móviles, en la que se apoyan las respuestas al impulso y la simulación de largo plazo (Lütkepohl, 2005, cap. 2 y 4). Si el orden que elige el AIC produce un modelo inestable, se toma el mayor orden estable inferior. Con la deuda consolidada neta, el AIC alcanza su mínimo en seis rezagos, el máximo considerado, pero todos los órdenes desde cuatro son inestables (raíz máxima entre 1,02 y 1,03), por lo que se usan tres (raíz máxima de 0,96). Los criterios de Hannan-Quinn y de Schwarz eligen órdenes menores (dos y uno), de modo que tres rezagos quedan dentro del rango que sugieren los tres criterios. Con la deuda bruta, el mayor orden estable es cuatro (raíz máxima de 0,99). La prueba de Portmanteau detecta autocorrelación residual leve en los modelos estables (p entre 0,02 y 0,04), que se informa como limitación.</w:t>
      </w:r>
    </w:p>
    <w:p>
      <w:pPr>
        <w:pStyle w:val="Compact"/>
        <w:numPr>
          <w:ilvl w:val="0"/>
          <w:numId w:val="1003"/>
        </w:numPr>
      </w:pPr>
      <w:r>
        <w:rPr>
          <w:b/>
          <w:bCs/>
        </w:rPr>
        <w:t xml:space="preserve">Intervalos de confianza.</w:t>
      </w:r>
      <w:r>
        <w:t xml:space="preserve"> </w:t>
      </w:r>
      <w:r>
        <w:t xml:space="preserve">Los residuos de este tipo de modelos para Argentina rechazan la normalidad, y la volatilidad de las variables cambia entre subperíodos. Por eso los intervalos se calculan con un</w:t>
      </w:r>
      <w:r>
        <w:t xml:space="preserve"> </w:t>
      </w:r>
      <w:r>
        <w:rPr>
          <w:i/>
          <w:iCs/>
        </w:rPr>
        <w:t xml:space="preserve">bootstrap</w:t>
      </w:r>
      <w:r>
        <w:t xml:space="preserve"> </w:t>
      </w:r>
      <w:r>
        <w:t xml:space="preserve">salvaje de diseño recursivo, que es válido con heterocedasticidad condicional de forma desconocida y también sin ella (Gonçalves y Kilian, 2004), con semilla fija para que sean reproducibles. Los diagnósticos del modelo estimado se presentan en el Capítulo 6.</w:t>
      </w:r>
    </w:p>
    <w:bookmarkEnd w:id="52"/>
    <w:bookmarkStart w:id="53" w:name="simulación-de-monte-carlo"/>
    <w:p>
      <w:pPr>
        <w:pStyle w:val="Heading2"/>
      </w:pPr>
      <w:r>
        <w:t xml:space="preserve">4.6 Simulación de Monte Carlo</w:t>
      </w:r>
    </w:p>
    <w:p>
      <w:pPr>
        <w:pStyle w:val="Compact"/>
        <w:numPr>
          <w:ilvl w:val="0"/>
          <w:numId w:val="1004"/>
        </w:numPr>
      </w:pPr>
      <w:r>
        <w:rPr>
          <w:b/>
          <w:bCs/>
        </w:rPr>
        <w:t xml:space="preserve">De dónde salen.</w:t>
      </w:r>
      <w:r>
        <w:t xml:space="preserve"> </w:t>
      </w:r>
      <w:r>
        <w:t xml:space="preserve">Se remuestrean los residuos estimados, que conservan las colas gordas que</w:t>
      </w:r>
      <w:r>
        <w:t xml:space="preserve"> </w:t>
      </w:r>
      <w:r>
        <w:t xml:space="preserve">la normal no captura. Es la versión econométrica del principio del FMI de usar shocks</w:t>
      </w:r>
      <w:r>
        <w:t xml:space="preserve"> </w:t>
      </w:r>
      <w:r>
        <w:t xml:space="preserve">históricos (FMI, 2021, párr. 52).</w:t>
      </w:r>
    </w:p>
    <w:p>
      <w:pPr>
        <w:pStyle w:val="Compact"/>
        <w:numPr>
          <w:ilvl w:val="0"/>
          <w:numId w:val="1004"/>
        </w:numPr>
      </w:pPr>
      <w:r>
        <w:rPr>
          <w:b/>
          <w:bCs/>
        </w:rPr>
        <w:t xml:space="preserve">Incertidumbre de parámetros.</w:t>
      </w:r>
      <w:r>
        <w:t xml:space="preserve"> </w:t>
      </w:r>
      <w:r>
        <w:t xml:space="preserve">Cada trayectoria usa parámetros de una réplica del</w:t>
      </w:r>
      <w:r>
        <w:t xml:space="preserve"> </w:t>
      </w:r>
      <w:r>
        <w:rPr>
          <w:i/>
          <w:iCs/>
        </w:rPr>
        <w:t xml:space="preserve">bootstrap</w:t>
      </w:r>
      <w:r>
        <w:t xml:space="preserve">. Eso da el intervalo de confianza con el que se contrasta H1b.</w:t>
      </w:r>
    </w:p>
    <w:p>
      <w:pPr>
        <w:pStyle w:val="Compact"/>
        <w:numPr>
          <w:ilvl w:val="0"/>
          <w:numId w:val="1004"/>
        </w:numPr>
      </w:pPr>
      <w:r>
        <w:rPr>
          <w:b/>
          <w:bCs/>
        </w:rPr>
        <w:t xml:space="preserve">Escenario base.</w:t>
      </w:r>
      <w:r>
        <w:t xml:space="preserve"> </w:t>
      </w:r>
      <w:r>
        <w:t xml:space="preserve">Los senderos son los del análisis de sostenibilidad más reciente del FMI (2026, cuadro 6), publicado en mayo de 2026: crecimiento, deflactor del PIB, resultado primario, tasa efectiva y ajuste stock-flujo. Así la comparación con su probabilidad de no estabilización es directa. Como robustez se usa el escenario anterior, de abril de 2025 (FMI, 2025, anexo II).</w:t>
      </w:r>
    </w:p>
    <w:p>
      <w:pPr>
        <w:pStyle w:val="Compact"/>
        <w:numPr>
          <w:ilvl w:val="0"/>
          <w:numId w:val="1004"/>
        </w:numPr>
      </w:pPr>
      <w:r>
        <w:rPr>
          <w:b/>
          <w:bCs/>
        </w:rPr>
        <w:t xml:space="preserve">Tamaño del shock de la FED.</w:t>
      </w:r>
      <w:r>
        <w:t xml:space="preserve"> </w:t>
      </w:r>
      <w:r>
        <w:t xml:space="preserve">Un desvío estándar de la variación trimestral, 0,50 puntos</w:t>
      </w:r>
      <w:r>
        <w:t xml:space="preserve"> </w:t>
      </w:r>
      <w:r>
        <w:t xml:space="preserve">porcentuales, que es la convención para medir respuestas en estos modelos. Como escenario</w:t>
      </w:r>
      <w:r>
        <w:t xml:space="preserve"> </w:t>
      </w:r>
      <w:r>
        <w:t xml:space="preserve">histórico se agrega el ciclo de subas de 2022-2023, de 5,25 puntos.</w:t>
      </w:r>
    </w:p>
    <w:p>
      <w:pPr>
        <w:pStyle w:val="Compact"/>
        <w:numPr>
          <w:ilvl w:val="0"/>
          <w:numId w:val="1004"/>
        </w:numPr>
      </w:pPr>
      <w:r>
        <w:rPr>
          <w:b/>
          <w:bCs/>
        </w:rPr>
        <w:t xml:space="preserve">Tasa en dólares.</w:t>
      </w:r>
      <w:r>
        <w:t xml:space="preserve"> </w:t>
      </w:r>
      <w:r>
        <w:t xml:space="preserve">Es la tasa de la FED más el EMBI+ simulado. No se traslada de inmediato a toda la deuda: cada año se refinancia la fracción λ = 18,0/63,6 ≈ 0,28, que es el cociente entre las necesidades brutas de financiamiento promedio y la deuda promedio de los seis primeros años del escenario base del FMI (2026, cuadro 6).</w:t>
      </w:r>
    </w:p>
    <w:p>
      <w:pPr>
        <w:pStyle w:val="Compact"/>
        <w:numPr>
          <w:ilvl w:val="0"/>
          <w:numId w:val="1004"/>
        </w:numPr>
      </w:pPr>
      <w:r>
        <w:rPr>
          <w:b/>
          <w:bCs/>
        </w:rPr>
        <w:t xml:space="preserve">Canal de tasas domésticas (variante).</w:t>
      </w:r>
      <w:r>
        <w:t xml:space="preserve"> </w:t>
      </w:r>
      <w:r>
        <w:t xml:space="preserve">En la especificación principal, el EMBI+ encarece solo la deuda en moneda extranjera. En la variante, el mismo desvío del EMBI+ también reprecia la deuda en pesos, con la misma velocidad λ. El fundamento es la tasa de interés del país de Neumeyer y Perri (2005) y Uribe y Yue (2006): el costo del crédito para el soberano es la tasa internacional más la prima de riesgo, cualquiera sea la moneda. No se agrega una tasa en pesos como variable del VAR porque no hay una serie homogénea para 1996-2025: la convertibilidad, el control de tasas posterior a 2002 y la indexación por CER cambian el significado de cualquier tasa nominal en pesos entre subperíodos.</w:t>
      </w:r>
    </w:p>
    <w:p>
      <w:pPr>
        <w:pStyle w:val="Compact"/>
        <w:numPr>
          <w:ilvl w:val="0"/>
          <w:numId w:val="1004"/>
        </w:numPr>
      </w:pPr>
      <w:r>
        <w:rPr>
          <w:b/>
          <w:bCs/>
        </w:rPr>
        <w:t xml:space="preserve">Shocks como los del FMI (variante).</w:t>
      </w:r>
      <w:r>
        <w:t xml:space="preserve"> </w:t>
      </w:r>
      <w:r>
        <w:t xml:space="preserve">Para saber cuánto del resultado depende de la forma de generar los shocks, se repite la simulación con el procedimiento del abanico del FMI (FMI, 2021, anexo VI; FMI y ESM, 2023): se calculan los desvíos respecto de la media histórica de los cuatro impulsores anuales de la deuda (tasa real efectiva, crecimiento real, depreciación real y resultado primario, 1997-2025), se los remuestrea como vectores, para conservar la correlación entre impulsores, en bloques de dos años consecutivos, para conservar parte de la persistencia, y se los suma al escenario base. La identidad, el punto de partida y la métrica son los mismos. La tasa real efectiva es el cociente entre los intereses pagados (resultado primario menos resultado financiero del Sector Público Nacional, MECON) y la deuda bruta del año anterior, deflactado por el deflactor del PIB.</w:t>
      </w:r>
    </w:p>
    <w:p>
      <w:pPr>
        <w:pStyle w:val="Compact"/>
        <w:numPr>
          <w:ilvl w:val="0"/>
          <w:numId w:val="1004"/>
        </w:numPr>
      </w:pPr>
      <w:r>
        <w:rPr>
          <w:b/>
          <w:bCs/>
        </w:rPr>
        <w:t xml:space="preserve">Por qué la especificación principal es el SVARX.</w:t>
      </w:r>
      <w:r>
        <w:t xml:space="preserve"> </w:t>
      </w:r>
      <w:r>
        <w:t xml:space="preserve">La elección se fija antes de ver los resultados y no según cuál da una probabilidad mayor. El procedimiento del FMI genera shocks en forma reducida: no distingue un shock fiscal de uno cambiario ni aísla la tasa de la FED. Por eso no puede contrastar H1a, que compara bloques de shocks, ni H2, que requiere un shock externo identificado. El SVARX sí puede, y además incorpora la respuesta de la política fiscal a la deuda (Bohn, 1998). La variante del FMI se informa como comparación metodológica.</w:t>
      </w:r>
    </w:p>
    <w:bookmarkEnd w:id="53"/>
    <w:bookmarkStart w:id="54" w:name="contraste-de-las-hipótesis"/>
    <w:p>
      <w:pPr>
        <w:pStyle w:val="Heading2"/>
      </w:pPr>
      <w:r>
        <w:t xml:space="preserve">4.7 Contraste de las hipótesis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Medida</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Contribución de cada bloque de shocks (fiscal, actividad, cambiario y de riesgo) a la varianza de la deuda simulada en 2035, y reacción fiscal de Bohn como caracterización complementaria</w:t>
            </w:r>
          </w:p>
        </w:tc>
        <w:tc>
          <w:tcPr/>
          <w:p>
            <w:pPr>
              <w:pStyle w:val="Compact"/>
            </w:pPr>
            <w:r>
              <w:rPr>
                <w:rFonts w:ascii="Calibri" w:hAnsi="Calibri"/>
                <w:sz w:val="20"/>
              </w:rPr>
              <w:t xml:space="preserve">El superávit primario</w:t>
            </w:r>
            <w:r>
              <w:rPr>
                <w:rFonts w:ascii="Calibri" w:hAnsi="Calibri"/>
                <w:sz w:val="20"/>
              </w:rPr>
              <w:t xml:space="preserve"> </w:t>
            </w:r>
            <w:r>
              <w:rPr>
                <w:rFonts w:ascii="Calibri" w:hAnsi="Calibri"/>
                <w:sz w:val="20"/>
              </w:rPr>
              <w:t xml:space="preserve">“por sí solo no basta”</w:t>
            </w:r>
            <w:r>
              <w:rPr>
                <w:rFonts w:ascii="Calibri" w:hAnsi="Calibri"/>
                <w:sz w:val="20"/>
              </w:rPr>
              <w:t xml:space="preserve"> </w:t>
            </w:r>
            <w:r>
              <w:rPr>
                <w:rFonts w:ascii="Calibri" w:hAnsi="Calibri"/>
                <w:sz w:val="20"/>
              </w:rPr>
              <w:t xml:space="preserve">si la contribución conjunta de los shocks no fiscales supera a la del shock fiscal, con un intervalo de 90% de la diferencia que excluye el cero. Una reacción fiscal positiva no contradice la hipótesis: indica que el superávit responde a la deuda, no que alcance para estabilizarla.</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Probabilidad de que la deuda no se estabilice, con el escenario base del FMI, a cinco años (2030) y a diez años (2035)</w:t>
            </w:r>
          </w:p>
        </w:tc>
        <w:tc>
          <w:tcPr/>
          <w:p>
            <w:pPr>
              <w:pStyle w:val="Compact"/>
            </w:pPr>
            <w:r>
              <w:rPr>
                <w:rFonts w:ascii="Calibri" w:hAnsi="Calibri"/>
                <w:sz w:val="20"/>
              </w:rPr>
              <w:t xml:space="preserve">El límite inferior del intervalo de 90% supera la probabilidad del FMI para el mismo horizonte (contraste unilateral al 5%): 1,0% a mediano plazo y menos de 3% en el abanico de diez años que termina en 2035 (FMI, 2026).</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Diferencia en esa probabilidad y en la deuda esperada entre el escenario con shock de la FED y el escenario base</w:t>
            </w:r>
          </w:p>
        </w:tc>
        <w:tc>
          <w:tcPr/>
          <w:p>
            <w:pPr>
              <w:pStyle w:val="Compact"/>
            </w:pPr>
            <w:r>
              <w:rPr>
                <w:rFonts w:ascii="Calibri" w:hAnsi="Calibri"/>
                <w:sz w:val="20"/>
              </w:rPr>
              <w:t xml:space="preserve">El intervalo de 90% de la diferencia excluye el cero.</w:t>
            </w:r>
          </w:p>
        </w:tc>
      </w:tr>
    </w:tbl>
    <w:bookmarkEnd w:id="54"/>
    <w:bookmarkEnd w:id="55"/>
    <w:bookmarkStart w:id="71" w:name="datos"/>
    <w:p>
      <w:pPr>
        <w:pStyle w:val="Heading1"/>
      </w:pPr>
      <w:r>
        <w:t xml:space="preserve">5. Datos</w:t>
      </w:r>
    </w:p>
    <w:p>
      <w:pPr>
        <w:pStyle w:val="FirstParagraph"/>
      </w:pPr>
      <w:r>
        <w:t xml:space="preserve">Las series son trimestrales y cubren 1996T1-2025T4. Todas se construyeron desde fuentes primarias con procedimientos reproducibles, sin cifras cargadas a mano. Este capítulo resume qué mide cada serie, de dónde sale y por qué se la construyó así, y la contrasta con las cifras del FMI. Los estadísticos descriptivos de la muestra de estimación están en el Apéndice.</w:t>
      </w:r>
    </w:p>
    <w:bookmarkStart w:id="56" w:name="series-y-fuentes"/>
    <w:p>
      <w:pPr>
        <w:pStyle w:val="Heading2"/>
      </w:pPr>
      <w:r>
        <w:t xml:space="preserve">5.1 Series y fuentes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 en el modelo</w:t>
            </w:r>
          </w:p>
        </w:tc>
        <w:tc>
          <w:tcPr/>
          <w:p>
            <w:pPr>
              <w:pStyle w:val="Compact"/>
            </w:pPr>
            <w:r>
              <w:rPr>
                <w:rFonts w:ascii="Calibri" w:hAnsi="Calibri"/>
                <w:sz w:val="20"/>
              </w:rPr>
              <w:t xml:space="preserve">Fuente</w:t>
            </w:r>
          </w:p>
        </w:tc>
        <w:tc>
          <w:tcPr/>
          <w:p>
            <w:pPr>
              <w:pStyle w:val="Compact"/>
            </w:pPr>
            <w:r>
              <w:rPr>
                <w:rFonts w:ascii="Calibri" w:hAnsi="Calibri"/>
                <w:sz w:val="20"/>
              </w:rPr>
              <w:t xml:space="preserve">Construcción</w:t>
            </w:r>
          </w:p>
        </w:tc>
      </w:tr>
      <w:tr>
        <w:tc>
          <w:tcPr/>
          <w:p>
            <w:pPr>
              <w:pStyle w:val="Compact"/>
            </w:pPr>
            <w:r>
              <w:rPr>
                <w:rFonts w:ascii="Calibri" w:hAnsi="Calibri"/>
                <w:sz w:val="20"/>
              </w:rPr>
              <w:t xml:space="preserve">Deuda consolidada neta (% del PIB)</w:t>
            </w:r>
          </w:p>
        </w:tc>
        <w:tc>
          <w:tcPr/>
          <w:p>
            <w:pPr>
              <w:pStyle w:val="Compact"/>
            </w:pPr>
            <w:r>
              <w:rPr>
                <w:rFonts w:ascii="Calibri" w:hAnsi="Calibri"/>
                <w:sz w:val="20"/>
              </w:rPr>
              <w:t xml:space="preserve">Rezagada en las ecuaciones y acumulada en la simulación</w:t>
            </w:r>
          </w:p>
        </w:tc>
        <w:tc>
          <w:tcPr/>
          <w:p>
            <w:pPr>
              <w:pStyle w:val="Compact"/>
            </w:pPr>
            <w:r>
              <w:rPr>
                <w:rFonts w:ascii="Calibri" w:hAnsi="Calibri"/>
                <w:sz w:val="20"/>
              </w:rPr>
              <w:t xml:space="preserve">MECON (deuda de la Administración Central) y BCRA (balance y estadísticas monetarias)</w:t>
            </w:r>
          </w:p>
        </w:tc>
        <w:tc>
          <w:tcPr/>
          <w:p>
            <w:pPr>
              <w:pStyle w:val="Compact"/>
            </w:pPr>
            <w:r>
              <w:rPr>
                <w:rFonts w:ascii="Calibri" w:hAnsi="Calibri"/>
                <w:sz w:val="20"/>
              </w:rPr>
              <w:t xml:space="preserve">Sección 5.2</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MECON, esquema ahorro-inversión-financiamiento del Sector Público Nacional, base caja</w:t>
            </w:r>
          </w:p>
        </w:tc>
        <w:tc>
          <w:tcPr/>
          <w:p>
            <w:pPr>
              <w:pStyle w:val="Compact"/>
            </w:pPr>
            <w:r>
              <w:rPr>
                <w:rFonts w:ascii="Calibri" w:hAnsi="Calibri"/>
                <w:sz w:val="20"/>
              </w:rPr>
              <w:t xml:space="preserve">Suma mensual por trimestre, anualizada sobre el PIB de cuatro trimestres</w:t>
            </w:r>
          </w:p>
        </w:tc>
      </w:tr>
      <w:tr>
        <w:tc>
          <w:tcPr/>
          <w:p>
            <w:pPr>
              <w:pStyle w:val="Compact"/>
            </w:pPr>
            <w:r>
              <w:rPr>
                <w:rFonts w:ascii="Calibri" w:hAnsi="Calibri"/>
                <w:sz w:val="20"/>
              </w:rPr>
              <w:t xml:space="preserve">Crecimiento real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INDEC, PIB a precios constantes</w:t>
            </w:r>
          </w:p>
        </w:tc>
        <w:tc>
          <w:tcPr/>
          <w:p>
            <w:pPr>
              <w:pStyle w:val="Compact"/>
            </w:pPr>
            <w:r>
              <w:rPr>
                <w:rFonts w:ascii="Calibri" w:hAnsi="Calibri"/>
                <w:sz w:val="20"/>
              </w:rPr>
              <w:t xml:space="preserve">Variación logarítmica trimestral; 1996-2003 en base 1993 empalmada a base 2004</w:t>
            </w:r>
          </w:p>
        </w:tc>
      </w:tr>
      <w:tr>
        <w:tc>
          <w:tcPr/>
          <w:p>
            <w:pPr>
              <w:pStyle w:val="Compact"/>
            </w:pPr>
            <w:r>
              <w:rPr>
                <w:rFonts w:ascii="Calibri" w:hAnsi="Calibri"/>
                <w:sz w:val="20"/>
              </w:rPr>
              <w:t xml:space="preserve">EMBI+ (puntos básicos)</w:t>
            </w:r>
          </w:p>
        </w:tc>
        <w:tc>
          <w:tcPr/>
          <w:p>
            <w:pPr>
              <w:pStyle w:val="Compact"/>
            </w:pPr>
            <w:r>
              <w:rPr>
                <w:rFonts w:ascii="Calibri" w:hAnsi="Calibri"/>
                <w:sz w:val="20"/>
              </w:rPr>
              <w:t xml:space="preserve">Endógena</w:t>
            </w:r>
          </w:p>
        </w:tc>
        <w:tc>
          <w:tcPr/>
          <w:p>
            <w:pPr>
              <w:pStyle w:val="Compact"/>
            </w:pPr>
            <w:r>
              <w:rPr>
                <w:rFonts w:ascii="Calibri" w:hAnsi="Calibri"/>
                <w:sz w:val="20"/>
              </w:rPr>
              <w:t xml:space="preserve">J.P. Morgan; antes de 1998,</w:t>
            </w:r>
            <w:r>
              <w:rPr>
                <w:rFonts w:ascii="Calibri" w:hAnsi="Calibri"/>
                <w:sz w:val="20"/>
              </w:rPr>
              <w:t xml:space="preserve"> </w:t>
            </w:r>
            <w:r>
              <w:rPr>
                <w:rFonts w:ascii="Calibri" w:hAnsi="Calibri"/>
                <w:i/>
                <w:iCs/>
                <w:sz w:val="20"/>
              </w:rPr>
              <w:t xml:space="preserve">stripped spread</w:t>
            </w:r>
            <w:r>
              <w:rPr>
                <w:rFonts w:ascii="Calibri" w:hAnsi="Calibri"/>
                <w:sz w:val="20"/>
              </w:rPr>
              <w:t xml:space="preserve"> </w:t>
            </w:r>
            <w:r>
              <w:rPr>
                <w:rFonts w:ascii="Calibri" w:hAnsi="Calibri"/>
                <w:sz w:val="20"/>
              </w:rPr>
              <w:t xml:space="preserve">de los bonos Brady</w:t>
            </w:r>
          </w:p>
        </w:tc>
        <w:tc>
          <w:tcPr/>
          <w:p>
            <w:pPr>
              <w:pStyle w:val="Compact"/>
            </w:pPr>
            <w:r>
              <w:rPr>
                <w:rFonts w:ascii="Calibri" w:hAnsi="Calibri"/>
                <w:sz w:val="20"/>
              </w:rPr>
              <w:t xml:space="preserve">Promedio trimestral, con empalme en 1998</w:t>
            </w:r>
          </w:p>
        </w:tc>
      </w:tr>
      <w:tr>
        <w:tc>
          <w:tcPr/>
          <w:p>
            <w:pPr>
              <w:pStyle w:val="Compact"/>
            </w:pPr>
            <w:r>
              <w:rPr>
                <w:rFonts w:ascii="Calibri" w:hAnsi="Calibri"/>
                <w:sz w:val="20"/>
              </w:rPr>
              <w:t xml:space="preserve">Tipo de cambio real multilateral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BCRA</w:t>
            </w:r>
          </w:p>
        </w:tc>
        <w:tc>
          <w:tcPr/>
          <w:p>
            <w:pPr>
              <w:pStyle w:val="Compact"/>
            </w:pPr>
            <w:r>
              <w:rPr>
                <w:rFonts w:ascii="Calibri" w:hAnsi="Calibri"/>
                <w:sz w:val="20"/>
              </w:rPr>
              <w:t xml:space="preserve">Promedio trimestral del índice</w:t>
            </w:r>
          </w:p>
        </w:tc>
      </w:tr>
      <w:tr>
        <w:tc>
          <w:tcPr/>
          <w:p>
            <w:pPr>
              <w:pStyle w:val="Compact"/>
            </w:pPr>
            <w:r>
              <w:rPr>
                <w:rFonts w:ascii="Calibri" w:hAnsi="Calibri"/>
                <w:sz w:val="20"/>
              </w:rPr>
              <w:t xml:space="preserve">Tasa de política de la FED</w:t>
            </w:r>
          </w:p>
        </w:tc>
        <w:tc>
          <w:tcPr/>
          <w:p>
            <w:pPr>
              <w:pStyle w:val="Compact"/>
            </w:pPr>
            <w:r>
              <w:rPr>
                <w:rFonts w:ascii="Calibri" w:hAnsi="Calibri"/>
                <w:sz w:val="20"/>
              </w:rPr>
              <w:t xml:space="preserve">Exógena</w:t>
            </w:r>
          </w:p>
        </w:tc>
        <w:tc>
          <w:tcPr/>
          <w:p>
            <w:pPr>
              <w:pStyle w:val="Compact"/>
            </w:pPr>
            <w:r>
              <w:rPr>
                <w:rFonts w:ascii="Calibri" w:hAnsi="Calibri"/>
                <w:sz w:val="20"/>
              </w:rPr>
              <w:t xml:space="preserve">Reserva Federal (FRED) y tasa sombra de Wu y Xia (2016)</w:t>
            </w:r>
          </w:p>
        </w:tc>
        <w:tc>
          <w:tcPr/>
          <w:p>
            <w:pPr>
              <w:pStyle w:val="Compact"/>
            </w:pPr>
            <w:r>
              <w:rPr>
                <w:rFonts w:ascii="Calibri" w:hAnsi="Calibri"/>
                <w:sz w:val="20"/>
              </w:rPr>
              <w:t xml:space="preserve">Promedio trimestral; tasa sombra en el límite cero</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sz w:val="20"/>
              </w:rPr>
              <w:t xml:space="preserve">CBOE</w:t>
            </w:r>
          </w:p>
        </w:tc>
        <w:tc>
          <w:tcPr/>
          <w:p>
            <w:pPr>
              <w:pStyle w:val="Compact"/>
            </w:pPr>
            <w:r>
              <w:rPr>
                <w:rFonts w:ascii="Calibri" w:hAnsi="Calibri"/>
                <w:sz w:val="20"/>
              </w:rPr>
              <w:t xml:space="preserve">Promedio trimestral</w:t>
            </w:r>
          </w:p>
        </w:tc>
      </w:tr>
    </w:tbl>
    <w:p>
      <w:pPr>
        <w:pStyle w:val="BodyText"/>
      </w:pPr>
      <w:r>
        <w:rPr>
          <w:b/>
          <w:bCs/>
        </w:rPr>
        <w:t xml:space="preserve">Denominador.</w:t>
      </w:r>
      <w:r>
        <w:t xml:space="preserve"> </w:t>
      </w:r>
      <w:r>
        <w:t xml:space="preserve">Todos los cocientes usan el PIB nominal de los últimos cuatro trimestres. Dividir un stock por el PIB de un solo trimestre anualizado mezcla estacionalidad y, con inflación alta, distorsiona el cociente. En el cuarto trimestre, el denominador coincide con el PIB del año, que es la convención del FMI. Con inflación de tres dígitos (2023-2024), este denominador rezaga al PIB de fin de período y sobreestima el cociente en la aceleración.</w:t>
      </w:r>
    </w:p>
    <w:bookmarkEnd w:id="56"/>
    <w:bookmarkStart w:id="60" w:name="deuda-consolidada-neta"/>
    <w:p>
      <w:pPr>
        <w:pStyle w:val="Heading2"/>
      </w:pPr>
      <w:r>
        <w:t xml:space="preserve">5.2 Deuda consolidada neta</w:t>
      </w:r>
    </w:p>
    <w:p>
      <w:pPr>
        <w:pStyle w:val="FirstParagraph"/>
      </w:pPr>
      <w:r>
        <w:t xml:space="preserve">Se sigue la consolidación con el banco central del FMI (2021, anexo II): se restan los créditos del banco central contra el gobierno y se suman los pasivos de deuda del banco central.</w:t>
      </w:r>
    </w:p>
    <w:p>
      <w:pPr>
        <w:pStyle w:val="BodyText"/>
      </w:pPr>
      <w:r>
        <w:t xml:space="preserve">D = B − T + L − DEP</w:t>
      </w:r>
    </w:p>
    <w:p>
      <w:pPr>
        <w:pStyle w:val="Compact"/>
        <w:numPr>
          <w:ilvl w:val="0"/>
          <w:numId w:val="1005"/>
        </w:numPr>
      </w:pPr>
      <w:r>
        <w:rPr>
          <w:b/>
          <w:bCs/>
        </w:rPr>
        <w:t xml:space="preserve">B, deuda bruta de la Administración Central.</w:t>
      </w:r>
      <w:r>
        <w:t xml:space="preserve"> </w:t>
      </w:r>
      <w:r>
        <w:t xml:space="preserve">Informe de Deuda Pública del MECON, convertida a pesos con el tipo de cambio de fin de trimestre. En 1996-2001 el tipo de cambio es 1, por la convertibilidad. Los seis trimestres de 1996-1997 que no son cierre de año se interpolan en dólares.</w:t>
      </w:r>
    </w:p>
    <w:p>
      <w:pPr>
        <w:pStyle w:val="Compact"/>
        <w:numPr>
          <w:ilvl w:val="0"/>
          <w:numId w:val="1005"/>
        </w:numPr>
      </w:pPr>
      <w:r>
        <w:rPr>
          <w:b/>
          <w:bCs/>
        </w:rPr>
        <w:t xml:space="preserve">T, deuda del Tesoro en poder del BCRA.</w:t>
      </w:r>
      <w:r>
        <w:t xml:space="preserve"> </w:t>
      </w:r>
      <w:r>
        <w:t xml:space="preserve">Adelantos transitorios, títulos en pesos y Letras Intransferibles. Las Letras se valúan a su valor nominal, que publica el MECON, y no al valor contable del balance del BCRA. La razón es que la deuda bruta del MECON está a valor nominal, y restarle tenencias valuadas con otro criterio mezcla dos medidas. Cuando el valor contable supera al nominal, porque incluye otros créditos en dólares, se conserva el contable (variante</w:t>
      </w:r>
      <w:r>
        <w:t xml:space="preserve"> </w:t>
      </w:r>
      <w:r>
        <w:t xml:space="preserve">“piso”</w:t>
      </w:r>
      <w:r>
        <w:t xml:space="preserve">).</w:t>
      </w:r>
    </w:p>
    <w:p>
      <w:pPr>
        <w:pStyle w:val="Compact"/>
        <w:numPr>
          <w:ilvl w:val="0"/>
          <w:numId w:val="1005"/>
        </w:numPr>
      </w:pPr>
      <w:r>
        <w:rPr>
          <w:b/>
          <w:bCs/>
        </w:rPr>
        <w:t xml:space="preserve">L, pasivos remunerados del BCRA.</w:t>
      </w:r>
      <w:r>
        <w:t xml:space="preserve"> </w:t>
      </w:r>
      <w:r>
        <w:t xml:space="preserve">LEBAC y NOBAC, LELIQ y NOTALIQ, posición neta de pases y letras en moneda extranjera (BCRA, estadísticas monetarias). El swap con el Banco Popular de China no tiene serie pública y queda afuera.</w:t>
      </w:r>
    </w:p>
    <w:p>
      <w:pPr>
        <w:pStyle w:val="Compact"/>
        <w:numPr>
          <w:ilvl w:val="0"/>
          <w:numId w:val="1005"/>
        </w:numPr>
      </w:pPr>
      <w:r>
        <w:rPr>
          <w:b/>
          <w:bCs/>
        </w:rPr>
        <w:t xml:space="preserve">DEP, depósitos del Tesoro en el BCRA.</w:t>
      </w:r>
    </w:p>
    <w:p>
      <w:pPr>
        <w:pStyle w:val="FirstParagraph"/>
      </w:pPr>
      <w:r>
        <w:t xml:space="preserve">La Figura 5.1 muestra la serie principal, la variante con las Letras a valor contable y la deuda consolidada bruta (B + L).</w:t>
      </w:r>
    </w:p>
    <w:p>
      <w:pPr>
        <w:pStyle w:val="CaptionedFigure"/>
      </w:pPr>
      <w:r>
        <w:drawing>
          <wp:inline>
            <wp:extent cx="5334000" cy="2743200"/>
            <wp:effectExtent b="0" l="0" r="0" t="0"/>
            <wp:docPr descr="Figura 5.1. Deuda pública consolidada, 1996-2025 (% del PIB de los últimos cuatro trimestres). Los puntos son la deuda consolidada neta del FMI (2025, anexo II, cuadro 2) a diciembre de 2023 y de 2024." title="" id="58" name="Picture"/>
            <a:graphic>
              <a:graphicData uri="http://schemas.openxmlformats.org/drawingml/2006/picture">
                <pic:pic>
                  <pic:nvPicPr>
                    <pic:cNvPr descr="../tesis/figuras/fig5_1_deuda_consolidada_1996_2025.png" id="59" name="Picture"/>
                    <pic:cNvPicPr>
                      <a:picLocks noChangeArrowheads="1" noChangeAspect="1"/>
                    </pic:cNvPicPr>
                  </pic:nvPicPr>
                  <pic:blipFill>
                    <a:blip r:embed="rId57"/>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Figura 5.1. Deuda pública consolidada, 1996-2025 (% del PIB de los últimos cuatro trimestres). Los puntos son la deuda consolidada neta del FMI (2025, anexo II, cuadro 2) a diciembre de 2023 y de 2024.</w:t>
      </w:r>
    </w:p>
    <w:bookmarkEnd w:id="60"/>
    <w:bookmarkStart w:id="61" w:name="resultado-primario-y-crecimiento"/>
    <w:p>
      <w:pPr>
        <w:pStyle w:val="Heading2"/>
      </w:pPr>
      <w:r>
        <w:t xml:space="preserve">5.3 Resultado primario y crecimiento</w:t>
      </w:r>
    </w:p>
    <w:p>
      <w:pPr>
        <w:pStyle w:val="FirstParagraph"/>
      </w:pPr>
      <w:r>
        <w:rPr>
          <w:b/>
          <w:bCs/>
        </w:rPr>
        <w:t xml:space="preserve">Resultado primario.</w:t>
      </w:r>
      <w:r>
        <w:t xml:space="preserve"> </w:t>
      </w:r>
      <w:r>
        <w:t xml:space="preserve">La serie del MECON es mensual desde 1993 y se publica en tres tramos metodológicos (1993-2006, 2007-2014 y desde 2015). Cada trimestre es la suma de sus tres meses, sin interpolar. La medida que entra al modelo es el flujo trimestral anualizado, no la suma móvil de cuatro trimestres: la suma móvil superpone trimestres y crea una autocorrelación artificial (0,97 de orden 1, contra 0,65 del flujo trimestral). La estacionalidad que conserva el flujo trimestral la absorben las variables binarias del modelo. La serie incluye las rentas de la propiedad, entre ellas las utilidades del BCRA, porque la fuente no permite separarlas.</w:t>
      </w:r>
    </w:p>
    <w:p>
      <w:pPr>
        <w:pStyle w:val="BodyText"/>
      </w:pPr>
      <w:r>
        <w:rPr>
          <w:b/>
          <w:bCs/>
        </w:rPr>
        <w:t xml:space="preserve">Crecimiento.</w:t>
      </w:r>
      <w:r>
        <w:t xml:space="preserve"> </w:t>
      </w:r>
      <w:r>
        <w:t xml:space="preserve">El PIB real de 2004-2025 es la serie del INDEC en base 2004. El de 1996-2003 es la serie en base 1993, empalmada con un coeficiente de enlace de 1,751 (la razón media entre las dos bases en 2004). El coeficiente afecta el nivel anterior a 2004, pero no las tasas de crecimiento, que es lo que entra al modelo. La serie no está desestacionalizada, por la misma razón que el resultado primario.</w:t>
      </w:r>
    </w:p>
    <w:bookmarkEnd w:id="61"/>
    <w:bookmarkStart w:id="68" w:name="variables-financieras-y-externas"/>
    <w:p>
      <w:pPr>
        <w:pStyle w:val="Heading2"/>
      </w:pPr>
      <w:r>
        <w:t xml:space="preserve">5.4 Variables financieras y externas</w:t>
      </w:r>
    </w:p>
    <w:p>
      <w:pPr>
        <w:pStyle w:val="Compact"/>
        <w:numPr>
          <w:ilvl w:val="0"/>
          <w:numId w:val="1006"/>
        </w:numPr>
      </w:pPr>
      <w:r>
        <w:rPr>
          <w:b/>
          <w:bCs/>
        </w:rPr>
        <w:t xml:space="preserve">EMBI+.</w:t>
      </w:r>
      <w:r>
        <w:t xml:space="preserve"> </w:t>
      </w:r>
      <w:r>
        <w:t xml:space="preserve">Desde 1999 es el EMBI+ de J.P. Morgan, promedio trimestral de datos diarios. Para 1996-1998 se usa el</w:t>
      </w:r>
      <w:r>
        <w:t xml:space="preserve"> </w:t>
      </w:r>
      <w:r>
        <w:rPr>
          <w:i/>
          <w:iCs/>
        </w:rPr>
        <w:t xml:space="preserve">stripped spread</w:t>
      </w:r>
      <w:r>
        <w:t xml:space="preserve"> </w:t>
      </w:r>
      <w:r>
        <w:t xml:space="preserve">de los bonos Brady, ajustado con una corrección proporcional en el punto de unión para que el empalme no introduzca un salto de nivel. Son 12 de los 120 trimestres.</w:t>
      </w:r>
    </w:p>
    <w:p>
      <w:pPr>
        <w:pStyle w:val="Compact"/>
        <w:numPr>
          <w:ilvl w:val="0"/>
          <w:numId w:val="1006"/>
        </w:numPr>
      </w:pPr>
      <w:r>
        <w:rPr>
          <w:b/>
          <w:bCs/>
        </w:rPr>
        <w:t xml:space="preserve">Tipo de cambio real multilateral.</w:t>
      </w:r>
      <w:r>
        <w:t xml:space="preserve"> </w:t>
      </w:r>
      <w:r>
        <w:t xml:space="preserve">Índice del BCRA, disponible desde 1997. Los cuatro trimestres de 1996 se retropolan con la tendencia de 1997-1999.</w:t>
      </w:r>
    </w:p>
    <w:p>
      <w:pPr>
        <w:pStyle w:val="Compact"/>
        <w:numPr>
          <w:ilvl w:val="0"/>
          <w:numId w:val="1006"/>
        </w:numPr>
      </w:pPr>
      <w:r>
        <w:rPr>
          <w:b/>
          <w:bCs/>
        </w:rPr>
        <w:t xml:space="preserve">Tasa de la FED.</w:t>
      </w:r>
      <w:r>
        <w:t xml:space="preserve"> </w:t>
      </w:r>
      <w:r>
        <w:t xml:space="preserve">Tasa de fondos federales, salvo en los trimestres en que está en el límite cero (2009-2015 y 2020-2021), donde se usa la tasa sombra de Wu y Xia (2016). En el límite cero la tasa efectiva deja de reflejar la orientación de la política, y la tasa sombra la recupera. En el modelo entra la variación trimestral, cuyo desvío estándar (0,50 puntos) es el tamaño del shock de la sección 4.6.</w:t>
      </w:r>
    </w:p>
    <w:p>
      <w:pPr>
        <w:pStyle w:val="Compact"/>
        <w:numPr>
          <w:ilvl w:val="0"/>
          <w:numId w:val="1006"/>
        </w:numPr>
      </w:pPr>
      <w:r>
        <w:rPr>
          <w:b/>
          <w:bCs/>
        </w:rPr>
        <w:t xml:space="preserve">VIX.</w:t>
      </w:r>
      <w:r>
        <w:t xml:space="preserve"> </w:t>
      </w:r>
      <w:r>
        <w:t xml:space="preserve">Volatilidad implícita del índice S&amp;P 500, promedio trimestral.</w:t>
      </w:r>
    </w:p>
    <w:p>
      <w:pPr>
        <w:pStyle w:val="FirstParagraph"/>
      </w:pPr>
      <w:r>
        <w:t xml:space="preserve">La Figura 5.2 muestra las variables endógenas y la Figura 5.3, las exógenas.</w:t>
      </w:r>
    </w:p>
    <w:p>
      <w:pPr>
        <w:pStyle w:val="CaptionedFigure"/>
      </w:pPr>
      <w:r>
        <w:drawing>
          <wp:inline>
            <wp:extent cx="5334000" cy="3657600"/>
            <wp:effectExtent b="0" l="0" r="0" t="0"/>
            <wp:docPr descr="Figura 5.2. Variables endógenas del SVARX, 1996-2025. El crecimiento es la variación trimestral del PIB real sin desestacionalizar; la estacionalidad la absorben las variables binarias del modelo. Las líneas punteadas marcan los quiebres de Bai y Perron." title="" id="63" name="Picture"/>
            <a:graphic>
              <a:graphicData uri="http://schemas.openxmlformats.org/drawingml/2006/picture">
                <pic:pic>
                  <pic:nvPicPr>
                    <pic:cNvPr descr="../tesis/figuras/fig5_2_variables_endogenas.png" id="64" name="Picture"/>
                    <pic:cNvPicPr>
                      <a:picLocks noChangeArrowheads="1" noChangeAspect="1"/>
                    </pic:cNvPicPr>
                  </pic:nvPicPr>
                  <pic:blipFill>
                    <a:blip r:embed="rId62"/>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Figura 5.2. Variables endógenas del SVARX, 1996-2025. El crecimiento es la variación trimestral del PIB real sin desestacionalizar; la estacionalidad la absorben las variables binarias del modelo. Las líneas punteadas marcan los quiebres de Bai y Perron.</w:t>
      </w:r>
    </w:p>
    <w:p>
      <w:pPr>
        <w:pStyle w:val="CaptionedFigure"/>
      </w:pPr>
      <w:r>
        <w:drawing>
          <wp:inline>
            <wp:extent cx="5334000" cy="3200400"/>
            <wp:effectExtent b="0" l="0" r="0" t="0"/>
            <wp:docPr descr="Figura 5.3. Variables exógenas del SVARX. Arriba, tasa de política de la Reserva Federal: tasa de fondos federales y, en el límite cero, tasa sombra de Wu y Xia (2016). Abajo, VIX. Promedios trimestrales." title="" id="66" name="Picture"/>
            <a:graphic>
              <a:graphicData uri="http://schemas.openxmlformats.org/drawingml/2006/picture">
                <pic:pic>
                  <pic:nvPicPr>
                    <pic:cNvPr descr="../tesis/figuras/fig5_3_fed_y_vix.png" id="67" name="Picture"/>
                    <pic:cNvPicPr>
                      <a:picLocks noChangeArrowheads="1" noChangeAspect="1"/>
                    </pic:cNvPicPr>
                  </pic:nvPicPr>
                  <pic:blipFill>
                    <a:blip r:embed="rId6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Figura 5.3. Variables exógenas del SVARX. Arriba, tasa de política de la Reserva Federal: tasa de fondos federales y, en el límite cero, tasa sombra de Wu y Xia (2016). Abajo, VIX. Promedios trimestrales.</w:t>
      </w:r>
    </w:p>
    <w:bookmarkEnd w:id="68"/>
    <w:bookmarkStart w:id="69" w:name="contraste-con-el-fmi"/>
    <w:p>
      <w:pPr>
        <w:pStyle w:val="Heading2"/>
      </w:pPr>
      <w:r>
        <w:t xml:space="preserve">5.5 Contraste con el FMI</w:t>
      </w:r>
    </w:p>
    <w:p>
      <w:pPr>
        <w:pStyle w:val="FirstParagraph"/>
      </w:pPr>
      <w:r>
        <w:t xml:space="preserve">El FMI (2025, anexo II, cuadro 2) publica la deuda consolidada para 2023 y 2024. La Tabla 5.1 la compara con la de esta tesis.</w:t>
      </w:r>
    </w:p>
    <w:p>
      <w:pPr>
        <w:pStyle w:val="BodyText"/>
      </w:pPr>
      <w:r>
        <w:rPr>
          <w:b/>
          <w:bCs/>
        </w:rPr>
        <w:t xml:space="preserve">Tabla 5.1. Deuda consolidada: esta tesis y FMI (% del PIB, diciembre)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2023, tesis</w:t>
            </w:r>
          </w:p>
        </w:tc>
        <w:tc>
          <w:tcPr/>
          <w:p>
            <w:pPr>
              <w:pStyle w:val="Compact"/>
            </w:pPr>
            <w:r>
              <w:rPr>
                <w:rFonts w:ascii="Calibri" w:hAnsi="Calibri"/>
                <w:sz w:val="20"/>
              </w:rPr>
              <w:t xml:space="preserve">2023, FMI</w:t>
            </w:r>
          </w:p>
        </w:tc>
        <w:tc>
          <w:tcPr/>
          <w:p>
            <w:pPr>
              <w:pStyle w:val="Compact"/>
            </w:pPr>
            <w:r>
              <w:rPr>
                <w:rFonts w:ascii="Calibri" w:hAnsi="Calibri"/>
                <w:sz w:val="20"/>
              </w:rPr>
              <w:t xml:space="preserve">2024, tesis</w:t>
            </w:r>
          </w:p>
        </w:tc>
        <w:tc>
          <w:tcPr/>
          <w:p>
            <w:pPr>
              <w:pStyle w:val="Compact"/>
            </w:pPr>
            <w:r>
              <w:rPr>
                <w:rFonts w:ascii="Calibri" w:hAnsi="Calibri"/>
                <w:sz w:val="20"/>
              </w:rPr>
              <w:t xml:space="preserve">2024, FMI</w:t>
            </w:r>
          </w:p>
        </w:tc>
      </w:tr>
      <w:tr>
        <w:tc>
          <w:tcPr/>
          <w:p>
            <w:pPr>
              <w:pStyle w:val="Compact"/>
            </w:pPr>
            <w:r>
              <w:rPr>
                <w:rFonts w:ascii="Calibri" w:hAnsi="Calibri"/>
                <w:sz w:val="20"/>
              </w:rPr>
              <w:t xml:space="preserve">Deuda bruta de la Administración Central</w:t>
            </w:r>
          </w:p>
        </w:tc>
        <w:tc>
          <w:tcPr/>
          <w:p>
            <w:pPr>
              <w:pStyle w:val="Compact"/>
            </w:pPr>
            <w:r>
              <w:rPr>
                <w:rFonts w:ascii="Calibri" w:hAnsi="Calibri"/>
                <w:sz w:val="20"/>
              </w:rPr>
              <w:t xml:space="preserve">153,5</w:t>
            </w:r>
          </w:p>
        </w:tc>
        <w:tc>
          <w:tcPr/>
          <w:p>
            <w:pPr>
              <w:pStyle w:val="Compact"/>
            </w:pPr>
            <w:r>
              <w:rPr>
                <w:rFonts w:ascii="Calibri" w:hAnsi="Calibri"/>
                <w:sz w:val="20"/>
              </w:rPr>
              <w:t xml:space="preserve">155,4</w:t>
            </w:r>
          </w:p>
        </w:tc>
        <w:tc>
          <w:tcPr/>
          <w:p>
            <w:pPr>
              <w:pStyle w:val="Compact"/>
            </w:pPr>
            <w:r>
              <w:rPr>
                <w:rFonts w:ascii="Calibri" w:hAnsi="Calibri"/>
                <w:sz w:val="20"/>
              </w:rPr>
              <w:t xml:space="preserve">82,1</w:t>
            </w:r>
          </w:p>
        </w:tc>
        <w:tc>
          <w:tcPr/>
          <w:p>
            <w:pPr>
              <w:pStyle w:val="Compact"/>
            </w:pPr>
            <w:r>
              <w:rPr>
                <w:rFonts w:ascii="Calibri" w:hAnsi="Calibri"/>
                <w:sz w:val="20"/>
              </w:rPr>
              <w:t xml:space="preserve">85,3</w:t>
            </w:r>
          </w:p>
        </w:tc>
      </w:tr>
      <w:tr>
        <w:tc>
          <w:tcPr/>
          <w:p>
            <w:pPr>
              <w:pStyle w:val="Compact"/>
            </w:pPr>
            <w:r>
              <w:rPr>
                <w:rFonts w:ascii="Calibri" w:hAnsi="Calibri"/>
                <w:sz w:val="20"/>
              </w:rPr>
              <w:t xml:space="preserve">Deuda del Tesoro en poder del sector público</w:t>
            </w:r>
          </w:p>
        </w:tc>
        <w:tc>
          <w:tcPr/>
          <w:p>
            <w:pPr>
              <w:pStyle w:val="Compact"/>
            </w:pPr>
            <w:r>
              <w:rPr>
                <w:rFonts w:ascii="Calibri" w:hAnsi="Calibri"/>
                <w:sz w:val="20"/>
              </w:rPr>
              <w:t xml:space="preserve">48,6 (solo BCRA)</w:t>
            </w:r>
          </w:p>
        </w:tc>
        <w:tc>
          <w:tcPr/>
          <w:p>
            <w:pPr>
              <w:pStyle w:val="Compact"/>
            </w:pPr>
            <w:r>
              <w:rPr>
                <w:rFonts w:ascii="Calibri" w:hAnsi="Calibri"/>
                <w:sz w:val="20"/>
              </w:rPr>
              <w:t xml:space="preserve">62,5 (BCRA y FGS)</w:t>
            </w:r>
          </w:p>
        </w:tc>
        <w:tc>
          <w:tcPr/>
          <w:p>
            <w:pPr>
              <w:pStyle w:val="Compact"/>
            </w:pPr>
            <w:r>
              <w:rPr>
                <w:rFonts w:ascii="Calibri" w:hAnsi="Calibri"/>
                <w:sz w:val="20"/>
              </w:rPr>
              <w:t xml:space="preserve">20,4 (solo BCRA)</w:t>
            </w:r>
          </w:p>
        </w:tc>
        <w:tc>
          <w:tcPr/>
          <w:p>
            <w:pPr>
              <w:pStyle w:val="Compact"/>
            </w:pPr>
            <w:r>
              <w:rPr>
                <w:rFonts w:ascii="Calibri" w:hAnsi="Calibri"/>
                <w:sz w:val="20"/>
              </w:rPr>
              <w:t xml:space="preserve">33,9 (BCRA y FGS)</w:t>
            </w:r>
          </w:p>
        </w:tc>
      </w:tr>
      <w:tr>
        <w:tc>
          <w:tcPr/>
          <w:p>
            <w:pPr>
              <w:pStyle w:val="Compact"/>
            </w:pPr>
            <w:r>
              <w:rPr>
                <w:rFonts w:ascii="Calibri" w:hAnsi="Calibri"/>
                <w:sz w:val="20"/>
              </w:rPr>
              <w:t xml:space="preserve">Pasivos del BCRA</w:t>
            </w:r>
          </w:p>
        </w:tc>
        <w:tc>
          <w:tcPr/>
          <w:p>
            <w:pPr>
              <w:pStyle w:val="Compact"/>
            </w:pPr>
            <w:r>
              <w:rPr>
                <w:rFonts w:ascii="Calibri" w:hAnsi="Calibri"/>
                <w:sz w:val="20"/>
              </w:rPr>
              <w:t xml:space="preserve">14,6</w:t>
            </w:r>
          </w:p>
        </w:tc>
        <w:tc>
          <w:tcPr/>
          <w:p>
            <w:pPr>
              <w:pStyle w:val="Compact"/>
            </w:pPr>
            <w:r>
              <w:rPr>
                <w:rFonts w:ascii="Calibri" w:hAnsi="Calibri"/>
                <w:sz w:val="20"/>
              </w:rPr>
              <w:t xml:space="preserve">18,4</w:t>
            </w:r>
          </w:p>
        </w:tc>
        <w:tc>
          <w:tcPr/>
          <w:p>
            <w:pPr>
              <w:pStyle w:val="Compact"/>
            </w:pPr>
            <w:r>
              <w:rPr>
                <w:rFonts w:ascii="Calibri" w:hAnsi="Calibri"/>
                <w:sz w:val="20"/>
              </w:rPr>
              <w:t xml:space="preserve">1,6</w:t>
            </w:r>
          </w:p>
        </w:tc>
        <w:tc>
          <w:tcPr/>
          <w:p>
            <w:pPr>
              <w:pStyle w:val="Compact"/>
            </w:pPr>
            <w:r>
              <w:rPr>
                <w:rFonts w:ascii="Calibri" w:hAnsi="Calibri"/>
                <w:sz w:val="20"/>
              </w:rPr>
              <w:t xml:space="preserve">2,2</w:t>
            </w:r>
          </w:p>
        </w:tc>
      </w:tr>
      <w:tr>
        <w:tc>
          <w:tcPr/>
          <w:p>
            <w:pPr>
              <w:pStyle w:val="Compact"/>
            </w:pPr>
            <w:r>
              <w:rPr>
                <w:rFonts w:ascii="Calibri" w:hAnsi="Calibri"/>
                <w:sz w:val="20"/>
              </w:rPr>
              <w:t xml:space="preserve">Depósitos del Tesoro en el BCRA</w:t>
            </w:r>
          </w:p>
        </w:tc>
        <w:tc>
          <w:tcPr/>
          <w:p>
            <w:pPr>
              <w:pStyle w:val="Compact"/>
            </w:pPr>
            <w:r>
              <w:rPr>
                <w:rFonts w:ascii="Calibri" w:hAnsi="Calibri"/>
                <w:sz w:val="20"/>
              </w:rPr>
              <w:t xml:space="preserve">0,5</w:t>
            </w:r>
          </w:p>
        </w:tc>
        <w:tc>
          <w:tcPr/>
          <w:p>
            <w:pPr>
              <w:pStyle w:val="Compact"/>
            </w:pPr>
            <w:r>
              <w:rPr>
                <w:rFonts w:ascii="Calibri" w:hAnsi="Calibri"/>
                <w:sz w:val="20"/>
              </w:rPr>
              <w:t xml:space="preserve">0,5</w:t>
            </w:r>
          </w:p>
        </w:tc>
        <w:tc>
          <w:tcPr/>
          <w:p>
            <w:pPr>
              <w:pStyle w:val="Compact"/>
            </w:pPr>
            <w:r>
              <w:rPr>
                <w:rFonts w:ascii="Calibri" w:hAnsi="Calibri"/>
                <w:sz w:val="20"/>
              </w:rPr>
              <w:t xml:space="preserve">2,1</w:t>
            </w:r>
          </w:p>
        </w:tc>
        <w:tc>
          <w:tcPr/>
          <w:p>
            <w:pPr>
              <w:pStyle w:val="Compact"/>
            </w:pPr>
            <w:r>
              <w:rPr>
                <w:rFonts w:ascii="Calibri" w:hAnsi="Calibri"/>
                <w:sz w:val="20"/>
              </w:rPr>
              <w:t xml:space="preserve">2,1</w:t>
            </w:r>
          </w:p>
        </w:tc>
      </w:tr>
      <w:tr>
        <w:tc>
          <w:tcPr/>
          <w:p>
            <w:pPr>
              <w:pStyle w:val="Compact"/>
            </w:pPr>
            <w:r>
              <w:rPr>
                <w:rFonts w:ascii="Calibri" w:hAnsi="Calibri"/>
                <w:b/>
                <w:bCs/>
                <w:sz w:val="20"/>
              </w:rPr>
              <w:t xml:space="preserve">Deuda consolidada neta</w:t>
            </w:r>
          </w:p>
        </w:tc>
        <w:tc>
          <w:tcPr/>
          <w:p>
            <w:pPr>
              <w:pStyle w:val="Compact"/>
            </w:pPr>
            <w:r>
              <w:rPr>
                <w:rFonts w:ascii="Calibri" w:hAnsi="Calibri"/>
                <w:b/>
                <w:bCs/>
                <w:sz w:val="20"/>
              </w:rPr>
              <w:t xml:space="preserve">119,0</w:t>
            </w:r>
          </w:p>
        </w:tc>
        <w:tc>
          <w:tcPr/>
          <w:p>
            <w:pPr>
              <w:pStyle w:val="Compact"/>
            </w:pPr>
            <w:r>
              <w:rPr>
                <w:rFonts w:ascii="Calibri" w:hAnsi="Calibri"/>
                <w:b/>
                <w:bCs/>
                <w:sz w:val="20"/>
              </w:rPr>
              <w:t xml:space="preserve">110,8</w:t>
            </w:r>
          </w:p>
        </w:tc>
        <w:tc>
          <w:tcPr/>
          <w:p>
            <w:pPr>
              <w:pStyle w:val="Compact"/>
            </w:pPr>
            <w:r>
              <w:rPr>
                <w:rFonts w:ascii="Calibri" w:hAnsi="Calibri"/>
                <w:b/>
                <w:bCs/>
                <w:sz w:val="20"/>
              </w:rPr>
              <w:t xml:space="preserve">61,1</w:t>
            </w:r>
          </w:p>
        </w:tc>
        <w:tc>
          <w:tcPr/>
          <w:p>
            <w:pPr>
              <w:pStyle w:val="Compact"/>
            </w:pPr>
            <w:r>
              <w:rPr>
                <w:rFonts w:ascii="Calibri" w:hAnsi="Calibri"/>
                <w:b/>
                <w:bCs/>
                <w:sz w:val="20"/>
              </w:rPr>
              <w:t xml:space="preserve">51,5</w:t>
            </w:r>
          </w:p>
        </w:tc>
      </w:tr>
    </w:tbl>
    <w:p>
      <w:pPr>
        <w:pStyle w:val="BodyText"/>
      </w:pPr>
      <w:r>
        <w:t xml:space="preserve">La deuda bruta y los depósitos coinciden con el FMI dentro de 3 puntos. La deuda bruta del FMI es algo mayor porque suma intereses capitalizados, deuda con acreedores que no entraron a los canjes (</w:t>
      </w:r>
      <w:r>
        <w:rPr>
          <w:i/>
          <w:iCs/>
        </w:rPr>
        <w:t xml:space="preserve">holdouts</w:t>
      </w:r>
      <w:r>
        <w:t xml:space="preserve">) y reclamos por el cupón PIB, que no figuran en el informe del MECON. Los pasivos del BCRA son algo menores porque falta el swap con China. La diferencia principal está en la segunda línea: el FMI resta también la deuda del Tesoro en poder del Fondo de Garantía de Sustentabilidad (FGS) de la ANSES, que esta tesis no puede restar porque no hay una serie pública completa que se pueda obtener (la ANSES publica la cartera solo en informes que no permiten la descarga automática). Por eso, la deuda neta de esta tesis queda entre 8 y 10 puntos por encima de la del FMI desde 2007, cuando se creó el FGS, y antes de esa fecha no hay diferencia de perímetro.</w:t>
      </w:r>
    </w:p>
    <w:p>
      <w:pPr>
        <w:pStyle w:val="BodyText"/>
      </w:pPr>
      <w:r>
        <w:t xml:space="preserve">El informe más reciente del FMI (2026, cuadro 2) actualiza esas cifras y agrega 2025: 111,1% en 2023, 53,6% en 2024 y 52,1% en 2025, frente a 119,0%, 61,1% y 61,0% de esta tesis. La diferencia, de 8 a 9 puntos, se mantiene estable, como corresponde a una brecha que viene sobre todo del FGS.</w:t>
      </w:r>
    </w:p>
    <w:p>
      <w:pPr>
        <w:pStyle w:val="BodyText"/>
      </w:pPr>
      <w:r>
        <w:t xml:space="preserve">El resultado primario de esta tesis da −2,7% del PIB en 2023 y 1,8% en 2024, frente a −2,8% y 1,8% del FMI (2025, cuadro 3b). El crecimiento real da −1,9% y −1,4%, frente a −1,6% y −1,7% del FMI, diferencias compatibles con las revisiones posteriores del INDEC.</w:t>
      </w:r>
    </w:p>
    <w:bookmarkEnd w:id="69"/>
    <w:bookmarkStart w:id="70" w:name="limitaciones-de-los-datos"/>
    <w:p>
      <w:pPr>
        <w:pStyle w:val="Heading2"/>
      </w:pPr>
      <w:r>
        <w:t xml:space="preserve">5.6 Limitaciones de los datos</w:t>
      </w:r>
    </w:p>
    <w:p>
      <w:pPr>
        <w:pStyle w:val="Compact"/>
        <w:numPr>
          <w:ilvl w:val="0"/>
          <w:numId w:val="1007"/>
        </w:numPr>
      </w:pPr>
      <w:r>
        <w:rPr>
          <w:b/>
          <w:bCs/>
        </w:rPr>
        <w:t xml:space="preserve">FGS.</w:t>
      </w:r>
      <w:r>
        <w:t xml:space="preserve"> </w:t>
      </w:r>
      <w:r>
        <w:t xml:space="preserve">La deuda neta no descuenta la deuda del Tesoro en poder del FGS. La sobreestima entre 8 y 10 puntos del PIB desde 2007. Como en el modelo la deuda entra rezagada y la diferencia es estable (8,2 puntos en 2023 y 9,6 en 2024), su efecto sobre la dinámica estimada es acotado. Para acotarlo, el modelo se estima también con la deuda bruta.</w:t>
      </w:r>
    </w:p>
    <w:p>
      <w:pPr>
        <w:pStyle w:val="Compact"/>
        <w:numPr>
          <w:ilvl w:val="0"/>
          <w:numId w:val="1007"/>
        </w:numPr>
      </w:pPr>
      <w:r>
        <w:rPr>
          <w:b/>
          <w:bCs/>
        </w:rPr>
        <w:t xml:space="preserve">Valuación de las Letras Intransferibles.</w:t>
      </w:r>
      <w:r>
        <w:t xml:space="preserve"> </w:t>
      </w:r>
      <w:r>
        <w:t xml:space="preserve">El valor nominal está disponible en 80 de los 120 trimestres. En el resto se interpola entre fechas con dato o, antes de 2006, cuando las Letras no existían, se usa el valor contable. La serie con valor contable se usa como robustez.</w:t>
      </w:r>
    </w:p>
    <w:p>
      <w:pPr>
        <w:pStyle w:val="Compact"/>
        <w:numPr>
          <w:ilvl w:val="0"/>
          <w:numId w:val="1007"/>
        </w:numPr>
      </w:pPr>
      <w:r>
        <w:rPr>
          <w:b/>
          <w:bCs/>
        </w:rPr>
        <w:t xml:space="preserve">Empalmes.</w:t>
      </w:r>
      <w:r>
        <w:t xml:space="preserve"> </w:t>
      </w:r>
      <w:r>
        <w:t xml:space="preserve">El PIB de 1996-2003 (cambio de base) y el EMBI+ de 1996-1998 (spread Brady) tienen incertidumbre de nivel, pero no afectan las variaciones que entran al modelo.</w:t>
      </w:r>
    </w:p>
    <w:p>
      <w:pPr>
        <w:pStyle w:val="Compact"/>
        <w:numPr>
          <w:ilvl w:val="0"/>
          <w:numId w:val="1007"/>
        </w:numPr>
      </w:pPr>
      <w:r>
        <w:rPr>
          <w:b/>
          <w:bCs/>
        </w:rPr>
        <w:t xml:space="preserve">Resultado primario.</w:t>
      </w:r>
      <w:r>
        <w:t xml:space="preserve"> </w:t>
      </w:r>
      <w:r>
        <w:t xml:space="preserve">Incluye las utilidades del BCRA, cubre el Sector Público Nacional, que es un perímetro más amplio que el del gobierno federal del FMI, y tiene dos cambios de metodología (2007 y 2015) sin período de superposición.</w:t>
      </w:r>
    </w:p>
    <w:p>
      <w:pPr>
        <w:pStyle w:val="Compact"/>
        <w:numPr>
          <w:ilvl w:val="0"/>
          <w:numId w:val="1007"/>
        </w:numPr>
      </w:pPr>
      <w:r>
        <w:rPr>
          <w:b/>
          <w:bCs/>
        </w:rPr>
        <w:t xml:space="preserve">Pasivos del BCRA.</w:t>
      </w:r>
      <w:r>
        <w:t xml:space="preserve"> </w:t>
      </w:r>
      <w:r>
        <w:t xml:space="preserve">Falta el swap con China, y la posición de pases es neta, de modo que en algunos trimestres resta.</w:t>
      </w:r>
    </w:p>
    <w:p>
      <w:pPr>
        <w:pStyle w:val="FirstParagraph"/>
      </w:pPr>
      <w:r>
        <w:t xml:space="preserve">El detalle de cada construcción, con sus controles, está en el informe de datos del repositorio de la tesis.</w:t>
      </w:r>
    </w:p>
    <w:bookmarkEnd w:id="70"/>
    <w:bookmarkEnd w:id="71"/>
    <w:bookmarkStart w:id="90" w:name="resultados"/>
    <w:p>
      <w:pPr>
        <w:pStyle w:val="Heading1"/>
      </w:pPr>
      <w:r>
        <w:t xml:space="preserve">6. Resultados</w:t>
      </w:r>
    </w:p>
    <w:p>
      <w:pPr>
        <w:pStyle w:val="FirstParagraph"/>
      </w:pPr>
      <w:r>
        <w:t xml:space="preserve">Todos los resultados de este capítulo salen de la misma muestra efectiva, 1998T2-2025T4 (111 trimestres), y del mismo escenario base, el del análisis de sostenibilidad más reciente del FMI (2026), publicado con la consulta del Artículo IV y la segunda revisión del programa en mayo de 2026. La especificación principal usa la deuda consolidada neta con las Letras Intransferibles a valor nominal, que parte de 61,0% del PIB en diciembre de 2025. Las cifras se pueden reproducir con</w:t>
      </w:r>
      <w:r>
        <w:t xml:space="preserve"> </w:t>
      </w:r>
      <w:r>
        <w:rPr>
          <w:rStyle w:val="VerbatimChar"/>
        </w:rPr>
        <w:t xml:space="preserve">codigo/modelos/fase24_svarx_1996_2025.py</w:t>
      </w:r>
      <w:r>
        <w:t xml:space="preserve"> </w:t>
      </w:r>
      <w:r>
        <w:t xml:space="preserve">y</w:t>
      </w:r>
      <w:r>
        <w:t xml:space="preserve"> </w:t>
      </w:r>
      <w:r>
        <w:rPr>
          <w:rStyle w:val="VerbatimChar"/>
        </w:rPr>
        <w:t xml:space="preserve">codigo/modelos/fase25_simulacion_dsa_svarx.py</w:t>
      </w:r>
      <w:r>
        <w:t xml:space="preserve">.</w:t>
      </w:r>
    </w:p>
    <w:bookmarkStart w:id="75" w:name="el-svarx-estimado"/>
    <w:p>
      <w:pPr>
        <w:pStyle w:val="Heading2"/>
      </w:pPr>
      <w:r>
        <w:t xml:space="preserve">6.1 El SVARX estimado</w:t>
      </w:r>
    </w:p>
    <w:p>
      <w:pPr>
        <w:pStyle w:val="FirstParagraph"/>
      </w:pPr>
      <w:r>
        <w:rPr>
          <w:b/>
          <w:bCs/>
        </w:rPr>
        <w:t xml:space="preserve">Propiedades de las series.</w:t>
      </w:r>
      <w:r>
        <w:t xml:space="preserve"> </w:t>
      </w:r>
      <w:r>
        <w:t xml:space="preserve">Las pruebas de raíz unitaria no clasifican con claridad la mayoría de las series: el resultado primario se comporta como una serie con raíz unitaria, el VIX como estacionaria, y en el resto ADF y KPSS no coinciden (Apéndice, sección A.1). Es lo esperable en series cortas con cambios de régimen, que es la razón por la que se estima el VAR en niveles. La prueba de Zivot y Andrews (1992) ubica el quiebre del tipo de cambio real en 2001T4, el mismo que encuentra el procedimiento de Bai y Perron (2003) para la deuda, que identifica tres quiebres (2001T4, 2006T2 y 2018T1). La prueba de Johansen no rechaza la ausencia de cointegración entre las variables en niveles.</w:t>
      </w:r>
    </w:p>
    <w:p>
      <w:pPr>
        <w:pStyle w:val="BodyText"/>
      </w:pPr>
      <w:r>
        <w:rPr>
          <w:b/>
          <w:bCs/>
        </w:rPr>
        <w:t xml:space="preserve">Rezagos y diagnósticos.</w:t>
      </w:r>
      <w:r>
        <w:t xml:space="preserve"> </w:t>
      </w:r>
      <w:r>
        <w:t xml:space="preserve">Con la regla de la sección 4.5, el modelo usa tres rezagos. La raíz de mayor módulo del polinomio característico es 0,96, de modo que el sistema es estable y tiene representación de medias móviles. La prueba de Portmanteau con 12 rezagos da un p-valor de 0,036: queda algo de autocorrelación en los residuos, que se informa como limitación. Los residuos no son normales (p &lt; 0,001), lo que justifica remuestrear shocks históricos en lugar de suponer normalidad. La prueba ARCH-LM con cuatro rezagos no detecta heterocedasticidad condicional en ninguna ecuación (p-valores entre 0,87 y 0,99). El</w:t>
      </w:r>
      <w:r>
        <w:t xml:space="preserve"> </w:t>
      </w:r>
      <w:r>
        <w:rPr>
          <w:i/>
          <w:iCs/>
        </w:rPr>
        <w:t xml:space="preserve">bootstrap</w:t>
      </w:r>
      <w:r>
        <w:t xml:space="preserve"> </w:t>
      </w:r>
      <w:r>
        <w:t xml:space="preserve">salvaje es válido con y sin heterocedasticidad, así que su uso no depende de este resultado.</w:t>
      </w:r>
    </w:p>
    <w:p>
      <w:pPr>
        <w:pStyle w:val="BodyText"/>
      </w:pPr>
      <w:r>
        <w:rPr>
          <w:b/>
          <w:bCs/>
        </w:rPr>
        <w:t xml:space="preserve">Reacción fiscal.</w:t>
      </w:r>
      <w:r>
        <w:t xml:space="preserve"> </w:t>
      </w:r>
      <w:r>
        <w:t xml:space="preserve">El coeficiente de la deuda rezagada en la ecuación del resultado primario es 0,051 (p = 0,019), con un intervalo de 90% del</w:t>
      </w:r>
      <w:r>
        <w:t xml:space="preserve"> </w:t>
      </w:r>
      <w:r>
        <w:rPr>
          <w:i/>
          <w:iCs/>
        </w:rPr>
        <w:t xml:space="preserve">bootstrap</w:t>
      </w:r>
      <w:r>
        <w:t xml:space="preserve"> </w:t>
      </w:r>
      <w:r>
        <w:t xml:space="preserve">de [0,020; 0,082]. Diez puntos más de deuda en relación con el PIB se asocian, en promedio, con medio punto más de superávit primario. El resultado no depende del perímetro de la deuda: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Serie de deuda</w:t>
            </w:r>
          </w:p>
        </w:tc>
        <w:tc>
          <w:tcPr/>
          <w:p>
            <w:pPr>
              <w:pStyle w:val="Compact"/>
            </w:pPr>
            <w:r>
              <w:rPr>
                <w:rFonts w:ascii="Calibri" w:hAnsi="Calibri"/>
                <w:sz w:val="20"/>
              </w:rPr>
              <w:t xml:space="preserve">Rezagos</w:t>
            </w:r>
          </w:p>
        </w:tc>
        <w:tc>
          <w:tcPr/>
          <w:p>
            <w:pPr>
              <w:pStyle w:val="Compact"/>
            </w:pPr>
            <w:r>
              <w:rPr>
                <w:rFonts w:ascii="Calibri" w:hAnsi="Calibri"/>
                <w:sz w:val="20"/>
              </w:rPr>
              <w:t xml:space="preserve">Reacción fiscal</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Consolidada neta, Letras a valor nominal (principal)</w:t>
            </w:r>
          </w:p>
        </w:tc>
        <w:tc>
          <w:tcPr/>
          <w:p>
            <w:pPr>
              <w:pStyle w:val="Compact"/>
            </w:pPr>
            <w:r>
              <w:rPr>
                <w:rFonts w:ascii="Calibri" w:hAnsi="Calibri"/>
                <w:sz w:val="20"/>
              </w:rPr>
              <w:t xml:space="preserve">3</w:t>
            </w:r>
          </w:p>
        </w:tc>
        <w:tc>
          <w:tcPr/>
          <w:p>
            <w:pPr>
              <w:pStyle w:val="Compact"/>
            </w:pPr>
            <w:r>
              <w:rPr>
                <w:rFonts w:ascii="Calibri" w:hAnsi="Calibri"/>
                <w:sz w:val="20"/>
              </w:rPr>
              <w:t xml:space="preserve">0,051</w:t>
            </w:r>
          </w:p>
        </w:tc>
        <w:tc>
          <w:tcPr/>
          <w:p>
            <w:pPr>
              <w:pStyle w:val="Compact"/>
            </w:pPr>
            <w:r>
              <w:rPr>
                <w:rFonts w:ascii="Calibri" w:hAnsi="Calibri"/>
                <w:sz w:val="20"/>
              </w:rPr>
              <w:t xml:space="preserve">[0,020; 0,082]</w:t>
            </w:r>
          </w:p>
        </w:tc>
      </w:tr>
      <w:tr>
        <w:tc>
          <w:tcPr/>
          <w:p>
            <w:pPr>
              <w:pStyle w:val="Compact"/>
            </w:pPr>
            <w:r>
              <w:rPr>
                <w:rFonts w:ascii="Calibri" w:hAnsi="Calibri"/>
                <w:sz w:val="20"/>
              </w:rPr>
              <w:t xml:space="preserve">Consolidada neta, Letras a valor libros</w:t>
            </w:r>
          </w:p>
        </w:tc>
        <w:tc>
          <w:tcPr/>
          <w:p>
            <w:pPr>
              <w:pStyle w:val="Compact"/>
            </w:pPr>
            <w:r>
              <w:rPr>
                <w:rFonts w:ascii="Calibri" w:hAnsi="Calibri"/>
                <w:sz w:val="20"/>
              </w:rPr>
              <w:t xml:space="preserve">3</w:t>
            </w:r>
          </w:p>
        </w:tc>
        <w:tc>
          <w:tcPr/>
          <w:p>
            <w:pPr>
              <w:pStyle w:val="Compact"/>
            </w:pPr>
            <w:r>
              <w:rPr>
                <w:rFonts w:ascii="Calibri" w:hAnsi="Calibri"/>
                <w:sz w:val="20"/>
              </w:rPr>
              <w:t xml:space="preserve">0,053</w:t>
            </w:r>
          </w:p>
        </w:tc>
        <w:tc>
          <w:tcPr/>
          <w:p>
            <w:pPr>
              <w:pStyle w:val="Compact"/>
            </w:pPr>
            <w:r>
              <w:rPr>
                <w:rFonts w:ascii="Calibri" w:hAnsi="Calibri"/>
                <w:sz w:val="20"/>
              </w:rPr>
              <w:t xml:space="preserve">[0,021; 0,085]</w:t>
            </w:r>
          </w:p>
        </w:tc>
      </w:tr>
      <w:tr>
        <w:tc>
          <w:tcPr/>
          <w:p>
            <w:pPr>
              <w:pStyle w:val="Compact"/>
            </w:pPr>
            <w:r>
              <w:rPr>
                <w:rFonts w:ascii="Calibri" w:hAnsi="Calibri"/>
                <w:sz w:val="20"/>
              </w:rPr>
              <w:t xml:space="preserve">Consolidada bruta</w:t>
            </w:r>
          </w:p>
        </w:tc>
        <w:tc>
          <w:tcPr/>
          <w:p>
            <w:pPr>
              <w:pStyle w:val="Compact"/>
            </w:pPr>
            <w:r>
              <w:rPr>
                <w:rFonts w:ascii="Calibri" w:hAnsi="Calibri"/>
                <w:sz w:val="20"/>
              </w:rPr>
              <w:t xml:space="preserve">4</w:t>
            </w:r>
          </w:p>
        </w:tc>
        <w:tc>
          <w:tcPr/>
          <w:p>
            <w:pPr>
              <w:pStyle w:val="Compact"/>
            </w:pPr>
            <w:r>
              <w:rPr>
                <w:rFonts w:ascii="Calibri" w:hAnsi="Calibri"/>
                <w:sz w:val="20"/>
              </w:rPr>
              <w:t xml:space="preserve">0,054</w:t>
            </w:r>
          </w:p>
        </w:tc>
        <w:tc>
          <w:tcPr/>
          <w:p>
            <w:pPr>
              <w:pStyle w:val="Compact"/>
            </w:pPr>
            <w:r>
              <w:rPr>
                <w:rFonts w:ascii="Calibri" w:hAnsi="Calibri"/>
                <w:sz w:val="20"/>
              </w:rPr>
              <w:t xml:space="preserve">[0,027; 0,079]</w:t>
            </w:r>
          </w:p>
        </w:tc>
      </w:tr>
    </w:tbl>
    <w:p>
      <w:pPr>
        <w:pStyle w:val="BodyText"/>
      </w:pPr>
      <w:r>
        <w:t xml:space="preserve">El signo coincide con el que encuentran Celasun et al. (2006) en su panel de economías emergentes. La política fiscal argentina respondió a la deuda en el período, pero con un coeficiente chico. La simulación muestra si esa respuesta alcanza para estabilizarla.</w:t>
      </w:r>
    </w:p>
    <w:p>
      <w:pPr>
        <w:pStyle w:val="BodyText"/>
      </w:pPr>
      <w:r>
        <w:rPr>
          <w:b/>
          <w:bCs/>
        </w:rPr>
        <w:t xml:space="preserve">Retroalimentación de la deuda.</w:t>
      </w:r>
      <w:r>
        <w:t xml:space="preserve"> </w:t>
      </w:r>
      <w:r>
        <w:t xml:space="preserve">La deuda rezagada entra en las cuatro ecuaciones del sistema, de modo que la deuda responde a los shocks y a su vez los afecta (Favero y Giavazzi, 2007). El efecto más claro es sobre el riesgo país: un punto más de deuda en relación con el PIB eleva el EMBI+ del trimestre siguiente en 22 puntos básicos, con un intervalo de 90% del bootstrap de [11; 41]. El crecimiento también responde con signo positivo, [0,02; 0,12], y el tipo de cambio real no responde, [-0,002; 0,003]. Junto con la reacción fiscal, el sistema tiene así dos mecanismos que actúan en sentidos opuestos cuando la deuda sube: el riesgo país la encarece y el superávit primario la reduce.</w:t>
      </w:r>
    </w:p>
    <w:p>
      <w:pPr>
        <w:pStyle w:val="BodyText"/>
      </w:pPr>
      <w:r>
        <w:rPr>
          <w:b/>
          <w:bCs/>
        </w:rPr>
        <w:t xml:space="preserve">Respuesta a la tasa de la FED.</w:t>
      </w:r>
      <w:r>
        <w:t xml:space="preserve"> </w:t>
      </w:r>
      <w:r>
        <w:t xml:space="preserve">Un aumento de un desvío estándar en la tasa de política de la FED (0,50 puntos porcentuales) no produce respuestas sistemáticas de las variables domésticas (Figura 6.1). El EMBI+ sube 9 puntos básicos en el trimestre del shock, con un intervalo de 90% de [-83; 103], y 12 puntos básicos a los dos años, con un intervalo de [-14; 42]. De las 84 respuestas estimadas (cuatro variables en 21 horizontes), solo tres tienen una banda de 90% que excluye el cero: el crecimiento en el trimestre del shock (+0,5 puntos), el resultado primario un trimestre después (-0,35 puntos del PIB) y el tipo de cambio real tres trimestres después (una leve apreciación). Con bandas de 90%, el azar ya produciría unas ocho exclusiones aunque la FED no tuviera ningún efecto, y los signos del crecimiento y del tipo de cambio real son los contrarios a los que predice la teoría. Con 111 trimestres y un shock chico, el modelo no puede distinguir los efectos indirectos de la FED del ruido.</w:t>
      </w:r>
    </w:p>
    <w:p>
      <w:pPr>
        <w:pStyle w:val="CaptionedFigure"/>
      </w:pPr>
      <w:r>
        <w:drawing>
          <wp:inline>
            <wp:extent cx="5334000" cy="3501390"/>
            <wp:effectExtent b="0" l="0" r="0" t="0"/>
            <wp:docPr descr="Figura 6.1. Respuestas al impulso ante una suba de la tasa de la FED. Aumento de un desvío estándar (0,50 puntos porcentuales) de la tasa de política; deuda consolidada neta, tres rezagos; bandas de 90% del bootstrap salvaje (1.000 réplicas)." title="" id="73" name="Picture"/>
            <a:graphic>
              <a:graphicData uri="http://schemas.openxmlformats.org/drawingml/2006/picture">
                <pic:pic>
                  <pic:nvPicPr>
                    <pic:cNvPr descr="../tesis/figuras/fig6_1_respuesta_fed.png" id="74" name="Picture"/>
                    <pic:cNvPicPr>
                      <a:picLocks noChangeArrowheads="1" noChangeAspect="1"/>
                    </pic:cNvPicPr>
                  </pic:nvPicPr>
                  <pic:blipFill>
                    <a:blip r:embed="rId72"/>
                    <a:stretch>
                      <a:fillRect/>
                    </a:stretch>
                  </pic:blipFill>
                  <pic:spPr bwMode="auto">
                    <a:xfrm>
                      <a:off x="0" y="0"/>
                      <a:ext cx="5334000" cy="3501390"/>
                    </a:xfrm>
                    <a:prstGeom prst="rect">
                      <a:avLst/>
                    </a:prstGeom>
                    <a:noFill/>
                    <a:ln w="9525">
                      <a:noFill/>
                      <a:headEnd/>
                      <a:tailEnd/>
                    </a:ln>
                  </pic:spPr>
                </pic:pic>
              </a:graphicData>
            </a:graphic>
          </wp:inline>
        </w:drawing>
      </w:r>
    </w:p>
    <w:p>
      <w:pPr>
        <w:pStyle w:val="ImageCaption"/>
      </w:pPr>
      <w:r>
        <w:t xml:space="preserve">Figura 6.1. Respuestas al impulso ante una suba de la tasa de la FED. Aumento de un desvío estándar (0,50 puntos porcentuales) de la tasa de política; deuda consolidada neta, tres rezagos; bandas de 90% del bootstrap salvaje (1.000 réplicas).</w:t>
      </w:r>
    </w:p>
    <w:bookmarkEnd w:id="75"/>
    <w:bookmarkStart w:id="79" w:name="el-gráfico-de-abanico"/>
    <w:p>
      <w:pPr>
        <w:pStyle w:val="Heading2"/>
      </w:pPr>
      <w:r>
        <w:t xml:space="preserve">6.2 El gráfico de abanico</w:t>
      </w:r>
    </w:p>
    <w:p>
      <w:pPr>
        <w:pStyle w:val="FirstParagraph"/>
      </w:pPr>
      <w:r>
        <w:t xml:space="preserve">La Tabla 6.1 resume la distribución de la deuda simulada. La mediana baja de 61,0% del PIB en 2025 a 29,9% en 2030 y a 14,9% en 2035 (Figura 6.2). La caída la determina el escenario base del FMI (2026, cuadro 6). Ese escenario combina un superávit primario que sube de 1,4% del PIB en 2026 a 2,3% desde 2029 con una tasa de interés efectiva de entre 2,6% y 5,1%, mientras el deflactor del PIB pasa de 30,2% en 2026 a 7,5% desde 2029. Con esos supuestos, la tasa real que paga la deuda es muy negativa en los primeros años y la licua.</w:t>
      </w:r>
    </w:p>
    <w:p>
      <w:pPr>
        <w:pStyle w:val="BodyText"/>
      </w:pPr>
      <w:r>
        <w:rPr>
          <w:b/>
          <w:bCs/>
        </w:rPr>
        <w:t xml:space="preserve">Tabla 6.1. Deuda consolidada neta simulada (% del PIB), percentiles</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Año</w:t>
            </w:r>
          </w:p>
        </w:tc>
        <w:tc>
          <w:tcPr/>
          <w:p>
            <w:pPr>
              <w:pStyle w:val="Compact"/>
            </w:pPr>
            <w:r>
              <w:rPr>
                <w:rFonts w:ascii="Calibri" w:hAnsi="Calibri"/>
                <w:sz w:val="20"/>
              </w:rPr>
              <w:t xml:space="preserve">p5</w:t>
            </w:r>
          </w:p>
        </w:tc>
        <w:tc>
          <w:tcPr/>
          <w:p>
            <w:pPr>
              <w:pStyle w:val="Compact"/>
            </w:pPr>
            <w:r>
              <w:rPr>
                <w:rFonts w:ascii="Calibri" w:hAnsi="Calibri"/>
                <w:sz w:val="20"/>
              </w:rPr>
              <w:t xml:space="preserve">p25</w:t>
            </w:r>
          </w:p>
        </w:tc>
        <w:tc>
          <w:tcPr/>
          <w:p>
            <w:pPr>
              <w:pStyle w:val="Compact"/>
            </w:pPr>
            <w:r>
              <w:rPr>
                <w:rFonts w:ascii="Calibri" w:hAnsi="Calibri"/>
                <w:sz w:val="20"/>
              </w:rPr>
              <w:t xml:space="preserve">Mediana</w:t>
            </w:r>
          </w:p>
        </w:tc>
        <w:tc>
          <w:tcPr/>
          <w:p>
            <w:pPr>
              <w:pStyle w:val="Compact"/>
            </w:pPr>
            <w:r>
              <w:rPr>
                <w:rFonts w:ascii="Calibri" w:hAnsi="Calibri"/>
                <w:sz w:val="20"/>
              </w:rPr>
              <w:t xml:space="preserve">p75</w:t>
            </w:r>
          </w:p>
        </w:tc>
        <w:tc>
          <w:tcPr/>
          <w:p>
            <w:pPr>
              <w:pStyle w:val="Compact"/>
            </w:pPr>
            <w:r>
              <w:rPr>
                <w:rFonts w:ascii="Calibri" w:hAnsi="Calibri"/>
                <w:sz w:val="20"/>
              </w:rPr>
              <w:t xml:space="preserve">p95</w:t>
            </w:r>
          </w:p>
        </w:tc>
      </w:tr>
      <w:tr>
        <w:tc>
          <w:tcPr/>
          <w:p>
            <w:pPr>
              <w:pStyle w:val="Compact"/>
            </w:pPr>
            <w:r>
              <w:rPr>
                <w:rFonts w:ascii="Calibri" w:hAnsi="Calibri"/>
                <w:sz w:val="20"/>
              </w:rPr>
              <w:t xml:space="preserve">2026</w:t>
            </w:r>
          </w:p>
        </w:tc>
        <w:tc>
          <w:tcPr/>
          <w:p>
            <w:pPr>
              <w:pStyle w:val="Compact"/>
            </w:pPr>
            <w:r>
              <w:rPr>
                <w:rFonts w:ascii="Calibri" w:hAnsi="Calibri"/>
                <w:sz w:val="20"/>
              </w:rPr>
              <w:t xml:space="preserve">42,7</w:t>
            </w:r>
          </w:p>
        </w:tc>
        <w:tc>
          <w:tcPr/>
          <w:p>
            <w:pPr>
              <w:pStyle w:val="Compact"/>
            </w:pPr>
            <w:r>
              <w:rPr>
                <w:rFonts w:ascii="Calibri" w:hAnsi="Calibri"/>
                <w:sz w:val="20"/>
              </w:rPr>
              <w:t xml:space="preserve">46,0</w:t>
            </w:r>
          </w:p>
        </w:tc>
        <w:tc>
          <w:tcPr/>
          <w:p>
            <w:pPr>
              <w:pStyle w:val="Compact"/>
            </w:pPr>
            <w:r>
              <w:rPr>
                <w:rFonts w:ascii="Calibri" w:hAnsi="Calibri"/>
                <w:sz w:val="20"/>
              </w:rPr>
              <w:t xml:space="preserve">48,8</w:t>
            </w:r>
          </w:p>
        </w:tc>
        <w:tc>
          <w:tcPr/>
          <w:p>
            <w:pPr>
              <w:pStyle w:val="Compact"/>
            </w:pPr>
            <w:r>
              <w:rPr>
                <w:rFonts w:ascii="Calibri" w:hAnsi="Calibri"/>
                <w:sz w:val="20"/>
              </w:rPr>
              <w:t xml:space="preserve">52,4</w:t>
            </w:r>
          </w:p>
        </w:tc>
        <w:tc>
          <w:tcPr/>
          <w:p>
            <w:pPr>
              <w:pStyle w:val="Compact"/>
            </w:pPr>
            <w:r>
              <w:rPr>
                <w:rFonts w:ascii="Calibri" w:hAnsi="Calibri"/>
                <w:sz w:val="20"/>
              </w:rPr>
              <w:t xml:space="preserve">59,5</w:t>
            </w:r>
          </w:p>
        </w:tc>
      </w:tr>
      <w:tr>
        <w:tc>
          <w:tcPr/>
          <w:p>
            <w:pPr>
              <w:pStyle w:val="Compact"/>
            </w:pPr>
            <w:r>
              <w:rPr>
                <w:rFonts w:ascii="Calibri" w:hAnsi="Calibri"/>
                <w:sz w:val="20"/>
              </w:rPr>
              <w:t xml:space="preserve">2028</w:t>
            </w:r>
          </w:p>
        </w:tc>
        <w:tc>
          <w:tcPr/>
          <w:p>
            <w:pPr>
              <w:pStyle w:val="Compact"/>
            </w:pPr>
            <w:r>
              <w:rPr>
                <w:rFonts w:ascii="Calibri" w:hAnsi="Calibri"/>
                <w:sz w:val="20"/>
              </w:rPr>
              <w:t xml:space="preserve">31,6</w:t>
            </w:r>
          </w:p>
        </w:tc>
        <w:tc>
          <w:tcPr/>
          <w:p>
            <w:pPr>
              <w:pStyle w:val="Compact"/>
            </w:pPr>
            <w:r>
              <w:rPr>
                <w:rFonts w:ascii="Calibri" w:hAnsi="Calibri"/>
                <w:sz w:val="20"/>
              </w:rPr>
              <w:t xml:space="preserve">35,7</w:t>
            </w:r>
          </w:p>
        </w:tc>
        <w:tc>
          <w:tcPr/>
          <w:p>
            <w:pPr>
              <w:pStyle w:val="Compact"/>
            </w:pPr>
            <w:r>
              <w:rPr>
                <w:rFonts w:ascii="Calibri" w:hAnsi="Calibri"/>
                <w:sz w:val="20"/>
              </w:rPr>
              <w:t xml:space="preserve">39,1</w:t>
            </w:r>
          </w:p>
        </w:tc>
        <w:tc>
          <w:tcPr/>
          <w:p>
            <w:pPr>
              <w:pStyle w:val="Compact"/>
            </w:pPr>
            <w:r>
              <w:rPr>
                <w:rFonts w:ascii="Calibri" w:hAnsi="Calibri"/>
                <w:sz w:val="20"/>
              </w:rPr>
              <w:t xml:space="preserve">42,8</w:t>
            </w:r>
          </w:p>
        </w:tc>
        <w:tc>
          <w:tcPr/>
          <w:p>
            <w:pPr>
              <w:pStyle w:val="Compact"/>
            </w:pPr>
            <w:r>
              <w:rPr>
                <w:rFonts w:ascii="Calibri" w:hAnsi="Calibri"/>
                <w:sz w:val="20"/>
              </w:rPr>
              <w:t xml:space="preserve">50,4</w:t>
            </w:r>
          </w:p>
        </w:tc>
      </w:tr>
      <w:tr>
        <w:tc>
          <w:tcPr/>
          <w:p>
            <w:pPr>
              <w:pStyle w:val="Compact"/>
            </w:pPr>
            <w:r>
              <w:rPr>
                <w:rFonts w:ascii="Calibri" w:hAnsi="Calibri"/>
                <w:sz w:val="20"/>
              </w:rPr>
              <w:t xml:space="preserve">2030</w:t>
            </w:r>
          </w:p>
        </w:tc>
        <w:tc>
          <w:tcPr/>
          <w:p>
            <w:pPr>
              <w:pStyle w:val="Compact"/>
            </w:pPr>
            <w:r>
              <w:rPr>
                <w:rFonts w:ascii="Calibri" w:hAnsi="Calibri"/>
                <w:sz w:val="20"/>
              </w:rPr>
              <w:t xml:space="preserve">20,0</w:t>
            </w:r>
          </w:p>
        </w:tc>
        <w:tc>
          <w:tcPr/>
          <w:p>
            <w:pPr>
              <w:pStyle w:val="Compact"/>
            </w:pPr>
            <w:r>
              <w:rPr>
                <w:rFonts w:ascii="Calibri" w:hAnsi="Calibri"/>
                <w:sz w:val="20"/>
              </w:rPr>
              <w:t xml:space="preserve">25,2</w:t>
            </w:r>
          </w:p>
        </w:tc>
        <w:tc>
          <w:tcPr/>
          <w:p>
            <w:pPr>
              <w:pStyle w:val="Compact"/>
            </w:pPr>
            <w:r>
              <w:rPr>
                <w:rFonts w:ascii="Calibri" w:hAnsi="Calibri"/>
                <w:sz w:val="20"/>
              </w:rPr>
              <w:t xml:space="preserve">29,9</w:t>
            </w:r>
          </w:p>
        </w:tc>
        <w:tc>
          <w:tcPr/>
          <w:p>
            <w:pPr>
              <w:pStyle w:val="Compact"/>
            </w:pPr>
            <w:r>
              <w:rPr>
                <w:rFonts w:ascii="Calibri" w:hAnsi="Calibri"/>
                <w:sz w:val="20"/>
              </w:rPr>
              <w:t xml:space="preserve">34,6</w:t>
            </w:r>
          </w:p>
        </w:tc>
        <w:tc>
          <w:tcPr/>
          <w:p>
            <w:pPr>
              <w:pStyle w:val="Compact"/>
            </w:pPr>
            <w:r>
              <w:rPr>
                <w:rFonts w:ascii="Calibri" w:hAnsi="Calibri"/>
                <w:sz w:val="20"/>
              </w:rPr>
              <w:t xml:space="preserve">42,9</w:t>
            </w:r>
          </w:p>
        </w:tc>
      </w:tr>
      <w:tr>
        <w:tc>
          <w:tcPr/>
          <w:p>
            <w:pPr>
              <w:pStyle w:val="Compact"/>
            </w:pPr>
            <w:r>
              <w:rPr>
                <w:rFonts w:ascii="Calibri" w:hAnsi="Calibri"/>
                <w:sz w:val="20"/>
              </w:rPr>
              <w:t xml:space="preserve">2032</w:t>
            </w:r>
          </w:p>
        </w:tc>
        <w:tc>
          <w:tcPr/>
          <w:p>
            <w:pPr>
              <w:pStyle w:val="Compact"/>
            </w:pPr>
            <w:r>
              <w:rPr>
                <w:rFonts w:ascii="Calibri" w:hAnsi="Calibri"/>
                <w:sz w:val="20"/>
              </w:rPr>
              <w:t xml:space="preserve">10,7</w:t>
            </w:r>
          </w:p>
        </w:tc>
        <w:tc>
          <w:tcPr/>
          <w:p>
            <w:pPr>
              <w:pStyle w:val="Compact"/>
            </w:pPr>
            <w:r>
              <w:rPr>
                <w:rFonts w:ascii="Calibri" w:hAnsi="Calibri"/>
                <w:sz w:val="20"/>
              </w:rPr>
              <w:t xml:space="preserve">17,0</w:t>
            </w:r>
          </w:p>
        </w:tc>
        <w:tc>
          <w:tcPr/>
          <w:p>
            <w:pPr>
              <w:pStyle w:val="Compact"/>
            </w:pPr>
            <w:r>
              <w:rPr>
                <w:rFonts w:ascii="Calibri" w:hAnsi="Calibri"/>
                <w:sz w:val="20"/>
              </w:rPr>
              <w:t xml:space="preserve">22,4</w:t>
            </w:r>
          </w:p>
        </w:tc>
        <w:tc>
          <w:tcPr/>
          <w:p>
            <w:pPr>
              <w:pStyle w:val="Compact"/>
            </w:pPr>
            <w:r>
              <w:rPr>
                <w:rFonts w:ascii="Calibri" w:hAnsi="Calibri"/>
                <w:sz w:val="20"/>
              </w:rPr>
              <w:t xml:space="preserve">28,9</w:t>
            </w:r>
          </w:p>
        </w:tc>
        <w:tc>
          <w:tcPr/>
          <w:p>
            <w:pPr>
              <w:pStyle w:val="Compact"/>
            </w:pPr>
            <w:r>
              <w:rPr>
                <w:rFonts w:ascii="Calibri" w:hAnsi="Calibri"/>
                <w:sz w:val="20"/>
              </w:rPr>
              <w:t xml:space="preserve">39,1</w:t>
            </w:r>
          </w:p>
        </w:tc>
      </w:tr>
      <w:tr>
        <w:tc>
          <w:tcPr/>
          <w:p>
            <w:pPr>
              <w:pStyle w:val="Compact"/>
            </w:pPr>
            <w:r>
              <w:rPr>
                <w:rFonts w:ascii="Calibri" w:hAnsi="Calibri"/>
                <w:sz w:val="20"/>
              </w:rPr>
              <w:t xml:space="preserve">2035</w:t>
            </w:r>
          </w:p>
        </w:tc>
        <w:tc>
          <w:tcPr/>
          <w:p>
            <w:pPr>
              <w:pStyle w:val="Compact"/>
            </w:pPr>
            <w:r>
              <w:rPr>
                <w:rFonts w:ascii="Calibri" w:hAnsi="Calibri"/>
                <w:sz w:val="20"/>
              </w:rPr>
              <w:t xml:space="preserve">0,3</w:t>
            </w:r>
          </w:p>
        </w:tc>
        <w:tc>
          <w:tcPr/>
          <w:p>
            <w:pPr>
              <w:pStyle w:val="Compact"/>
            </w:pPr>
            <w:r>
              <w:rPr>
                <w:rFonts w:ascii="Calibri" w:hAnsi="Calibri"/>
                <w:sz w:val="20"/>
              </w:rPr>
              <w:t xml:space="preserve">7,6</w:t>
            </w:r>
          </w:p>
        </w:tc>
        <w:tc>
          <w:tcPr/>
          <w:p>
            <w:pPr>
              <w:pStyle w:val="Compact"/>
            </w:pPr>
            <w:r>
              <w:rPr>
                <w:rFonts w:ascii="Calibri" w:hAnsi="Calibri"/>
                <w:sz w:val="20"/>
              </w:rPr>
              <w:t xml:space="preserve">14,9</w:t>
            </w:r>
          </w:p>
        </w:tc>
        <w:tc>
          <w:tcPr/>
          <w:p>
            <w:pPr>
              <w:pStyle w:val="Compact"/>
            </w:pPr>
            <w:r>
              <w:rPr>
                <w:rFonts w:ascii="Calibri" w:hAnsi="Calibri"/>
                <w:sz w:val="20"/>
              </w:rPr>
              <w:t xml:space="preserve">22,5</w:t>
            </w:r>
          </w:p>
        </w:tc>
        <w:tc>
          <w:tcPr/>
          <w:p>
            <w:pPr>
              <w:pStyle w:val="Compact"/>
            </w:pPr>
            <w:r>
              <w:rPr>
                <w:rFonts w:ascii="Calibri" w:hAnsi="Calibri"/>
                <w:sz w:val="20"/>
              </w:rPr>
              <w:t xml:space="preserve">37,1</w:t>
            </w:r>
          </w:p>
        </w:tc>
      </w:tr>
    </w:tbl>
    <w:p>
      <w:pPr>
        <w:pStyle w:val="CaptionedFigure"/>
      </w:pPr>
      <w:r>
        <w:drawing>
          <wp:inline>
            <wp:extent cx="5334000" cy="3048000"/>
            <wp:effectExtent b="0" l="0" r="0" t="0"/>
            <wp:docPr descr="Figura 6.2. Gráfico de abanico de la deuda consolidada neta simulada, 2025-2035 (% del PIB). Escenario base del FMI (2026) con shocks estructurales del SVARX; 300 réplicas de parámetros por 400 trayectorias." title="" id="77" name="Picture"/>
            <a:graphic>
              <a:graphicData uri="http://schemas.openxmlformats.org/drawingml/2006/picture">
                <pic:pic>
                  <pic:nvPicPr>
                    <pic:cNvPr descr="../tesis/figuras/fig6_2_abanico_deuda_neta.png" id="78" name="Picture"/>
                    <pic:cNvPicPr>
                      <a:picLocks noChangeArrowheads="1" noChangeAspect="1"/>
                    </pic:cNvPicPr>
                  </pic:nvPicPr>
                  <pic:blipFill>
                    <a:blip r:embed="rId7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Figura 6.2. Gráfico de abanico de la deuda consolidada neta simulada, 2025-2035 (% del PIB). Escenario base del FMI (2026) con shocks estructurales del SVARX; 300 réplicas de parámetros por 400 trayectorias.</w:t>
      </w:r>
    </w:p>
    <w:p>
      <w:pPr>
        <w:pStyle w:val="BodyText"/>
      </w:pPr>
      <w:r>
        <w:t xml:space="preserve">El ancho del abanico entre los percentiles 5 y 95 es de 18,6 puntos en 2030, con un intervalo de 90% de [14,4; 23,3]. El del FMI para la deuda federal bruta es 71,5 (FMI, 2026, cuadro 7). El Capítulo 7 analiza esta diferencia.</w:t>
      </w:r>
    </w:p>
    <w:bookmarkEnd w:id="79"/>
    <w:bookmarkStart w:id="83" w:name="contraste-de-h1a"/>
    <w:p>
      <w:pPr>
        <w:pStyle w:val="Heading2"/>
      </w:pPr>
      <w:r>
        <w:t xml:space="preserve">6.3 Contraste de H1a</w:t>
      </w:r>
    </w:p>
    <w:p>
      <w:pPr>
        <w:pStyle w:val="FirstParagraph"/>
      </w:pPr>
      <w:r>
        <w:t xml:space="preserve">H1a sostiene que el superávit primario, por sí solo, no basta para estabilizar la deuda, porque la condicionan también el crecimiento, el tipo de cambio real y el riesgo país. El contraste compara la contribución de cada bloque de shocks a la varianza de la deuda simulada en 2035.</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Bloque de shocks</w:t>
            </w:r>
          </w:p>
        </w:tc>
        <w:tc>
          <w:tcPr/>
          <w:p>
            <w:pPr>
              <w:pStyle w:val="Compact"/>
            </w:pPr>
            <w:r>
              <w:rPr>
                <w:rFonts w:ascii="Calibri" w:hAnsi="Calibri"/>
                <w:sz w:val="20"/>
              </w:rPr>
              <w:t xml:space="preserve">Participación en la varianza de la deuda en 2035</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21,2%</w:t>
            </w:r>
          </w:p>
        </w:tc>
        <w:tc>
          <w:tcPr/>
          <w:p>
            <w:pPr>
              <w:pStyle w:val="Compact"/>
            </w:pPr>
            <w:r>
              <w:rPr>
                <w:rFonts w:ascii="Calibri" w:hAnsi="Calibri"/>
                <w:sz w:val="20"/>
              </w:rPr>
              <w:t xml:space="preserve">[4,0; 43,3]</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19,0%</w:t>
            </w:r>
          </w:p>
        </w:tc>
        <w:tc>
          <w:tcPr/>
          <w:p>
            <w:pPr>
              <w:pStyle w:val="Compact"/>
            </w:pPr>
            <w:r>
              <w:rPr>
                <w:rFonts w:ascii="Calibri" w:hAnsi="Calibri"/>
                <w:sz w:val="20"/>
              </w:rPr>
              <w:t xml:space="preserve">[3,4; 45,2]</w:t>
            </w:r>
          </w:p>
        </w:tc>
      </w:tr>
      <w:tr>
        <w:tc>
          <w:tcPr/>
          <w:p>
            <w:pPr>
              <w:pStyle w:val="Compact"/>
            </w:pPr>
            <w:r>
              <w:rPr>
                <w:rFonts w:ascii="Calibri" w:hAnsi="Calibri"/>
                <w:sz w:val="20"/>
              </w:rPr>
              <w:t xml:space="preserve">Cambiario y de riesgo (EMBI+ y TCRM)</w:t>
            </w:r>
          </w:p>
        </w:tc>
        <w:tc>
          <w:tcPr/>
          <w:p>
            <w:pPr>
              <w:pStyle w:val="Compact"/>
            </w:pPr>
            <w:r>
              <w:rPr>
                <w:rFonts w:ascii="Calibri" w:hAnsi="Calibri"/>
                <w:sz w:val="20"/>
              </w:rPr>
              <w:t xml:space="preserve">59,8%</w:t>
            </w:r>
          </w:p>
        </w:tc>
        <w:tc>
          <w:tcPr/>
          <w:p>
            <w:pPr>
              <w:pStyle w:val="Compact"/>
            </w:pPr>
            <w:r>
              <w:rPr>
                <w:rFonts w:ascii="Calibri" w:hAnsi="Calibri"/>
                <w:sz w:val="20"/>
              </w:rPr>
              <w:t xml:space="preserve">[12,6; 90,0]</w:t>
            </w:r>
          </w:p>
        </w:tc>
      </w:tr>
      <w:tr>
        <w:tc>
          <w:tcPr/>
          <w:p>
            <w:pPr>
              <w:pStyle w:val="Compact"/>
            </w:pPr>
            <w:r>
              <w:rPr>
                <w:rFonts w:ascii="Calibri" w:hAnsi="Calibri"/>
                <w:sz w:val="20"/>
              </w:rPr>
              <w:t xml:space="preserve">No fiscal menos fiscal (diferencia)</w:t>
            </w:r>
          </w:p>
        </w:tc>
        <w:tc>
          <w:tcPr/>
          <w:p>
            <w:pPr>
              <w:pStyle w:val="Compact"/>
            </w:pPr>
            <w:r>
              <w:rPr>
                <w:rFonts w:ascii="Calibri" w:hAnsi="Calibri"/>
                <w:sz w:val="20"/>
              </w:rPr>
              <w:t xml:space="preserve">57,7 puntos</w:t>
            </w:r>
          </w:p>
        </w:tc>
        <w:tc>
          <w:tcPr/>
          <w:p>
            <w:pPr>
              <w:pStyle w:val="Compact"/>
            </w:pPr>
            <w:r>
              <w:rPr>
                <w:rFonts w:ascii="Calibri" w:hAnsi="Calibri"/>
                <w:sz w:val="20"/>
              </w:rPr>
              <w:t xml:space="preserve">[13,4; 92,0]</w:t>
            </w:r>
          </w:p>
        </w:tc>
      </w:tr>
    </w:tbl>
    <w:p>
      <w:pPr>
        <w:pStyle w:val="BodyText"/>
      </w:pPr>
      <w:r>
        <w:t xml:space="preserve">Los shocks no fiscales explican cerca de cuatro quintos de la incertidumbre sobre la deuda en 2035, y el intervalo de la diferencia con el fiscal excluye el cero.</w:t>
      </w:r>
      <w:r>
        <w:t xml:space="preserve"> </w:t>
      </w:r>
      <w:r>
        <w:rPr>
          <w:b/>
          <w:bCs/>
        </w:rPr>
        <w:t xml:space="preserve">H1a queda respaldada en la especificación principal.</w:t>
      </w:r>
      <w:r>
        <w:t xml:space="preserve"> </w:t>
      </w:r>
      <w:r>
        <w:t xml:space="preserve">El bloque cambiario y de riesgo es el que más pesa. El resultado es coherente con la reacción fiscal positiva de la sección 6.1: el superávit responde a la deuda, pero la variabilidad de la deuda la dominan el tipo de cambio real y el riesgo país. La sección 6.6 muestra en qué especificaciones el resultado se mantiene y en cuáles no.</w:t>
      </w:r>
    </w:p>
    <w:p>
      <w:pPr>
        <w:pStyle w:val="CaptionedFigure"/>
      </w:pPr>
      <w:r>
        <w:drawing>
          <wp:inline>
            <wp:extent cx="5334000" cy="2667000"/>
            <wp:effectExtent b="0" l="0" r="0" t="0"/>
            <wp:docPr descr="Figura 6.3. Varianza de la deuda en 2035 por bloque de shocks. Participación de cada bloque de shocks estructurales en la varianza de la deuda simulada en 2035. Las barras de error son el intervalo de 90% entre réplicas de parámetros." title="" id="81" name="Picture"/>
            <a:graphic>
              <a:graphicData uri="http://schemas.openxmlformats.org/drawingml/2006/picture">
                <pic:pic>
                  <pic:nvPicPr>
                    <pic:cNvPr descr="../tesis/figuras/fig6_3_varianza_por_bloque.png" id="82" name="Picture"/>
                    <pic:cNvPicPr>
                      <a:picLocks noChangeArrowheads="1" noChangeAspect="1"/>
                    </pic:cNvPicPr>
                  </pic:nvPicPr>
                  <pic:blipFill>
                    <a:blip r:embed="rId8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6.3. Varianza de la deuda en 2035 por bloque de shocks. Participación de cada bloque de shocks estructurales en la varianza de la deuda simulada en 2035. Las barras de error son el intervalo de 90% entre réplicas de parámetros.</w:t>
      </w:r>
    </w:p>
    <w:bookmarkEnd w:id="83"/>
    <w:bookmarkStart w:id="84" w:name="contraste-de-h1b"/>
    <w:p>
      <w:pPr>
        <w:pStyle w:val="Heading2"/>
      </w:pPr>
      <w:r>
        <w:t xml:space="preserve">6.4 Contraste de H1b</w:t>
      </w:r>
    </w:p>
    <w:p>
      <w:pPr>
        <w:pStyle w:val="FirstParagraph"/>
      </w:pPr>
      <w:r>
        <w:t xml:space="preserve">El FMI (2026) estima una probabilidad de estabilización de alrededor de 99% en su abanico de mediano plazo (no estabilización de 1,0%, cuadro 7) y superior a 97% en su abanico de diez años, que termina en 2035. Cada horizonte se contrasta contra la cifra del FMI correspondiente.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Horizonte</w:t>
            </w:r>
          </w:p>
        </w:tc>
        <w:tc>
          <w:tcPr/>
          <w:p>
            <w:pPr>
              <w:pStyle w:val="Compact"/>
            </w:pPr>
            <w:r>
              <w:rPr>
                <w:rFonts w:ascii="Calibri" w:hAnsi="Calibri"/>
                <w:sz w:val="20"/>
              </w:rPr>
              <w:t xml:space="preserve">Probabilidad de no estabilización</w:t>
            </w:r>
          </w:p>
        </w:tc>
        <w:tc>
          <w:tcPr/>
          <w:p>
            <w:pPr>
              <w:pStyle w:val="Compact"/>
            </w:pPr>
            <w:r>
              <w:rPr>
                <w:rFonts w:ascii="Calibri" w:hAnsi="Calibri"/>
                <w:sz w:val="20"/>
              </w:rPr>
              <w:t xml:space="preserve">Intervalo de 90%</w:t>
            </w:r>
          </w:p>
        </w:tc>
        <w:tc>
          <w:tcPr/>
          <w:p>
            <w:pPr>
              <w:pStyle w:val="Compact"/>
            </w:pPr>
            <w:r>
              <w:rPr>
                <w:rFonts w:ascii="Calibri" w:hAnsi="Calibri"/>
                <w:sz w:val="20"/>
              </w:rPr>
              <w:t xml:space="preserve">Umbral del FMI</w:t>
            </w:r>
          </w:p>
        </w:tc>
        <w:tc>
          <w:tcPr/>
          <w:p>
            <w:pPr>
              <w:pStyle w:val="Compact"/>
            </w:pPr>
            <w:r>
              <w:rPr>
                <w:rFonts w:ascii="Calibri" w:hAnsi="Calibri"/>
                <w:sz w:val="20"/>
              </w:rPr>
              <w:t xml:space="preserve">Criterio (límite inferior mayor que el umbral)</w:t>
            </w:r>
          </w:p>
        </w:tc>
      </w:tr>
      <w:tr>
        <w:tc>
          <w:tcPr/>
          <w:p>
            <w:pPr>
              <w:pStyle w:val="Compact"/>
            </w:pPr>
            <w:r>
              <w:rPr>
                <w:rFonts w:ascii="Calibri" w:hAnsi="Calibri"/>
                <w:sz w:val="20"/>
              </w:rPr>
              <w:t xml:space="preserve">2030 (cinco años)</w:t>
            </w:r>
          </w:p>
        </w:tc>
        <w:tc>
          <w:tcPr/>
          <w:p>
            <w:pPr>
              <w:pStyle w:val="Compact"/>
            </w:pPr>
            <w:r>
              <w:rPr>
                <w:rFonts w:ascii="Calibri" w:hAnsi="Calibri"/>
                <w:sz w:val="20"/>
              </w:rPr>
              <w:t xml:space="preserve">11,5%</w:t>
            </w:r>
          </w:p>
        </w:tc>
        <w:tc>
          <w:tcPr/>
          <w:p>
            <w:pPr>
              <w:pStyle w:val="Compact"/>
            </w:pPr>
            <w:r>
              <w:rPr>
                <w:rFonts w:ascii="Calibri" w:hAnsi="Calibri"/>
                <w:sz w:val="20"/>
              </w:rPr>
              <w:t xml:space="preserve">[7,7; 15,2]</w:t>
            </w:r>
          </w:p>
        </w:tc>
        <w:tc>
          <w:tcPr/>
          <w:p>
            <w:pPr>
              <w:pStyle w:val="Compact"/>
            </w:pPr>
            <w:r>
              <w:rPr>
                <w:rFonts w:ascii="Calibri" w:hAnsi="Calibri"/>
                <w:sz w:val="20"/>
              </w:rPr>
              <w:t xml:space="preserve">1,0%</w:t>
            </w:r>
          </w:p>
        </w:tc>
        <w:tc>
          <w:tcPr/>
          <w:p>
            <w:pPr>
              <w:pStyle w:val="Compact"/>
            </w:pPr>
            <w:r>
              <w:rPr>
                <w:rFonts w:ascii="Calibri" w:hAnsi="Calibri"/>
                <w:sz w:val="20"/>
              </w:rPr>
              <w:t xml:space="preserve">Se cumple</w:t>
            </w:r>
          </w:p>
        </w:tc>
      </w:tr>
      <w:tr>
        <w:tc>
          <w:tcPr/>
          <w:p>
            <w:pPr>
              <w:pStyle w:val="Compact"/>
            </w:pPr>
            <w:r>
              <w:rPr>
                <w:rFonts w:ascii="Calibri" w:hAnsi="Calibri"/>
                <w:sz w:val="20"/>
              </w:rPr>
              <w:t xml:space="preserve">2035 (diez años)</w:t>
            </w:r>
          </w:p>
        </w:tc>
        <w:tc>
          <w:tcPr/>
          <w:p>
            <w:pPr>
              <w:pStyle w:val="Compact"/>
            </w:pPr>
            <w:r>
              <w:rPr>
                <w:rFonts w:ascii="Calibri" w:hAnsi="Calibri"/>
                <w:sz w:val="20"/>
              </w:rPr>
              <w:t xml:space="preserve">6,6%</w:t>
            </w:r>
          </w:p>
        </w:tc>
        <w:tc>
          <w:tcPr/>
          <w:p>
            <w:pPr>
              <w:pStyle w:val="Compact"/>
            </w:pPr>
            <w:r>
              <w:rPr>
                <w:rFonts w:ascii="Calibri" w:hAnsi="Calibri"/>
                <w:sz w:val="20"/>
              </w:rPr>
              <w:t xml:space="preserve">[3,3; 10,5]</w:t>
            </w:r>
          </w:p>
        </w:tc>
        <w:tc>
          <w:tcPr/>
          <w:p>
            <w:pPr>
              <w:pStyle w:val="Compact"/>
            </w:pPr>
            <w:r>
              <w:rPr>
                <w:rFonts w:ascii="Calibri" w:hAnsi="Calibri"/>
                <w:sz w:val="20"/>
              </w:rPr>
              <w:t xml:space="preserve">menos de 3%</w:t>
            </w:r>
          </w:p>
        </w:tc>
        <w:tc>
          <w:tcPr/>
          <w:p>
            <w:pPr>
              <w:pStyle w:val="Compact"/>
            </w:pPr>
            <w:r>
              <w:rPr>
                <w:rFonts w:ascii="Calibri" w:hAnsi="Calibri"/>
                <w:sz w:val="20"/>
              </w:rPr>
              <w:t xml:space="preserve">Se cumple</w:t>
            </w:r>
          </w:p>
        </w:tc>
      </w:tr>
    </w:tbl>
    <w:p>
      <w:pPr>
        <w:pStyle w:val="BodyText"/>
      </w:pPr>
      <w:r>
        <w:t xml:space="preserve">A cinco años, la probabilidad de que la deuda consolidada no se estabilice es de 11,5%, más de diez veces el 1,0% del FMI, y el intervalo de 90% queda entero por encima de ese valor. A diez años baja a 6,6%, porque el escenario base sigue reduciendo la deuda y cada vez menos trayectorias terminan con la deuda en aumento. Aun así, el límite inferior (3,3%) supera el 3%, que es la cota que da el FMI para ese horizonte.</w:t>
      </w:r>
      <w:r>
        <w:t xml:space="preserve"> </w:t>
      </w:r>
      <w:r>
        <w:rPr>
          <w:b/>
          <w:bCs/>
        </w:rPr>
        <w:t xml:space="preserve">H1b queda respaldada en los dos horizontes.</w:t>
      </w:r>
    </w:p>
    <w:bookmarkEnd w:id="84"/>
    <w:bookmarkStart w:id="85" w:name="contraste-de-h2"/>
    <w:p>
      <w:pPr>
        <w:pStyle w:val="Heading2"/>
      </w:pPr>
      <w:r>
        <w:t xml:space="preserve">6.5 Contraste de H2</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Escenario</w:t>
            </w:r>
          </w:p>
        </w:tc>
        <w:tc>
          <w:tcPr/>
          <w:p>
            <w:pPr>
              <w:pStyle w:val="Compact"/>
            </w:pPr>
            <w:r>
              <w:rPr>
                <w:rFonts w:ascii="Calibri" w:hAnsi="Calibri"/>
                <w:sz w:val="20"/>
              </w:rPr>
              <w:t xml:space="preserve">Diferencia en la probabilidad de no estabilización en 2035</w:t>
            </w:r>
          </w:p>
        </w:tc>
        <w:tc>
          <w:tcPr/>
          <w:p>
            <w:pPr>
              <w:pStyle w:val="Compact"/>
            </w:pPr>
            <w:r>
              <w:rPr>
                <w:rFonts w:ascii="Calibri" w:hAnsi="Calibri"/>
                <w:sz w:val="20"/>
              </w:rPr>
              <w:t xml:space="preserve">Diferencia en la deuda media en 2035</w:t>
            </w:r>
          </w:p>
        </w:tc>
      </w:tr>
      <w:tr>
        <w:tc>
          <w:tcPr/>
          <w:p>
            <w:pPr>
              <w:pStyle w:val="Compact"/>
            </w:pPr>
            <w:r>
              <w:rPr>
                <w:rFonts w:ascii="Calibri" w:hAnsi="Calibri"/>
                <w:sz w:val="20"/>
              </w:rPr>
              <w:t xml:space="preserve">Suba de un desvío estándar (0,50 pp)</w:t>
            </w:r>
          </w:p>
        </w:tc>
        <w:tc>
          <w:tcPr/>
          <w:p>
            <w:pPr>
              <w:pStyle w:val="Compact"/>
            </w:pPr>
            <w:r>
              <w:rPr>
                <w:rFonts w:ascii="Calibri" w:hAnsi="Calibri"/>
                <w:sz w:val="20"/>
              </w:rPr>
              <w:t xml:space="preserve">+0,7 pp [0,0; 1,8]</w:t>
            </w:r>
          </w:p>
        </w:tc>
        <w:tc>
          <w:tcPr/>
          <w:p>
            <w:pPr>
              <w:pStyle w:val="Compact"/>
            </w:pPr>
            <w:r>
              <w:rPr>
                <w:rFonts w:ascii="Calibri" w:hAnsi="Calibri"/>
                <w:sz w:val="20"/>
              </w:rPr>
              <w:t xml:space="preserve">+0,7 pp del PIB</w:t>
            </w:r>
          </w:p>
        </w:tc>
      </w:tr>
      <w:tr>
        <w:tc>
          <w:tcPr/>
          <w:p>
            <w:pPr>
              <w:pStyle w:val="Compact"/>
            </w:pPr>
            <w:r>
              <w:rPr>
                <w:rFonts w:ascii="Calibri" w:hAnsi="Calibri"/>
                <w:sz w:val="20"/>
              </w:rPr>
              <w:t xml:space="preserve">Repetición del ciclo 2022-2023 (+5,25 pp en ocho trimestres)</w:t>
            </w:r>
          </w:p>
        </w:tc>
        <w:tc>
          <w:tcPr/>
          <w:p>
            <w:pPr>
              <w:pStyle w:val="Compact"/>
            </w:pPr>
            <w:r>
              <w:rPr>
                <w:rFonts w:ascii="Calibri" w:hAnsi="Calibri"/>
                <w:sz w:val="20"/>
              </w:rPr>
              <w:t xml:space="preserve">+9,5 pp [3,7; 19,0]</w:t>
            </w:r>
          </w:p>
        </w:tc>
        <w:tc>
          <w:tcPr/>
          <w:p>
            <w:pPr>
              <w:pStyle w:val="Compact"/>
            </w:pPr>
            <w:r>
              <w:rPr>
                <w:rFonts w:ascii="Calibri" w:hAnsi="Calibri"/>
                <w:sz w:val="20"/>
              </w:rPr>
              <w:t xml:space="preserve">+7,8 pp del PIB [1,9; 17,5]</w:t>
            </w:r>
          </w:p>
        </w:tc>
      </w:tr>
    </w:tbl>
    <w:p>
      <w:pPr>
        <w:pStyle w:val="BodyText"/>
      </w:pPr>
      <w:r>
        <w:t xml:space="preserve">Entre corchetes, los intervalos de 90%.</w:t>
      </w:r>
    </w:p>
    <w:p>
      <w:pPr>
        <w:pStyle w:val="BodyText"/>
      </w:pPr>
      <w:r>
        <w:t xml:space="preserve">Con un shock de un desvío estándar, el intervalo de la diferencia en la probabilidad toca el cero, de modo que no hay un efecto distinguible. Con una suba como la de 2022-2023, la probabilidad de no estabilización en 2035 sube 9,5 puntos y la deuda esperada, 7,8 puntos del PIB, y los dos intervalos excluyen el cero.</w:t>
      </w:r>
      <w:r>
        <w:t xml:space="preserve"> </w:t>
      </w:r>
      <w:r>
        <w:rPr>
          <w:b/>
          <w:bCs/>
        </w:rPr>
        <w:t xml:space="preserve">H2 queda respaldada para un endurecimiento de la magnitud del de 2022-2023, y no para un shock de un desvío estándar.</w:t>
      </w:r>
    </w:p>
    <w:p>
      <w:pPr>
        <w:pStyle w:val="BodyText"/>
      </w:pPr>
      <w:r>
        <w:t xml:space="preserve">Para saber por qué canal pasa el efecto, se repitió el escenario de 2022-2023 anulando la respuesta de las variables domésticas a la FED, de modo que solo actúa el mayor costo de refinanciar la deuda en dólares. Con los parámetros estimados, ese costo directo explica 5,1 de los 8,3 puntos de aumento de la deuda en 2035 (61%). El resto corresponde a la respuesta del riesgo país, el tipo de cambio real y el crecimiento, que en conjunto empujan en la misma dirección aunque, como se vio en la sección 6.1, ninguna de esas respuestas es significativa por separado.</w:t>
      </w:r>
    </w:p>
    <w:bookmarkEnd w:id="85"/>
    <w:bookmarkStart w:id="89" w:name="robustez"/>
    <w:p>
      <w:pPr>
        <w:pStyle w:val="Heading2"/>
      </w:pPr>
      <w:r>
        <w:t xml:space="preserve">6.6 Robustez</w:t>
      </w:r>
    </w:p>
    <w:p>
      <w:pPr>
        <w:pStyle w:val="FirstParagraph"/>
      </w:pPr>
      <w:r>
        <w:rPr>
          <w:b/>
          <w:bCs/>
        </w:rPr>
        <w:t xml:space="preserve">Escenario base anterior del FMI.</w:t>
      </w:r>
      <w:r>
        <w:t xml:space="preserve"> </w:t>
      </w:r>
      <w:r>
        <w:t xml:space="preserve">Con el escenario de abril de 2025 (FMI, 2025, anexo II), que era el vigente cuando se planteó la investigación, la probabilidad de no estabilización es de 11,8% [8,0; 15,8] a cinco años y de 6,0% [3,0; 9,8] a diez, frente a 3,0% del FMI en ese informe. Las conclusiones no dependen de cuál de los dos escenarios del FMI se use.</w:t>
      </w:r>
    </w:p>
    <w:p>
      <w:pPr>
        <w:pStyle w:val="BodyText"/>
      </w:pPr>
      <w:r>
        <w:rPr>
          <w:b/>
          <w:bCs/>
        </w:rPr>
        <w:t xml:space="preserve">Perímetro de la deuda.</w:t>
      </w:r>
      <w:r>
        <w:t xml:space="preserve"> </w:t>
      </w:r>
      <w:r>
        <w:t xml:space="preserve">Con la deuda neta a valor libros y con la deuda bruta, la probabilidad de no estabilización a cinco años es de 12,7% y 12,3%, y a diez años, de 7,4% y 7,8%. En todos los casos los límites inferiores superan los umbrales del FMI. El efecto del ciclo 2022-2023 sobre la probabilidad a diez años es de 10,1 y 8,7 puntos, con intervalos que excluyen el cero. Para H1a la conclusión depende del perímetro. Con la deuda neta a valor libros se mantiene: los shocks no fiscales superan al fiscal por 58,5 puntos [16,6; 90,8]. Con la deuda bruta, en cambio, la diferencia es de 52,6 puntos, pero su intervalo, [-7,5; 93,7], incluye el cero.</w:t>
      </w:r>
    </w:p>
    <w:p>
      <w:pPr>
        <w:pStyle w:val="BodyText"/>
      </w:pPr>
      <w:r>
        <w:rPr>
          <w:b/>
          <w:bCs/>
        </w:rPr>
        <w:t xml:space="preserve">Identificación de los shocks.</w:t>
      </w:r>
      <w:r>
        <w:t xml:space="preserve"> </w:t>
      </w:r>
      <w:r>
        <w:t xml:space="preserve">La identificación principal descuenta del resultado primario su respuesta automática al ciclo (sección 4.4). Se la contrasta con dos ordenamientos de Cholesky, que imponen un orden de reacción contemporánea entre las variables:</w:t>
      </w:r>
      <w:r>
        <w:t xml:space="preserve"> </w:t>
      </w:r>
      <w:r>
        <w:t xml:space="preserve">- El primero (crecimiento, tipo de cambio real, EMBI+ y resultado primario) deja al shock fiscal en el último lugar: el resultado primario se ajusta en el mismo trimestre al ciclo y al riesgo, y no al revés. Con ese orden, la diferencia entre los shocks no fiscales y el fiscal es mayor que en la especificación principal: 78,5 puntos, con un intervalo de [34,7; 96,2].</w:t>
      </w:r>
      <w:r>
        <w:t xml:space="preserve"> </w:t>
      </w:r>
      <w:r>
        <w:t xml:space="preserve">- El orden inverso (resultado primario primero) le atribuye al shock fiscal toda la covarianza contemporánea con las demás variables. Es el ordenamiento más favorable a lo fiscal. Con él, la participación fiscal sube a 33,7% y la cambiaria y de riesgo queda en 59,9%. La diferencia sigue siendo positiva (32,6 puntos) y lo es en 77% de las réplicas, pero su intervalo, [-47,5; 87,4], incluye el cero.</w:t>
      </w:r>
    </w:p>
    <w:p>
      <w:pPr>
        <w:pStyle w:val="BodyText"/>
      </w:pPr>
      <w:r>
        <w:t xml:space="preserve">La identificación no cambia la varianza total de la deuda simulada, de modo que H1b y H2 dan lo mismo con cualquiera de los tres esquemas. H1a, en cambio, depende de cómo se separa el shock fiscal: se sostiene con la identificación principal y con el orden que deja al shock fiscal último, y no con el que lo pone primero.</w:t>
      </w:r>
    </w:p>
    <w:p>
      <w:pPr>
        <w:pStyle w:val="BodyText"/>
      </w:pPr>
      <w:r>
        <w:rPr>
          <w:b/>
          <w:bCs/>
        </w:rPr>
        <w:t xml:space="preserve">Canal de tasas domésticas.</w:t>
      </w:r>
      <w:r>
        <w:t xml:space="preserve"> </w:t>
      </w:r>
      <w:r>
        <w:t xml:space="preserve">Si el riesgo país también encarece la deuda en pesos (sección 4.6), la probabilidad de no estabilización sube a 12,2% a cinco años y a 8,8% a diez. El bloque cambiario y de riesgo pasa a explicar 68,1% de la varianza de la deuda en 2035, y el efecto del ciclo 2022-2023 sube a 11,0 puntos de probabilidad.</w:t>
      </w:r>
    </w:p>
    <w:p>
      <w:pPr>
        <w:pStyle w:val="BodyText"/>
      </w:pPr>
      <w:r>
        <w:rPr>
          <w:b/>
          <w:bCs/>
        </w:rPr>
        <w:t xml:space="preserve">Sin retroalimentación de la deuda.</w:t>
      </w:r>
      <w:r>
        <w:t xml:space="preserve"> </w:t>
      </w:r>
      <w:r>
        <w:t xml:space="preserve">Si se anula el efecto de la deuda rezagada sobre las cuatro variables, la deuda se acumula por la identidad pero ya no realimenta al sistema. En ese caso, la probabilidad de no estabilización es de 11,5% a cinco años y de 6,1% a diez, el abanico se ensancha de 18,6 a 19,9 puntos y la diferencia entre los shocks no fiscales y el fiscal casi no cambia (57,9 puntos). Los dos mecanismos de la sección 6.1 se compensan: el aumento del riesgo país que provoca una deuda mayor queda contrarrestado por la respuesta del superávit. La retroalimentación importa para la forma de la dinámica, pero no cambia las conclusiones sobre las hipótesis.</w:t>
      </w:r>
    </w:p>
    <w:p>
      <w:pPr>
        <w:pStyle w:val="BodyText"/>
      </w:pPr>
      <w:r>
        <w:rPr>
          <w:b/>
          <w:bCs/>
        </w:rPr>
        <w:t xml:space="preserve">Shocks como los del FMI.</w:t>
      </w:r>
      <w:r>
        <w:t xml:space="preserve"> </w:t>
      </w:r>
      <w:r>
        <w:t xml:space="preserve">Con el procedimiento del abanico del FMI aplicado a las mismas series (sección 4.6), la probabilidad de no estabilización es de 23,0% a cinco años y de 15,2% a diez años, y el ancho del abanico en 2030 es de 82,8 puntos. Con la deuda bruta, las cifras son 24,6%, 17,3% y 104,1. Las dos formas de generar los shocks llevan a la misma conclusión sobre H1b. La del FMI da probabilidades y anchos mucho mayores.</w:t>
      </w:r>
    </w:p>
    <w:p>
      <w:pPr>
        <w:pStyle w:val="BodyText"/>
      </w:pPr>
      <w:r>
        <w:rPr>
          <w:b/>
          <w:bCs/>
        </w:rPr>
        <w:t xml:space="preserve">Tabla 6.2. Resumen de robustez de H1b</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Especificación</w:t>
            </w:r>
          </w:p>
        </w:tc>
        <w:tc>
          <w:tcPr/>
          <w:p>
            <w:pPr>
              <w:pStyle w:val="Compact"/>
            </w:pPr>
            <w:r>
              <w:rPr>
                <w:rFonts w:ascii="Calibri" w:hAnsi="Calibri"/>
                <w:sz w:val="20"/>
              </w:rPr>
              <w:t xml:space="preserve">No estabilización 2030</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2030</w:t>
            </w:r>
          </w:p>
        </w:tc>
      </w:tr>
      <w:tr>
        <w:tc>
          <w:tcPr/>
          <w:p>
            <w:pPr>
              <w:pStyle w:val="Compact"/>
            </w:pPr>
            <w:r>
              <w:rPr>
                <w:rFonts w:ascii="Calibri" w:hAnsi="Calibri"/>
                <w:sz w:val="20"/>
              </w:rPr>
              <w:t xml:space="preserve">SVARX, deuda neta (principal)</w:t>
            </w:r>
          </w:p>
        </w:tc>
        <w:tc>
          <w:tcPr/>
          <w:p>
            <w:pPr>
              <w:pStyle w:val="Compact"/>
            </w:pPr>
            <w:r>
              <w:rPr>
                <w:rFonts w:ascii="Calibri" w:hAnsi="Calibri"/>
                <w:sz w:val="20"/>
              </w:rPr>
              <w:t xml:space="preserve">11,5% [7,7; 15,2]</w:t>
            </w:r>
          </w:p>
        </w:tc>
        <w:tc>
          <w:tcPr/>
          <w:p>
            <w:pPr>
              <w:pStyle w:val="Compact"/>
            </w:pPr>
            <w:r>
              <w:rPr>
                <w:rFonts w:ascii="Calibri" w:hAnsi="Calibri"/>
                <w:sz w:val="20"/>
              </w:rPr>
              <w:t xml:space="preserve">6,6% [3,3; 10,5]</w:t>
            </w:r>
          </w:p>
        </w:tc>
        <w:tc>
          <w:tcPr/>
          <w:p>
            <w:pPr>
              <w:pStyle w:val="Compact"/>
            </w:pPr>
            <w:r>
              <w:rPr>
                <w:rFonts w:ascii="Calibri" w:hAnsi="Calibri"/>
                <w:sz w:val="20"/>
              </w:rPr>
              <w:t xml:space="preserve">18,6</w:t>
            </w:r>
          </w:p>
        </w:tc>
      </w:tr>
      <w:tr>
        <w:tc>
          <w:tcPr/>
          <w:p>
            <w:pPr>
              <w:pStyle w:val="Compact"/>
            </w:pPr>
            <w:r>
              <w:rPr>
                <w:rFonts w:ascii="Calibri" w:hAnsi="Calibri"/>
                <w:sz w:val="20"/>
              </w:rPr>
              <w:t xml:space="preserve">SVARX, deuda neta a valor libros</w:t>
            </w:r>
          </w:p>
        </w:tc>
        <w:tc>
          <w:tcPr/>
          <w:p>
            <w:pPr>
              <w:pStyle w:val="Compact"/>
            </w:pPr>
            <w:r>
              <w:rPr>
                <w:rFonts w:ascii="Calibri" w:hAnsi="Calibri"/>
                <w:sz w:val="20"/>
              </w:rPr>
              <w:t xml:space="preserve">12,7% [8,8; 17,0]</w:t>
            </w:r>
          </w:p>
        </w:tc>
        <w:tc>
          <w:tcPr/>
          <w:p>
            <w:pPr>
              <w:pStyle w:val="Compact"/>
            </w:pPr>
            <w:r>
              <w:rPr>
                <w:rFonts w:ascii="Calibri" w:hAnsi="Calibri"/>
                <w:sz w:val="20"/>
              </w:rPr>
              <w:t xml:space="preserve">7,4% [3,8; 11,8]</w:t>
            </w:r>
          </w:p>
        </w:tc>
        <w:tc>
          <w:tcPr/>
          <w:p>
            <w:pPr>
              <w:pStyle w:val="Compact"/>
            </w:pPr>
            <w:r>
              <w:rPr>
                <w:rFonts w:ascii="Calibri" w:hAnsi="Calibri"/>
                <w:sz w:val="20"/>
              </w:rPr>
              <w:t xml:space="preserve">19,0</w:t>
            </w:r>
          </w:p>
        </w:tc>
      </w:tr>
      <w:tr>
        <w:tc>
          <w:tcPr/>
          <w:p>
            <w:pPr>
              <w:pStyle w:val="Compact"/>
            </w:pPr>
            <w:r>
              <w:rPr>
                <w:rFonts w:ascii="Calibri" w:hAnsi="Calibri"/>
                <w:sz w:val="20"/>
              </w:rPr>
              <w:t xml:space="preserve">SVARX, deuda bruta</w:t>
            </w:r>
          </w:p>
        </w:tc>
        <w:tc>
          <w:tcPr/>
          <w:p>
            <w:pPr>
              <w:pStyle w:val="Compact"/>
            </w:pPr>
            <w:r>
              <w:rPr>
                <w:rFonts w:ascii="Calibri" w:hAnsi="Calibri"/>
                <w:sz w:val="20"/>
              </w:rPr>
              <w:t xml:space="preserve">12,3% [8,5; 16,3]</w:t>
            </w:r>
          </w:p>
        </w:tc>
        <w:tc>
          <w:tcPr/>
          <w:p>
            <w:pPr>
              <w:pStyle w:val="Compact"/>
            </w:pPr>
            <w:r>
              <w:rPr>
                <w:rFonts w:ascii="Calibri" w:hAnsi="Calibri"/>
                <w:sz w:val="20"/>
              </w:rPr>
              <w:t xml:space="preserve">7,8% [4,5; 11,8]</w:t>
            </w:r>
          </w:p>
        </w:tc>
        <w:tc>
          <w:tcPr/>
          <w:p>
            <w:pPr>
              <w:pStyle w:val="Compact"/>
            </w:pPr>
            <w:r>
              <w:rPr>
                <w:rFonts w:ascii="Calibri" w:hAnsi="Calibri"/>
                <w:sz w:val="20"/>
              </w:rPr>
              <w:t xml:space="preserve">19,3</w:t>
            </w:r>
          </w:p>
        </w:tc>
      </w:tr>
      <w:tr>
        <w:tc>
          <w:tcPr/>
          <w:p>
            <w:pPr>
              <w:pStyle w:val="Compact"/>
            </w:pPr>
            <w:r>
              <w:rPr>
                <w:rFonts w:ascii="Calibri" w:hAnsi="Calibri"/>
                <w:sz w:val="20"/>
              </w:rPr>
              <w:t xml:space="preserve">SVARX, deuda neta con canal de tasas domésticas</w:t>
            </w:r>
          </w:p>
        </w:tc>
        <w:tc>
          <w:tcPr/>
          <w:p>
            <w:pPr>
              <w:pStyle w:val="Compact"/>
            </w:pPr>
            <w:r>
              <w:rPr>
                <w:rFonts w:ascii="Calibri" w:hAnsi="Calibri"/>
                <w:sz w:val="20"/>
              </w:rPr>
              <w:t xml:space="preserve">12,2% [8,5; 16,3]</w:t>
            </w:r>
          </w:p>
        </w:tc>
        <w:tc>
          <w:tcPr/>
          <w:p>
            <w:pPr>
              <w:pStyle w:val="Compact"/>
            </w:pPr>
            <w:r>
              <w:rPr>
                <w:rFonts w:ascii="Calibri" w:hAnsi="Calibri"/>
                <w:sz w:val="20"/>
              </w:rPr>
              <w:t xml:space="preserve">8,8% [4,3; 14,5]</w:t>
            </w:r>
          </w:p>
        </w:tc>
        <w:tc>
          <w:tcPr/>
          <w:p>
            <w:pPr>
              <w:pStyle w:val="Compact"/>
            </w:pPr>
            <w:r>
              <w:rPr>
                <w:rFonts w:ascii="Calibri" w:hAnsi="Calibri"/>
                <w:sz w:val="20"/>
              </w:rPr>
              <w:t xml:space="preserve">21,0</w:t>
            </w:r>
          </w:p>
        </w:tc>
      </w:tr>
      <w:tr>
        <w:tc>
          <w:tcPr/>
          <w:p>
            <w:pPr>
              <w:pStyle w:val="Compact"/>
            </w:pPr>
            <w:r>
              <w:rPr>
                <w:rFonts w:ascii="Calibri" w:hAnsi="Calibri"/>
                <w:sz w:val="20"/>
              </w:rPr>
              <w:t xml:space="preserve">SVARX, deuda neta sin retroalimentación de la deuda</w:t>
            </w:r>
          </w:p>
        </w:tc>
        <w:tc>
          <w:tcPr/>
          <w:p>
            <w:pPr>
              <w:pStyle w:val="Compact"/>
            </w:pPr>
            <w:r>
              <w:rPr>
                <w:rFonts w:ascii="Calibri" w:hAnsi="Calibri"/>
                <w:sz w:val="20"/>
              </w:rPr>
              <w:t xml:space="preserve">11,5% [7,8; 15,8]</w:t>
            </w:r>
          </w:p>
        </w:tc>
        <w:tc>
          <w:tcPr/>
          <w:p>
            <w:pPr>
              <w:pStyle w:val="Compact"/>
            </w:pPr>
            <w:r>
              <w:rPr>
                <w:rFonts w:ascii="Calibri" w:hAnsi="Calibri"/>
                <w:sz w:val="20"/>
              </w:rPr>
              <w:t xml:space="preserve">6,1% [3,3; 10,0]</w:t>
            </w:r>
          </w:p>
        </w:tc>
        <w:tc>
          <w:tcPr/>
          <w:p>
            <w:pPr>
              <w:pStyle w:val="Compact"/>
            </w:pPr>
            <w:r>
              <w:rPr>
                <w:rFonts w:ascii="Calibri" w:hAnsi="Calibri"/>
                <w:sz w:val="20"/>
              </w:rPr>
              <w:t xml:space="preserve">19,9</w:t>
            </w:r>
          </w:p>
        </w:tc>
      </w:tr>
      <w:tr>
        <w:tc>
          <w:tcPr/>
          <w:p>
            <w:pPr>
              <w:pStyle w:val="Compact"/>
            </w:pPr>
            <w:r>
              <w:rPr>
                <w:rFonts w:ascii="Calibri" w:hAnsi="Calibri"/>
                <w:sz w:val="20"/>
              </w:rPr>
              <w:t xml:space="preserve">SVARX, deuda neta, escenario del FMI de 2025</w:t>
            </w:r>
          </w:p>
        </w:tc>
        <w:tc>
          <w:tcPr/>
          <w:p>
            <w:pPr>
              <w:pStyle w:val="Compact"/>
            </w:pPr>
            <w:r>
              <w:rPr>
                <w:rFonts w:ascii="Calibri" w:hAnsi="Calibri"/>
                <w:sz w:val="20"/>
              </w:rPr>
              <w:t xml:space="preserve">11,8% [8,0; 15,8]</w:t>
            </w:r>
          </w:p>
        </w:tc>
        <w:tc>
          <w:tcPr/>
          <w:p>
            <w:pPr>
              <w:pStyle w:val="Compact"/>
            </w:pPr>
            <w:r>
              <w:rPr>
                <w:rFonts w:ascii="Calibri" w:hAnsi="Calibri"/>
                <w:sz w:val="20"/>
              </w:rPr>
              <w:t xml:space="preserve">6,0% [3,0; 9,8]</w:t>
            </w:r>
          </w:p>
        </w:tc>
        <w:tc>
          <w:tcPr/>
          <w:p>
            <w:pPr>
              <w:pStyle w:val="Compact"/>
            </w:pPr>
            <w:r>
              <w:rPr>
                <w:rFonts w:ascii="Calibri" w:hAnsi="Calibri"/>
                <w:sz w:val="20"/>
              </w:rPr>
              <w:t xml:space="preserve">19,5</w:t>
            </w:r>
          </w:p>
        </w:tc>
      </w:tr>
      <w:tr>
        <w:tc>
          <w:tcPr/>
          <w:p>
            <w:pPr>
              <w:pStyle w:val="Compact"/>
            </w:pPr>
            <w:r>
              <w:rPr>
                <w:rFonts w:ascii="Calibri" w:hAnsi="Calibri"/>
                <w:sz w:val="20"/>
              </w:rPr>
              <w:t xml:space="preserve">Shocks a la manera del FMI, deuda neta</w:t>
            </w:r>
          </w:p>
        </w:tc>
        <w:tc>
          <w:tcPr/>
          <w:p>
            <w:pPr>
              <w:pStyle w:val="Compact"/>
            </w:pPr>
            <w:r>
              <w:rPr>
                <w:rFonts w:ascii="Calibri" w:hAnsi="Calibri"/>
                <w:sz w:val="20"/>
              </w:rPr>
              <w:t xml:space="preserve">23,0%</w:t>
            </w:r>
          </w:p>
        </w:tc>
        <w:tc>
          <w:tcPr/>
          <w:p>
            <w:pPr>
              <w:pStyle w:val="Compact"/>
            </w:pPr>
            <w:r>
              <w:rPr>
                <w:rFonts w:ascii="Calibri" w:hAnsi="Calibri"/>
                <w:sz w:val="20"/>
              </w:rPr>
              <w:t xml:space="preserve">15,2%</w:t>
            </w:r>
          </w:p>
        </w:tc>
        <w:tc>
          <w:tcPr/>
          <w:p>
            <w:pPr>
              <w:pStyle w:val="Compact"/>
            </w:pPr>
            <w:r>
              <w:rPr>
                <w:rFonts w:ascii="Calibri" w:hAnsi="Calibri"/>
                <w:sz w:val="20"/>
              </w:rPr>
              <w:t xml:space="preserve">82,8</w:t>
            </w:r>
          </w:p>
        </w:tc>
      </w:tr>
      <w:tr>
        <w:tc>
          <w:tcPr/>
          <w:p>
            <w:pPr>
              <w:pStyle w:val="Compact"/>
            </w:pPr>
            <w:r>
              <w:rPr>
                <w:rFonts w:ascii="Calibri" w:hAnsi="Calibri"/>
                <w:sz w:val="20"/>
              </w:rPr>
              <w:t xml:space="preserve">Shocks a la manera del FMI, deuda bruta</w:t>
            </w:r>
          </w:p>
        </w:tc>
        <w:tc>
          <w:tcPr/>
          <w:p>
            <w:pPr>
              <w:pStyle w:val="Compact"/>
            </w:pPr>
            <w:r>
              <w:rPr>
                <w:rFonts w:ascii="Calibri" w:hAnsi="Calibri"/>
                <w:sz w:val="20"/>
              </w:rPr>
              <w:t xml:space="preserve">24,6%</w:t>
            </w:r>
          </w:p>
        </w:tc>
        <w:tc>
          <w:tcPr/>
          <w:p>
            <w:pPr>
              <w:pStyle w:val="Compact"/>
            </w:pPr>
            <w:r>
              <w:rPr>
                <w:rFonts w:ascii="Calibri" w:hAnsi="Calibri"/>
                <w:sz w:val="20"/>
              </w:rPr>
              <w:t xml:space="preserve">17,3%</w:t>
            </w:r>
          </w:p>
        </w:tc>
        <w:tc>
          <w:tcPr/>
          <w:p>
            <w:pPr>
              <w:pStyle w:val="Compact"/>
            </w:pPr>
            <w:r>
              <w:rPr>
                <w:rFonts w:ascii="Calibri" w:hAnsi="Calibri"/>
                <w:sz w:val="20"/>
              </w:rPr>
              <w:t xml:space="preserve">104,1</w:t>
            </w:r>
          </w:p>
        </w:tc>
      </w:tr>
      <w:tr>
        <w:tc>
          <w:tcPr/>
          <w:p>
            <w:pPr>
              <w:pStyle w:val="Compact"/>
            </w:pPr>
            <w:r>
              <w:rPr>
                <w:rFonts w:ascii="Calibri" w:hAnsi="Calibri"/>
                <w:sz w:val="20"/>
              </w:rPr>
              <w:t xml:space="preserve">FMI (2026), deuda federal bruta</w:t>
            </w:r>
          </w:p>
        </w:tc>
        <w:tc>
          <w:tcPr/>
          <w:p>
            <w:pPr>
              <w:pStyle w:val="Compact"/>
            </w:pPr>
            <w:r>
              <w:rPr>
                <w:rFonts w:ascii="Calibri" w:hAnsi="Calibri"/>
                <w:sz w:val="20"/>
              </w:rPr>
              <w:t xml:space="preserve">1,0%</w:t>
            </w:r>
          </w:p>
        </w:tc>
        <w:tc>
          <w:tcPr/>
          <w:p>
            <w:pPr>
              <w:pStyle w:val="Compact"/>
            </w:pPr>
            <w:r>
              <w:rPr>
                <w:rFonts w:ascii="Calibri" w:hAnsi="Calibri"/>
                <w:sz w:val="20"/>
              </w:rPr>
              <w:t xml:space="preserve">menos de 3%</w:t>
            </w:r>
          </w:p>
        </w:tc>
        <w:tc>
          <w:tcPr/>
          <w:p>
            <w:pPr>
              <w:pStyle w:val="Compact"/>
            </w:pPr>
            <w:r>
              <w:rPr>
                <w:rFonts w:ascii="Calibri" w:hAnsi="Calibri"/>
                <w:sz w:val="20"/>
              </w:rPr>
              <w:t xml:space="preserve">71,5</w:t>
            </w:r>
          </w:p>
        </w:tc>
      </w:tr>
    </w:tbl>
    <w:p>
      <w:pPr>
        <w:pStyle w:val="BodyText"/>
      </w:pPr>
      <w:r>
        <w:t xml:space="preserve">Entre corchetes, los intervalos de 90% del</w:t>
      </w:r>
      <w:r>
        <w:t xml:space="preserve"> </w:t>
      </w:r>
      <w:r>
        <w:rPr>
          <w:i/>
          <w:iCs/>
        </w:rPr>
        <w:t xml:space="preserve">bootstrap</w:t>
      </w:r>
      <w:r>
        <w:t xml:space="preserve"> </w:t>
      </w:r>
      <w:r>
        <w:t xml:space="preserve">de parámetros. Las filas a la manera del FMI no tienen intervalo porque ese procedimiento no estima parámetros.</w:t>
      </w:r>
    </w:p>
    <w:p>
      <w:pPr>
        <w:pStyle w:val="BodyText"/>
      </w:pPr>
      <w:r>
        <w:t xml:space="preserve">La Figura 6.4 resume la tabla: en todas las especificaciones, la barra de 2030 y su intervalo quedan por encima del 1% del FMI, y la de 2035, por encima del 3%.</w:t>
      </w:r>
    </w:p>
    <w:p>
      <w:pPr>
        <w:pStyle w:val="CaptionedFigure"/>
      </w:pPr>
      <w:r>
        <w:drawing>
          <wp:inline>
            <wp:extent cx="5334000" cy="2590800"/>
            <wp:effectExtent b="0" l="0" r="0" t="0"/>
            <wp:docPr descr="Figura 6.4. Probabilidad de no estabilización por especificación. A cinco y a diez años, con intervalos de 90% del bootstrap de parámetros, y los umbrales del FMI (2026): 1% a mediano plazo y 3% a diez años. La variante a la manera del FMI no tiene intervalo porque no estima parámetros." title="" id="87" name="Picture"/>
            <a:graphic>
              <a:graphicData uri="http://schemas.openxmlformats.org/drawingml/2006/picture">
                <pic:pic>
                  <pic:nvPicPr>
                    <pic:cNvPr descr="../tesis/figuras/fig6_4_probabilidad_no_estabilizacion.png" id="88" name="Picture"/>
                    <pic:cNvPicPr>
                      <a:picLocks noChangeArrowheads="1" noChangeAspect="1"/>
                    </pic:cNvPicPr>
                  </pic:nvPicPr>
                  <pic:blipFill>
                    <a:blip r:embed="rId86"/>
                    <a:stretch>
                      <a:fillRect/>
                    </a:stretch>
                  </pic:blipFill>
                  <pic:spPr bwMode="auto">
                    <a:xfrm>
                      <a:off x="0" y="0"/>
                      <a:ext cx="5334000" cy="2590800"/>
                    </a:xfrm>
                    <a:prstGeom prst="rect">
                      <a:avLst/>
                    </a:prstGeom>
                    <a:noFill/>
                    <a:ln w="9525">
                      <a:noFill/>
                      <a:headEnd/>
                      <a:tailEnd/>
                    </a:ln>
                  </pic:spPr>
                </pic:pic>
              </a:graphicData>
            </a:graphic>
          </wp:inline>
        </w:drawing>
      </w:r>
    </w:p>
    <w:p>
      <w:pPr>
        <w:pStyle w:val="ImageCaption"/>
      </w:pPr>
      <w:r>
        <w:t xml:space="preserve">Figura 6.4. Probabilidad de no estabilización por especificación. A cinco y a diez años, con intervalos de 90% del bootstrap de parámetros, y los umbrales del FMI (2026): 1% a mediano plazo y 3% a diez años. La variante a la manera del FMI no tiene intervalo porque no estima parámetros.</w:t>
      </w:r>
    </w:p>
    <w:bookmarkEnd w:id="89"/>
    <w:bookmarkEnd w:id="90"/>
    <w:bookmarkStart w:id="102" w:name="discusión"/>
    <w:p>
      <w:pPr>
        <w:pStyle w:val="Heading1"/>
      </w:pPr>
      <w:r>
        <w:t xml:space="preserve">7. Discusión</w:t>
      </w:r>
    </w:p>
    <w:bookmarkStart w:id="91" w:name="Xd2bfaf14c1e57bc7fc44159cc760bdc22586e66"/>
    <w:p>
      <w:pPr>
        <w:pStyle w:val="Heading2"/>
      </w:pPr>
      <w:r>
        <w:t xml:space="preserve">7.1 Qué cambia respecto del diagnóstico del FMI</w:t>
      </w:r>
    </w:p>
    <w:p>
      <w:pPr>
        <w:pStyle w:val="FirstParagraph"/>
      </w:pPr>
      <w:r>
        <w:t xml:space="preserve">El FMI (2026) concluye que la deuda argentina es sostenible pero no con alta probabilidad, y estima en alrededor de 99% la probabilidad de que se estabilice en el mediano plazo. Esta tesis llega a un diagnóstico más exigente con el mismo escenario base. Con shocks identificados y el perímetro consolidado, la probabilidad de no estabilización a cinco años es de 11,5%, con un intervalo de 90% de 7,7% a 15,2%. Como el escenario base es el mismo, la diferencia no viene de supuestos más pesimistas sobre crecimiento, superávit o tasas. Viene de la forma de representar la incertidumbre alrededor de esos supuestos, que es la vacancia que plantea la sección 2.9.</w:t>
      </w:r>
    </w:p>
    <w:p>
      <w:pPr>
        <w:pStyle w:val="BodyText"/>
      </w:pPr>
      <w:r>
        <w:t xml:space="preserve">A diez años la diferencia se achica: 6,6%, con un límite inferior de 3,3%, apenas por encima del 3% que el FMI da como cota para ese horizonte. No es una contradicción. La métrica del FMI pregunta si el ajuste del escenario base alcanza para poner la deuda en una senda descendente (FMI, 2021, anexo VI, nota 9). En el escenario del FMI la deuda baja rápido, de modo que hacia 2035 quedan pocas trayectorias en las que el superávit previsto resulte insuficiente. El riesgo se concentra en los primeros años, que son también los que el FMI mira para su calificación de riesgo a mediano plazo.</w:t>
      </w:r>
    </w:p>
    <w:bookmarkEnd w:id="91"/>
    <w:bookmarkStart w:id="98" w:name="X296fb36fe1945ef431d31692b730d7f1c364e24"/>
    <w:p>
      <w:pPr>
        <w:pStyle w:val="Heading2"/>
      </w:pPr>
      <w:r>
        <w:t xml:space="preserve">7.2 Por qué el abanico es más angosto y, aun así, la probabilidad es mayor</w:t>
      </w:r>
    </w:p>
    <w:p>
      <w:pPr>
        <w:pStyle w:val="FirstParagraph"/>
      </w:pPr>
      <w:r>
        <w:t xml:space="preserve">El ancho del abanico de esta tesis en 2030 es de 18,6 puntos del PIB, contra 71,5 del FMI. A primera vista, un abanico cuatro veces más angosto debería dar una probabilidad de no estabilización menor, no mayor. La variante con shocks a la manera del FMI (sección 6.6) permite separar las causas, porque usa los mismos datos, la misma identidad y la misma métrica, y cambia solo la forma de generar los shocks.</w:t>
      </w:r>
    </w:p>
    <w:p>
      <w:pPr>
        <w:pStyle w:val="BodyText"/>
      </w:pPr>
      <w:r>
        <w:rPr>
          <w:b/>
          <w:bCs/>
        </w:rPr>
        <w:t xml:space="preserve">El ancho depende de cómo se generan los shocks, no del perímetro.</w:t>
      </w:r>
      <w:r>
        <w:t xml:space="preserve"> </w:t>
      </w:r>
      <w:r>
        <w:t xml:space="preserve">Con el procedimiento del FMI aplicado a la deuda neta, el ancho es de 82,8 puntos, del mismo orden que el del FMI. Con el SVARX, la deuda bruta da 19,3 puntos, casi lo mismo que la neta. El perímetro mueve el ancho en uno o dos puntos y la forma de los shocks lo multiplica por cuatro.</w:t>
      </w:r>
    </w:p>
    <w:p>
      <w:pPr>
        <w:pStyle w:val="BodyText"/>
      </w:pPr>
      <w:r>
        <w:t xml:space="preserve">La Figura 7.1 compara los dos abanicos. Las medianas son casi iguales, porque las fija el escenario base; lo que cambia es la dispersión.</w:t>
      </w:r>
    </w:p>
    <w:p>
      <w:pPr>
        <w:pStyle w:val="CaptionedFigure"/>
      </w:pPr>
      <w:r>
        <w:drawing>
          <wp:inline>
            <wp:extent cx="5334000" cy="2895600"/>
            <wp:effectExtent b="0" l="0" r="0" t="0"/>
            <wp:docPr descr="Figura 7.1. Abanicos con shocks del SVARX y con shocks a la manera del FMI. Deuda consolidada neta simulada, percentiles 5 y 95 y mediana (% del PIB). Los shocks a la manera del FMI son bloques de dos años de desvíos históricos, 1997-2025." title="" id="93" name="Picture"/>
            <a:graphic>
              <a:graphicData uri="http://schemas.openxmlformats.org/drawingml/2006/picture">
                <pic:pic>
                  <pic:nvPicPr>
                    <pic:cNvPr descr="../tesis/figuras/fig7_1_abanico_svarx_vs_fmi.png" id="94" name="Picture"/>
                    <pic:cNvPicPr>
                      <a:picLocks noChangeArrowheads="1" noChangeAspect="1"/>
                    </pic:cNvPicPr>
                  </pic:nvPicPr>
                  <pic:blipFill>
                    <a:blip r:embed="rId92"/>
                    <a:stretch>
                      <a:fillRect/>
                    </a:stretch>
                  </pic:blipFill>
                  <pic:spPr bwMode="auto">
                    <a:xfrm>
                      <a:off x="0" y="0"/>
                      <a:ext cx="5334000" cy="2895600"/>
                    </a:xfrm>
                    <a:prstGeom prst="rect">
                      <a:avLst/>
                    </a:prstGeom>
                    <a:noFill/>
                    <a:ln w="9525">
                      <a:noFill/>
                      <a:headEnd/>
                      <a:tailEnd/>
                    </a:ln>
                  </pic:spPr>
                </pic:pic>
              </a:graphicData>
            </a:graphic>
          </wp:inline>
        </w:drawing>
      </w:r>
    </w:p>
    <w:p>
      <w:pPr>
        <w:pStyle w:val="ImageCaption"/>
      </w:pPr>
      <w:r>
        <w:t xml:space="preserve">Figura 7.1. Abanicos con shocks del SVARX y con shocks a la manera del FMI. Deuda consolidada neta simulada, percentiles 5 y 95 y mediana (% del PIB). Los shocks a la manera del FMI son bloques de dos años de desvíos históricos, 1997-2025.</w:t>
      </w:r>
    </w:p>
    <w:p>
      <w:pPr>
        <w:pStyle w:val="BodyText"/>
      </w:pPr>
      <w:r>
        <w:rPr>
          <w:b/>
          <w:bCs/>
        </w:rPr>
        <w:t xml:space="preserve">Qué ensancha el abanico del procedimiento del FMI.</w:t>
      </w:r>
      <w:r>
        <w:t xml:space="preserve"> </w:t>
      </w:r>
      <w:r>
        <w:t xml:space="preserve">El ejercicio de la Tabla 7.1 repite esa variante quitando el año 2002 o fijando cada impulsor en su media histórica.</w:t>
      </w:r>
    </w:p>
    <w:p>
      <w:pPr>
        <w:pStyle w:val="BodyText"/>
      </w:pPr>
      <w:r>
        <w:rPr>
          <w:b/>
          <w:bCs/>
        </w:rPr>
        <w:t xml:space="preserve">Tabla 7.1. Diagnóstico de la variante con shocks a la manera del FMI (deuda neta)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Variante</w:t>
            </w:r>
          </w:p>
        </w:tc>
        <w:tc>
          <w:tcPr/>
          <w:p>
            <w:pPr>
              <w:pStyle w:val="Compact"/>
            </w:pPr>
            <w:r>
              <w:rPr>
                <w:rFonts w:ascii="Calibri" w:hAnsi="Calibri"/>
                <w:sz w:val="20"/>
              </w:rPr>
              <w:t xml:space="preserve">No estabilización 2030</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2030</w:t>
            </w:r>
          </w:p>
        </w:tc>
      </w:tr>
      <w:tr>
        <w:tc>
          <w:tcPr/>
          <w:p>
            <w:pPr>
              <w:pStyle w:val="Compact"/>
            </w:pPr>
            <w:r>
              <w:rPr>
                <w:rFonts w:ascii="Calibri" w:hAnsi="Calibri"/>
                <w:sz w:val="20"/>
              </w:rPr>
              <w:t xml:space="preserve">Todos los años, 1997-2025</w:t>
            </w:r>
          </w:p>
        </w:tc>
        <w:tc>
          <w:tcPr/>
          <w:p>
            <w:pPr>
              <w:pStyle w:val="Compact"/>
            </w:pPr>
            <w:r>
              <w:rPr>
                <w:rFonts w:ascii="Calibri" w:hAnsi="Calibri"/>
                <w:sz w:val="20"/>
              </w:rPr>
              <w:t xml:space="preserve">23,0%</w:t>
            </w:r>
          </w:p>
        </w:tc>
        <w:tc>
          <w:tcPr/>
          <w:p>
            <w:pPr>
              <w:pStyle w:val="Compact"/>
            </w:pPr>
            <w:r>
              <w:rPr>
                <w:rFonts w:ascii="Calibri" w:hAnsi="Calibri"/>
                <w:sz w:val="20"/>
              </w:rPr>
              <w:t xml:space="preserve">15,2%</w:t>
            </w:r>
          </w:p>
        </w:tc>
        <w:tc>
          <w:tcPr/>
          <w:p>
            <w:pPr>
              <w:pStyle w:val="Compact"/>
            </w:pPr>
            <w:r>
              <w:rPr>
                <w:rFonts w:ascii="Calibri" w:hAnsi="Calibri"/>
                <w:sz w:val="20"/>
              </w:rPr>
              <w:t xml:space="preserve">82,8</w:t>
            </w:r>
          </w:p>
        </w:tc>
      </w:tr>
      <w:tr>
        <w:tc>
          <w:tcPr/>
          <w:p>
            <w:pPr>
              <w:pStyle w:val="Compact"/>
            </w:pPr>
            <w:r>
              <w:rPr>
                <w:rFonts w:ascii="Calibri" w:hAnsi="Calibri"/>
                <w:sz w:val="20"/>
              </w:rPr>
              <w:t xml:space="preserve">Sin el año 2002</w:t>
            </w:r>
          </w:p>
        </w:tc>
        <w:tc>
          <w:tcPr/>
          <w:p>
            <w:pPr>
              <w:pStyle w:val="Compact"/>
            </w:pPr>
            <w:r>
              <w:rPr>
                <w:rFonts w:ascii="Calibri" w:hAnsi="Calibri"/>
                <w:sz w:val="20"/>
              </w:rPr>
              <w:t xml:space="preserve">22,4%</w:t>
            </w:r>
          </w:p>
        </w:tc>
        <w:tc>
          <w:tcPr/>
          <w:p>
            <w:pPr>
              <w:pStyle w:val="Compact"/>
            </w:pPr>
            <w:r>
              <w:rPr>
                <w:rFonts w:ascii="Calibri" w:hAnsi="Calibri"/>
                <w:sz w:val="20"/>
              </w:rPr>
              <w:t xml:space="preserve">15,2%</w:t>
            </w:r>
          </w:p>
        </w:tc>
        <w:tc>
          <w:tcPr/>
          <w:p>
            <w:pPr>
              <w:pStyle w:val="Compact"/>
            </w:pPr>
            <w:r>
              <w:rPr>
                <w:rFonts w:ascii="Calibri" w:hAnsi="Calibri"/>
                <w:sz w:val="20"/>
              </w:rPr>
              <w:t xml:space="preserve">62,9</w:t>
            </w:r>
          </w:p>
        </w:tc>
      </w:tr>
      <w:tr>
        <w:tc>
          <w:tcPr/>
          <w:p>
            <w:pPr>
              <w:pStyle w:val="Compact"/>
            </w:pPr>
            <w:r>
              <w:rPr>
                <w:rFonts w:ascii="Calibri" w:hAnsi="Calibri"/>
                <w:sz w:val="20"/>
              </w:rPr>
              <w:t xml:space="preserve">Depreciación real en su media</w:t>
            </w:r>
          </w:p>
        </w:tc>
        <w:tc>
          <w:tcPr/>
          <w:p>
            <w:pPr>
              <w:pStyle w:val="Compact"/>
            </w:pPr>
            <w:r>
              <w:rPr>
                <w:rFonts w:ascii="Calibri" w:hAnsi="Calibri"/>
                <w:sz w:val="20"/>
              </w:rPr>
              <w:t xml:space="preserve">20,1%</w:t>
            </w:r>
          </w:p>
        </w:tc>
        <w:tc>
          <w:tcPr/>
          <w:p>
            <w:pPr>
              <w:pStyle w:val="Compact"/>
            </w:pPr>
            <w:r>
              <w:rPr>
                <w:rFonts w:ascii="Calibri" w:hAnsi="Calibri"/>
                <w:sz w:val="20"/>
              </w:rPr>
              <w:t xml:space="preserve">13,1%</w:t>
            </w:r>
          </w:p>
        </w:tc>
        <w:tc>
          <w:tcPr/>
          <w:p>
            <w:pPr>
              <w:pStyle w:val="Compact"/>
            </w:pPr>
            <w:r>
              <w:rPr>
                <w:rFonts w:ascii="Calibri" w:hAnsi="Calibri"/>
                <w:sz w:val="20"/>
              </w:rPr>
              <w:t xml:space="preserve">61,9</w:t>
            </w:r>
          </w:p>
        </w:tc>
      </w:tr>
      <w:tr>
        <w:tc>
          <w:tcPr/>
          <w:p>
            <w:pPr>
              <w:pStyle w:val="Compact"/>
            </w:pPr>
            <w:r>
              <w:rPr>
                <w:rFonts w:ascii="Calibri" w:hAnsi="Calibri"/>
                <w:sz w:val="20"/>
              </w:rPr>
              <w:t xml:space="preserve">Tasa real efectiva en su media</w:t>
            </w:r>
          </w:p>
        </w:tc>
        <w:tc>
          <w:tcPr/>
          <w:p>
            <w:pPr>
              <w:pStyle w:val="Compact"/>
            </w:pPr>
            <w:r>
              <w:rPr>
                <w:rFonts w:ascii="Calibri" w:hAnsi="Calibri"/>
                <w:sz w:val="20"/>
              </w:rPr>
              <w:t xml:space="preserve">10,4%</w:t>
            </w:r>
          </w:p>
        </w:tc>
        <w:tc>
          <w:tcPr/>
          <w:p>
            <w:pPr>
              <w:pStyle w:val="Compact"/>
            </w:pPr>
            <w:r>
              <w:rPr>
                <w:rFonts w:ascii="Calibri" w:hAnsi="Calibri"/>
                <w:sz w:val="20"/>
              </w:rPr>
              <w:t xml:space="preserve">7,3%</w:t>
            </w:r>
          </w:p>
        </w:tc>
        <w:tc>
          <w:tcPr/>
          <w:p>
            <w:pPr>
              <w:pStyle w:val="Compact"/>
            </w:pPr>
            <w:r>
              <w:rPr>
                <w:rFonts w:ascii="Calibri" w:hAnsi="Calibri"/>
                <w:sz w:val="20"/>
              </w:rPr>
              <w:t xml:space="preserve">54,6</w:t>
            </w:r>
          </w:p>
        </w:tc>
      </w:tr>
      <w:tr>
        <w:tc>
          <w:tcPr/>
          <w:p>
            <w:pPr>
              <w:pStyle w:val="Compact"/>
            </w:pPr>
            <w:r>
              <w:rPr>
                <w:rFonts w:ascii="Calibri" w:hAnsi="Calibri"/>
                <w:sz w:val="20"/>
              </w:rPr>
              <w:t xml:space="preserve">Crecimiento en su media</w:t>
            </w:r>
          </w:p>
        </w:tc>
        <w:tc>
          <w:tcPr/>
          <w:p>
            <w:pPr>
              <w:pStyle w:val="Compact"/>
            </w:pPr>
            <w:r>
              <w:rPr>
                <w:rFonts w:ascii="Calibri" w:hAnsi="Calibri"/>
                <w:sz w:val="20"/>
              </w:rPr>
              <w:t xml:space="preserve">22,2%</w:t>
            </w:r>
          </w:p>
        </w:tc>
        <w:tc>
          <w:tcPr/>
          <w:p>
            <w:pPr>
              <w:pStyle w:val="Compact"/>
            </w:pPr>
            <w:r>
              <w:rPr>
                <w:rFonts w:ascii="Calibri" w:hAnsi="Calibri"/>
                <w:sz w:val="20"/>
              </w:rPr>
              <w:t xml:space="preserve">12,6%</w:t>
            </w:r>
          </w:p>
        </w:tc>
        <w:tc>
          <w:tcPr/>
          <w:p>
            <w:pPr>
              <w:pStyle w:val="Compact"/>
            </w:pPr>
            <w:r>
              <w:rPr>
                <w:rFonts w:ascii="Calibri" w:hAnsi="Calibri"/>
                <w:sz w:val="20"/>
              </w:rPr>
              <w:t xml:space="preserve">70,7</w:t>
            </w:r>
          </w:p>
        </w:tc>
      </w:tr>
      <w:tr>
        <w:tc>
          <w:tcPr/>
          <w:p>
            <w:pPr>
              <w:pStyle w:val="Compact"/>
            </w:pPr>
            <w:r>
              <w:rPr>
                <w:rFonts w:ascii="Calibri" w:hAnsi="Calibri"/>
                <w:sz w:val="20"/>
              </w:rPr>
              <w:t xml:space="preserve">Resultado primario en su media</w:t>
            </w:r>
          </w:p>
        </w:tc>
        <w:tc>
          <w:tcPr/>
          <w:p>
            <w:pPr>
              <w:pStyle w:val="Compact"/>
            </w:pPr>
            <w:r>
              <w:rPr>
                <w:rFonts w:ascii="Calibri" w:hAnsi="Calibri"/>
                <w:sz w:val="20"/>
              </w:rPr>
              <w:t xml:space="preserve">22,6%</w:t>
            </w:r>
          </w:p>
        </w:tc>
        <w:tc>
          <w:tcPr/>
          <w:p>
            <w:pPr>
              <w:pStyle w:val="Compact"/>
            </w:pPr>
            <w:r>
              <w:rPr>
                <w:rFonts w:ascii="Calibri" w:hAnsi="Calibri"/>
                <w:sz w:val="20"/>
              </w:rPr>
              <w:t xml:space="preserve">14,6%</w:t>
            </w:r>
          </w:p>
        </w:tc>
        <w:tc>
          <w:tcPr/>
          <w:p>
            <w:pPr>
              <w:pStyle w:val="Compact"/>
            </w:pPr>
            <w:r>
              <w:rPr>
                <w:rFonts w:ascii="Calibri" w:hAnsi="Calibri"/>
                <w:sz w:val="20"/>
              </w:rPr>
              <w:t xml:space="preserve">84,1</w:t>
            </w:r>
          </w:p>
        </w:tc>
      </w:tr>
    </w:tbl>
    <w:p>
      <w:pPr>
        <w:pStyle w:val="BodyText"/>
      </w:pPr>
      <w:r>
        <w:t xml:space="preserve">Fuente:</w:t>
      </w:r>
      <w:r>
        <w:t xml:space="preserve"> </w:t>
      </w:r>
      <w:r>
        <w:rPr>
          <w:rStyle w:val="VerbatimChar"/>
        </w:rPr>
        <w:t xml:space="preserve">codigo/modelos/fase25b_diagnostico_abanico_fmi.py</w:t>
      </w:r>
      <w:r>
        <w:t xml:space="preserve">.</w:t>
      </w:r>
    </w:p>
    <w:p>
      <w:pPr>
        <w:pStyle w:val="BodyText"/>
      </w:pPr>
      <w:r>
        <w:t xml:space="preserve">Un solo año, 2002, aporta un cuarto del ancho: la depreciación real de ese año (145%) aparece, con probabilidad uno en catorce, en cada bloque de dos años sorteado. La probabilidad de no estabilización, en cambio, depende sobre todo de la tasa real efectiva. Esa tasa pasó de valores positivos durante la convertibilidad (entre 6% y 9% en 1997-2001) a valores muy negativos con la inflación posterior (-56% en 2023 y -66% en 2024). El procedimiento del FMI mide los shocks como desvíos respecto de una única media para todo el período, de -17%. Así, un año como 1999 cuenta como un shock de 26 puntos de tasa real, y puede aparecer en 2030 junto con cualquier otro año de la muestra, aunque correspondan a regímenes monetarios distintos. Es una manifestación del problema que el propio FMI y el ESM (2023) señalan como desafío de su método: que la historia usada para generar el abanico sea representativa del futuro.</w:t>
      </w:r>
    </w:p>
    <w:p>
      <w:pPr>
        <w:pStyle w:val="CaptionedFigure"/>
      </w:pPr>
      <w:r>
        <w:drawing>
          <wp:inline>
            <wp:extent cx="5334000" cy="3501390"/>
            <wp:effectExtent b="0" l="0" r="0" t="0"/>
            <wp:docPr descr="Figura 7.2. Impulsores anuales de la deuda que usa la variante a la manera del FMI, 1997-2025. La tasa real efectiva pasa de valores positivos en la convertibilidad a valores muy negativos con la inflación posterior." title="" id="96" name="Picture"/>
            <a:graphic>
              <a:graphicData uri="http://schemas.openxmlformats.org/drawingml/2006/picture">
                <pic:pic>
                  <pic:nvPicPr>
                    <pic:cNvPr descr="../tesis/figuras/fig7_2_impulsores_historicos.png" id="97" name="Picture"/>
                    <pic:cNvPicPr>
                      <a:picLocks noChangeArrowheads="1" noChangeAspect="1"/>
                    </pic:cNvPicPr>
                  </pic:nvPicPr>
                  <pic:blipFill>
                    <a:blip r:embed="rId95"/>
                    <a:stretch>
                      <a:fillRect/>
                    </a:stretch>
                  </pic:blipFill>
                  <pic:spPr bwMode="auto">
                    <a:xfrm>
                      <a:off x="0" y="0"/>
                      <a:ext cx="5334000" cy="3501390"/>
                    </a:xfrm>
                    <a:prstGeom prst="rect">
                      <a:avLst/>
                    </a:prstGeom>
                    <a:noFill/>
                    <a:ln w="9525">
                      <a:noFill/>
                      <a:headEnd/>
                      <a:tailEnd/>
                    </a:ln>
                  </pic:spPr>
                </pic:pic>
              </a:graphicData>
            </a:graphic>
          </wp:inline>
        </w:drawing>
      </w:r>
    </w:p>
    <w:p>
      <w:pPr>
        <w:pStyle w:val="ImageCaption"/>
      </w:pPr>
      <w:r>
        <w:t xml:space="preserve">Figura 7.2. Impulsores anuales de la deuda que usa la variante a la manera del FMI, 1997-2025. La tasa real efectiva pasa de valores positivos en la convertibilidad a valores muy negativos con la inflación posterior.</w:t>
      </w:r>
    </w:p>
    <w:p>
      <w:pPr>
        <w:pStyle w:val="BodyText"/>
      </w:pPr>
      <w:r>
        <w:rPr>
          <w:b/>
          <w:bCs/>
        </w:rPr>
        <w:t xml:space="preserve">Qué hace distinto el SVARX.</w:t>
      </w:r>
      <w:r>
        <w:t xml:space="preserve"> </w:t>
      </w:r>
      <w:r>
        <w:t xml:space="preserve">El SVARX trata los cambios de régimen con las variables binarias de los quiebres estructurales (2001, 2006 y 2018) y separa lo que la dinámica del sistema permite anticipar de lo que es sorpresa. Solo remuestrea las sorpresas, que son menores que los desvíos respecto de una media de largo plazo. Además, la tasa en dólares se reprecia de a poco, a medida que vence la deuda. El resultado es un abanico más angosto, pero con una forma que importa: los shocks cambiarios y de riesgo son persistentes y están correlacionados entre sí, y por eso, cuando ocurren, empujan la deuda hacia arriba durante varios años seguidos. Con esa persistencia, una dispersión menor alcanza para que en 11,5% de las trayectorias el superávit del escenario base no frene la suba de la deuda en 2030.</w:t>
      </w:r>
    </w:p>
    <w:p>
      <w:pPr>
        <w:pStyle w:val="BodyText"/>
      </w:pPr>
      <w:r>
        <w:rPr>
          <w:b/>
          <w:bCs/>
        </w:rPr>
        <w:t xml:space="preserve">Lo que no se puede reproducir.</w:t>
      </w:r>
      <w:r>
        <w:t xml:space="preserve"> </w:t>
      </w:r>
      <w:r>
        <w:t xml:space="preserve">Con nuestros datos, el procedimiento del FMI da 23,0% de no estabilización, no 1%. El FMI no publica la muestra histórica ni los datos de los impulsores que usa para Argentina, así que esta diferencia no se puede descomponer con la información disponible. Las dos estimaciones de esta tesis (11,5% con el SVARX y 23,0% con el procedimiento del FMI) superan el 1%, de modo que la conclusión sobre H1b a cinco años no depende de esa elección.</w:t>
      </w:r>
    </w:p>
    <w:bookmarkEnd w:id="98"/>
    <w:bookmarkStart w:id="99" w:name="el-papel-del-superávit-primario"/>
    <w:p>
      <w:pPr>
        <w:pStyle w:val="Heading2"/>
      </w:pPr>
      <w:r>
        <w:t xml:space="preserve">7.3 El papel del superávit primario</w:t>
      </w:r>
    </w:p>
    <w:p>
      <w:pPr>
        <w:pStyle w:val="FirstParagraph"/>
      </w:pPr>
      <w:r>
        <w:t xml:space="preserve">La reacción fiscal estimada es positiva y significativa (0,051): en 1998-2025, el resultado primario respondió a la deuda, en línea con la condición de Bohn (1998). Pero el bloque fiscal explica alrededor de un quinto de la varianza de la deuda en 2035, y el cambiario y de riesgo, tres quintos. Esto respalda la idea central de H1a. El superávit es necesario, y el escenario base del FMI se apoya en él, pero no alcanza para controlar la trayectoria, porque la mayor parte del riesgo viene del tipo de cambio real y de la prima de riesgo. El resultado coincide con el diagnóstico de la restricción externa del Capítulo 3: con más de la mitad de la deuda en moneda extranjera, una depreciación real cambia el cociente de deuda aunque las cuentas fiscales estén en orden (Calvo et al., 2003).</w:t>
      </w:r>
    </w:p>
    <w:bookmarkEnd w:id="99"/>
    <w:bookmarkStart w:id="100" w:name="el-shock-de-la-fed"/>
    <w:p>
      <w:pPr>
        <w:pStyle w:val="Heading2"/>
      </w:pPr>
      <w:r>
        <w:t xml:space="preserve">7.4 El shock de la FED</w:t>
      </w:r>
    </w:p>
    <w:p>
      <w:pPr>
        <w:pStyle w:val="FirstParagraph"/>
      </w:pPr>
      <w:r>
        <w:t xml:space="preserve">El efecto de la FED depende del tamaño del shock. Una suba de medio punto no tiene un efecto distinguible. Un ciclo como el de 2022-2023 eleva la deuda en 8 puntos del PIB hacia 2035. Tres quintos de ese efecto vienen del canal más directo, el mayor costo de refinanciar la deuda en dólares, y el resto de la respuesta del riesgo país, el tipo de cambio real y el crecimiento. Las respuestas al impulso de esas variables no son significativas por separado. Esto no quiere decir que los canales indirectos no existan. Uribe y Yue (2006) y Canova (2005) los documentan con paneles y muestras más largas. Quiere decir que una sola serie argentina de 111 trimestres no alcanza para medirlos con precisión. La conclusión sobre H2 descansa, por lo tanto, sobre todo en el canal de costo.</w:t>
      </w:r>
    </w:p>
    <w:bookmarkEnd w:id="100"/>
    <w:bookmarkStart w:id="101" w:name="limitaciones"/>
    <w:p>
      <w:pPr>
        <w:pStyle w:val="Heading2"/>
      </w:pPr>
      <w:r>
        <w:t xml:space="preserve">7.5 Limitaciones</w:t>
      </w:r>
    </w:p>
    <w:p>
      <w:pPr>
        <w:pStyle w:val="Compact"/>
        <w:numPr>
          <w:ilvl w:val="0"/>
          <w:numId w:val="1008"/>
        </w:numPr>
      </w:pPr>
      <w:r>
        <w:rPr>
          <w:b/>
          <w:bCs/>
        </w:rPr>
        <w:t xml:space="preserve">Escenario base.</w:t>
      </w:r>
      <w:r>
        <w:t xml:space="preserve"> </w:t>
      </w:r>
      <w:r>
        <w:t xml:space="preserve">Todos los resultados están condicionados al escenario del FMI, que supone una tasa real efectiva negativa durante toda la década. Si la desinflación avanza más rápido de lo que supone el FMI, el efecto licuación se reduce y las probabilidades de este capítulo serían cotas inferiores.</w:t>
      </w:r>
    </w:p>
    <w:p>
      <w:pPr>
        <w:pStyle w:val="Compact"/>
        <w:numPr>
          <w:ilvl w:val="0"/>
          <w:numId w:val="1008"/>
        </w:numPr>
      </w:pPr>
      <w:r>
        <w:rPr>
          <w:b/>
          <w:bCs/>
        </w:rPr>
        <w:t xml:space="preserve">Tasas en pesos.</w:t>
      </w:r>
      <w:r>
        <w:t xml:space="preserve"> </w:t>
      </w:r>
      <w:r>
        <w:t xml:space="preserve">La especificación principal no hace depender la tasa de la deuda en pesos del riesgo país. Cuando se agrega ese canal, las probabilidades suben (8,8% a diez años, frente a 6,6%). Por eso, la especificación principal es conservadora.</w:t>
      </w:r>
    </w:p>
    <w:p>
      <w:pPr>
        <w:pStyle w:val="Compact"/>
        <w:numPr>
          <w:ilvl w:val="0"/>
          <w:numId w:val="1008"/>
        </w:numPr>
      </w:pPr>
      <w:r>
        <w:rPr>
          <w:b/>
          <w:bCs/>
        </w:rPr>
        <w:t xml:space="preserve">Robustez de H1a a la identificación.</w:t>
      </w:r>
      <w:r>
        <w:t xml:space="preserve"> </w:t>
      </w:r>
      <w:r>
        <w:t xml:space="preserve">H1a se sostiene con la identificación principal y con el orden de Cholesky que deja al shock fiscal último, pero no con el orden que pone primero al shock fiscal, que le atribuye toda la covarianza contemporánea. La conclusión sobre H1a descansa, por lo tanto, en la elasticidad cíclica de Blanchard y Perotti (2002), que es la que fundamenta la sección 4.4.</w:t>
      </w:r>
    </w:p>
    <w:p>
      <w:pPr>
        <w:pStyle w:val="Compact"/>
        <w:numPr>
          <w:ilvl w:val="0"/>
          <w:numId w:val="1008"/>
        </w:numPr>
      </w:pPr>
      <w:r>
        <w:rPr>
          <w:b/>
          <w:bCs/>
        </w:rPr>
        <w:t xml:space="preserve">Robustez de H1a al perímetro.</w:t>
      </w:r>
      <w:r>
        <w:t xml:space="preserve"> </w:t>
      </w:r>
      <w:r>
        <w:t xml:space="preserve">Con la deuda bruta, la diferencia entre los shocks no fiscales y el fiscal sigue siendo positiva (52,6 puntos), pero su intervalo de 90% incluye el cero. H1a se sostiene con las dos medidas de deuda neta, que son las que corresponden a la consolidación con el BCRA.</w:t>
      </w:r>
    </w:p>
    <w:p>
      <w:pPr>
        <w:pStyle w:val="Compact"/>
        <w:numPr>
          <w:ilvl w:val="0"/>
          <w:numId w:val="1008"/>
        </w:numPr>
      </w:pPr>
      <w:r>
        <w:rPr>
          <w:b/>
          <w:bCs/>
        </w:rPr>
        <w:t xml:space="preserve">Activos del FGS.</w:t>
      </w:r>
      <w:r>
        <w:t xml:space="preserve"> </w:t>
      </w:r>
      <w:r>
        <w:t xml:space="preserve">La deuda neta no descuenta los títulos públicos en poder del Fondo de Garantía de Sustentabilidad, porque no hay una serie trimestral pública para todo el período (Capítulo 5). Por eso la deuda neta de esta tesis queda por encima de la consolidada que informa el FMI.</w:t>
      </w:r>
    </w:p>
    <w:p>
      <w:pPr>
        <w:pStyle w:val="Compact"/>
        <w:numPr>
          <w:ilvl w:val="0"/>
          <w:numId w:val="1008"/>
        </w:numPr>
      </w:pPr>
      <w:r>
        <w:rPr>
          <w:b/>
          <w:bCs/>
        </w:rPr>
        <w:t xml:space="preserve">Autocorrelación residual.</w:t>
      </w:r>
      <w:r>
        <w:t xml:space="preserve"> </w:t>
      </w:r>
      <w:r>
        <w:t xml:space="preserve">La prueba de Portmanteau rechaza la ausencia de autocorrelación al 5% (p = 0,036). Los órdenes que la eliminarían son inestables, de modo que se mantuvo el orden estable y se informa la limitación.</w:t>
      </w:r>
    </w:p>
    <w:p>
      <w:pPr>
        <w:pStyle w:val="Compact"/>
        <w:numPr>
          <w:ilvl w:val="0"/>
          <w:numId w:val="1008"/>
        </w:numPr>
      </w:pPr>
      <w:r>
        <w:rPr>
          <w:b/>
          <w:bCs/>
        </w:rPr>
        <w:t xml:space="preserve">Precisión de los canales externos.</w:t>
      </w:r>
      <w:r>
        <w:t xml:space="preserve"> </w:t>
      </w:r>
      <w:r>
        <w:t xml:space="preserve">Las respuestas individuales a la FED no son significativas, por lo que la descomposición del efecto de H2 por canales se informa como estimación puntual.</w:t>
      </w:r>
    </w:p>
    <w:bookmarkEnd w:id="101"/>
    <w:bookmarkEnd w:id="102"/>
    <w:bookmarkStart w:id="103" w:name="conclusiones"/>
    <w:p>
      <w:pPr>
        <w:pStyle w:val="Heading1"/>
      </w:pPr>
      <w:r>
        <w:t xml:space="preserve">8. Conclusiones</w:t>
      </w:r>
    </w:p>
    <w:p>
      <w:pPr>
        <w:pStyle w:val="FirstParagraph"/>
      </w:pPr>
      <w:r>
        <w:t xml:space="preserve">Esta tesis se preguntó en qué medida el crecimiento, el tipo de cambio real, el riesgo país y el resultado primario condicionan la sostenibilidad de la deuda pública consolidada argentina (SPNF y BCRA) en 2026-2035, y cuál es la probabilidad de que no se estabilice. Para responderla se estimó un SVAR con variables exógenas sobre datos trimestrales de 1996-2025, con la deuda consolidada neta construida según el criterio del FMI (2021, anexo II), y se lo usó para simular la deuda alrededor del escenario base del FMI (2026).</w:t>
      </w:r>
    </w:p>
    <w:p>
      <w:pPr>
        <w:pStyle w:val="BodyText"/>
      </w:pPr>
      <w:r>
        <w:t xml:space="preserve">Las respuestas son tres.</w:t>
      </w:r>
    </w:p>
    <w:p>
      <w:pPr>
        <w:pStyle w:val="BodyText"/>
      </w:pPr>
      <w:r>
        <w:rPr>
          <w:b/>
          <w:bCs/>
        </w:rPr>
        <w:t xml:space="preserve">Primera (H1a).</w:t>
      </w:r>
      <w:r>
        <w:t xml:space="preserve"> </w:t>
      </w:r>
      <w:r>
        <w:t xml:space="preserve">El superávit primario, por sí solo, no basta. La política fiscal respondió a la deuda en el período (una reacción de 0,05 por punto de deuda, significativa), pero los shocks cambiarios y de riesgo explican cerca de 60% de la incertidumbre sobre la deuda en 2035, y los fiscales, alrededor de 20%. El resultado se mantiene con la deuda neta a valor libros, con el canal de tasas en pesos y sin la retroalimentación de la deuda. Con la deuda bruta, y con un ordenamiento de Cholesky que pone primero al shock fiscal, la diferencia sigue siendo positiva pero deja de ser significativa: el resultado depende de identificar el shock fiscal por su respuesta al ciclo.</w:t>
      </w:r>
    </w:p>
    <w:p>
      <w:pPr>
        <w:pStyle w:val="BodyText"/>
      </w:pPr>
      <w:r>
        <w:rPr>
          <w:b/>
          <w:bCs/>
        </w:rPr>
        <w:t xml:space="preserve">Segunda (H1b).</w:t>
      </w:r>
      <w:r>
        <w:t xml:space="preserve"> </w:t>
      </w:r>
      <w:r>
        <w:t xml:space="preserve">Con shocks identificados, la probabilidad de que la deuda consolidada no se estabilice en el horizonte de cinco años que usa el FMI es de 11,5% (entre 7,7% y 15,2%), más de diez veces el 1% que surge del análisis oficial. A diez años baja a 6,6%, y su límite inferior (3,3%) supera la cota de 3% que da el FMI para ese horizonte. El resultado se mantiene en todas las especificaciones y con el escenario base anterior del FMI. El procedimiento de shocks del FMI aplicado a los mismos datos da probabilidades todavía mayores. El diagnóstico de sostenibilidad del FMI es, por lo tanto, más optimista que el que surge de representar la incertidumbre con la dinámica histórica de la economía argentina, en los dos horizontes.</w:t>
      </w:r>
    </w:p>
    <w:p>
      <w:pPr>
        <w:pStyle w:val="BodyText"/>
      </w:pPr>
      <w:r>
        <w:rPr>
          <w:b/>
          <w:bCs/>
        </w:rPr>
        <w:t xml:space="preserve">Tercera (H2).</w:t>
      </w:r>
      <w:r>
        <w:t xml:space="preserve"> </w:t>
      </w:r>
      <w:r>
        <w:t xml:space="preserve">Un endurecimiento de la FED de la magnitud del de 2022-2023 eleva la deuda esperada en 8 puntos del PIB hacia 2035 y la probabilidad de no estabilización en 9,5 puntos. Un shock de medio punto no tiene un efecto distinguible. Tres quintos del efecto pasan por el costo de refinanciar la deuda en dólares. Los canales indirectos (riesgo país, tipo de cambio real y crecimiento) empujan en la misma dirección, pero con 30 años de datos de un solo país no se los puede medir con precisión.</w:t>
      </w:r>
    </w:p>
    <w:p>
      <w:pPr>
        <w:pStyle w:val="BodyText"/>
      </w:pPr>
      <w:r>
        <w:rPr>
          <w:b/>
          <w:bCs/>
        </w:rPr>
        <w:t xml:space="preserve">Implicancia.</w:t>
      </w:r>
      <w:r>
        <w:t xml:space="preserve"> </w:t>
      </w:r>
      <w:r>
        <w:t xml:space="preserve">El riesgo de la deuda argentina depende menos del esfuerzo fiscal, que el escenario base ya incorpora, que de la exposición al tipo de cambio real y a la prima de riesgo. Reducir la proporción de deuda en moneda extranjera y alargar los plazos atacan directamente los dos canales que dominan la varianza en esta tesis. Con eso no se reemplaza el superávit, pero se reduce la sensibilidad de la deuda a los shocks que el superávit no controla.</w:t>
      </w:r>
    </w:p>
    <w:p>
      <w:pPr>
        <w:pStyle w:val="BodyText"/>
      </w:pPr>
      <w:r>
        <w:rPr>
          <w:b/>
          <w:bCs/>
        </w:rPr>
        <w:t xml:space="preserve">Líneas de trabajo futuro.</w:t>
      </w:r>
    </w:p>
    <w:p>
      <w:pPr>
        <w:pStyle w:val="Compact"/>
        <w:numPr>
          <w:ilvl w:val="0"/>
          <w:numId w:val="1009"/>
        </w:numPr>
      </w:pPr>
      <w:r>
        <w:t xml:space="preserve">Estimar el sistema como un panel conjunto de Argentina y Chile. Levy Yeyati y Sturzenegger (2023) aplican su VAR país por país; un panel conjunto daría más precisión a las respuestas a la FED, que con una sola serie no son significativas.</w:t>
      </w:r>
    </w:p>
    <w:p>
      <w:pPr>
        <w:pStyle w:val="Compact"/>
        <w:numPr>
          <w:ilvl w:val="0"/>
          <w:numId w:val="1009"/>
        </w:numPr>
      </w:pPr>
      <w:r>
        <w:t xml:space="preserve">Reemplazar la variación de la tasa de la FED por shocks monetarios identificados con datos de alta frecuencia, que aíslan la parte no anticipada de la política de Estados Unidos.</w:t>
      </w:r>
    </w:p>
    <w:p>
      <w:pPr>
        <w:pStyle w:val="Compact"/>
        <w:numPr>
          <w:ilvl w:val="0"/>
          <w:numId w:val="1009"/>
        </w:numPr>
      </w:pPr>
      <w:r>
        <w:t xml:space="preserve">Incorporar los términos de intercambio como variable exógena, por su peso en la generación de divisas.</w:t>
      </w:r>
    </w:p>
    <w:p>
      <w:pPr>
        <w:pStyle w:val="Compact"/>
        <w:numPr>
          <w:ilvl w:val="0"/>
          <w:numId w:val="1009"/>
        </w:numPr>
      </w:pPr>
      <w:r>
        <w:t xml:space="preserve">Restar los títulos públicos en cartera del FGS cuando haya una serie pública completa, y modelar una tasa en pesos homogénea para todo el período.</w:t>
      </w:r>
    </w:p>
    <w:bookmarkEnd w:id="103"/>
    <w:bookmarkStart w:id="111" w:name="apéndice-estadístico"/>
    <w:p>
      <w:pPr>
        <w:pStyle w:val="Heading1"/>
      </w:pPr>
      <w:r>
        <w:t xml:space="preserve">Apéndice estadístico</w:t>
      </w:r>
    </w:p>
    <w:p>
      <w:pPr>
        <w:pStyle w:val="FirstParagraph"/>
      </w:pPr>
      <w:r>
        <w:t xml:space="preserve">Tablas generadas con</w:t>
      </w:r>
      <w:r>
        <w:t xml:space="preserve"> </w:t>
      </w:r>
      <w:r>
        <w:rPr>
          <w:rStyle w:val="VerbatimChar"/>
        </w:rPr>
        <w:t xml:space="preserve">codigo/modelos/apendice_tablas.py</w:t>
      </w:r>
      <w:r>
        <w:t xml:space="preserve"> </w:t>
      </w:r>
      <w:r>
        <w:t xml:space="preserve">a partir de los resultados de</w:t>
      </w:r>
      <w:r>
        <w:t xml:space="preserve"> </w:t>
      </w:r>
      <w:r>
        <w:rPr>
          <w:rStyle w:val="VerbatimChar"/>
        </w:rPr>
        <w:t xml:space="preserve">fase24_svarx_1996_2025.py</w:t>
      </w:r>
      <w:r>
        <w:t xml:space="preserve"> </w:t>
      </w:r>
      <w:r>
        <w:t xml:space="preserve">y</w:t>
      </w:r>
      <w:r>
        <w:t xml:space="preserve"> </w:t>
      </w:r>
      <w:r>
        <w:rPr>
          <w:rStyle w:val="VerbatimChar"/>
        </w:rPr>
        <w:t xml:space="preserve">fase25_simulacion_dsa_svarx.py</w:t>
      </w:r>
      <w:r>
        <w:t xml:space="preserve">.</w:t>
      </w:r>
    </w:p>
    <w:bookmarkStart w:id="104" w:name="a.0-estadísticos-descriptivos"/>
    <w:p>
      <w:pPr>
        <w:pStyle w:val="Heading2"/>
      </w:pPr>
      <w:r>
        <w:t xml:space="preserve">A.0 Estadísticos descriptivos</w:t>
      </w:r>
    </w:p>
    <w:p>
      <w:pPr>
        <w:pStyle w:val="FirstParagraph"/>
      </w:pPr>
      <w:r>
        <w:t xml:space="preserve">Muestra efectiva de estimación, 1998T2-2025T4 (111 trimestres).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Media</w:t>
            </w:r>
          </w:p>
        </w:tc>
        <w:tc>
          <w:tcPr/>
          <w:p>
            <w:pPr>
              <w:pStyle w:val="Compact"/>
            </w:pPr>
            <w:r>
              <w:rPr>
                <w:rFonts w:ascii="Calibri" w:hAnsi="Calibri"/>
                <w:sz w:val="20"/>
              </w:rPr>
              <w:t xml:space="preserve">Desvío estándar</w:t>
            </w:r>
          </w:p>
        </w:tc>
        <w:tc>
          <w:tcPr/>
          <w:p>
            <w:pPr>
              <w:pStyle w:val="Compact"/>
            </w:pPr>
            <w:r>
              <w:rPr>
                <w:rFonts w:ascii="Calibri" w:hAnsi="Calibri"/>
                <w:sz w:val="20"/>
              </w:rPr>
              <w:t xml:space="preserve">Mínimo</w:t>
            </w:r>
          </w:p>
        </w:tc>
        <w:tc>
          <w:tcPr/>
          <w:p>
            <w:pPr>
              <w:pStyle w:val="Compact"/>
            </w:pPr>
            <w:r>
              <w:rPr>
                <w:rFonts w:ascii="Calibri" w:hAnsi="Calibri"/>
                <w:sz w:val="20"/>
              </w:rPr>
              <w:t xml:space="preserve">Máximo</w:t>
            </w:r>
          </w:p>
        </w:tc>
      </w:tr>
      <w:tr>
        <w:tc>
          <w:tcPr/>
          <w:p>
            <w:pPr>
              <w:pStyle w:val="Compact"/>
            </w:pPr>
            <w:r>
              <w:rPr>
                <w:rFonts w:ascii="Calibri" w:hAnsi="Calibri"/>
                <w:sz w:val="20"/>
              </w:rPr>
              <w:t xml:space="preserve">Resultado primario (% del PIB, trimestral anualizado)</w:t>
            </w:r>
          </w:p>
        </w:tc>
        <w:tc>
          <w:tcPr/>
          <w:p>
            <w:pPr>
              <w:pStyle w:val="Compact"/>
            </w:pPr>
            <w:r>
              <w:rPr>
                <w:rFonts w:ascii="Calibri" w:hAnsi="Calibri"/>
                <w:sz w:val="20"/>
              </w:rPr>
              <w:t xml:space="preserve">-0,04</w:t>
            </w:r>
          </w:p>
        </w:tc>
        <w:tc>
          <w:tcPr/>
          <w:p>
            <w:pPr>
              <w:pStyle w:val="Compact"/>
            </w:pPr>
            <w:r>
              <w:rPr>
                <w:rFonts w:ascii="Calibri" w:hAnsi="Calibri"/>
                <w:sz w:val="20"/>
              </w:rPr>
              <w:t xml:space="preserve">3,23</w:t>
            </w:r>
          </w:p>
        </w:tc>
        <w:tc>
          <w:tcPr/>
          <w:p>
            <w:pPr>
              <w:pStyle w:val="Compact"/>
            </w:pPr>
            <w:r>
              <w:rPr>
                <w:rFonts w:ascii="Calibri" w:hAnsi="Calibri"/>
                <w:sz w:val="20"/>
              </w:rPr>
              <w:t xml:space="preserve">-12,16</w:t>
            </w:r>
          </w:p>
        </w:tc>
        <w:tc>
          <w:tcPr/>
          <w:p>
            <w:pPr>
              <w:pStyle w:val="Compact"/>
            </w:pPr>
            <w:r>
              <w:rPr>
                <w:rFonts w:ascii="Calibri" w:hAnsi="Calibri"/>
                <w:sz w:val="20"/>
              </w:rPr>
              <w:t xml:space="preserve">7,02</w:t>
            </w:r>
          </w:p>
        </w:tc>
      </w:tr>
      <w:tr>
        <w:tc>
          <w:tcPr/>
          <w:p>
            <w:pPr>
              <w:pStyle w:val="Compact"/>
            </w:pPr>
            <w:r>
              <w:rPr>
                <w:rFonts w:ascii="Calibri" w:hAnsi="Calibri"/>
                <w:sz w:val="20"/>
              </w:rPr>
              <w:t xml:space="preserve">Crecimiento real trimestral (%)</w:t>
            </w:r>
          </w:p>
        </w:tc>
        <w:tc>
          <w:tcPr/>
          <w:p>
            <w:pPr>
              <w:pStyle w:val="Compact"/>
            </w:pPr>
            <w:r>
              <w:rPr>
                <w:rFonts w:ascii="Calibri" w:hAnsi="Calibri"/>
                <w:sz w:val="20"/>
              </w:rPr>
              <w:t xml:space="preserve">0,39</w:t>
            </w:r>
          </w:p>
        </w:tc>
        <w:tc>
          <w:tcPr/>
          <w:p>
            <w:pPr>
              <w:pStyle w:val="Compact"/>
            </w:pPr>
            <w:r>
              <w:rPr>
                <w:rFonts w:ascii="Calibri" w:hAnsi="Calibri"/>
                <w:sz w:val="20"/>
              </w:rPr>
              <w:t xml:space="preserve">7,41</w:t>
            </w:r>
          </w:p>
        </w:tc>
        <w:tc>
          <w:tcPr/>
          <w:p>
            <w:pPr>
              <w:pStyle w:val="Compact"/>
            </w:pPr>
            <w:r>
              <w:rPr>
                <w:rFonts w:ascii="Calibri" w:hAnsi="Calibri"/>
                <w:sz w:val="20"/>
              </w:rPr>
              <w:t xml:space="preserve">-13,77</w:t>
            </w:r>
          </w:p>
        </w:tc>
        <w:tc>
          <w:tcPr/>
          <w:p>
            <w:pPr>
              <w:pStyle w:val="Compact"/>
            </w:pPr>
            <w:r>
              <w:rPr>
                <w:rFonts w:ascii="Calibri" w:hAnsi="Calibri"/>
                <w:sz w:val="20"/>
              </w:rPr>
              <w:t xml:space="preserve">18,21</w:t>
            </w:r>
          </w:p>
        </w:tc>
      </w:tr>
      <w:tr>
        <w:tc>
          <w:tcPr/>
          <w:p>
            <w:pPr>
              <w:pStyle w:val="Compact"/>
            </w:pPr>
            <w:r>
              <w:rPr>
                <w:rFonts w:ascii="Calibri" w:hAnsi="Calibri"/>
                <w:sz w:val="20"/>
              </w:rPr>
              <w:t xml:space="preserve">EMBI+ (puntos básicos)</w:t>
            </w:r>
          </w:p>
        </w:tc>
        <w:tc>
          <w:tcPr/>
          <w:p>
            <w:pPr>
              <w:pStyle w:val="Compact"/>
            </w:pPr>
            <w:r>
              <w:rPr>
                <w:rFonts w:ascii="Calibri" w:hAnsi="Calibri"/>
                <w:sz w:val="20"/>
              </w:rPr>
              <w:t xml:space="preserve">1.561,19</w:t>
            </w:r>
          </w:p>
        </w:tc>
        <w:tc>
          <w:tcPr/>
          <w:p>
            <w:pPr>
              <w:pStyle w:val="Compact"/>
            </w:pPr>
            <w:r>
              <w:rPr>
                <w:rFonts w:ascii="Calibri" w:hAnsi="Calibri"/>
                <w:sz w:val="20"/>
              </w:rPr>
              <w:t xml:space="preserve">1.611,94</w:t>
            </w:r>
          </w:p>
        </w:tc>
        <w:tc>
          <w:tcPr/>
          <w:p>
            <w:pPr>
              <w:pStyle w:val="Compact"/>
            </w:pPr>
            <w:r>
              <w:rPr>
                <w:rFonts w:ascii="Calibri" w:hAnsi="Calibri"/>
                <w:sz w:val="20"/>
              </w:rPr>
              <w:t xml:space="preserve">210,22</w:t>
            </w:r>
          </w:p>
        </w:tc>
        <w:tc>
          <w:tcPr/>
          <w:p>
            <w:pPr>
              <w:pStyle w:val="Compact"/>
            </w:pPr>
            <w:r>
              <w:rPr>
                <w:rFonts w:ascii="Calibri" w:hAnsi="Calibri"/>
                <w:sz w:val="20"/>
              </w:rPr>
              <w:t xml:space="preserve">6.658,98</w:t>
            </w:r>
          </w:p>
        </w:tc>
      </w:tr>
      <w:tr>
        <w:tc>
          <w:tcPr/>
          <w:p>
            <w:pPr>
              <w:pStyle w:val="Compact"/>
            </w:pPr>
            <w:r>
              <w:rPr>
                <w:rFonts w:ascii="Calibri" w:hAnsi="Calibri"/>
                <w:sz w:val="20"/>
              </w:rPr>
              <w:t xml:space="preserve">TCRM (diciembre de 2001 = 1)</w:t>
            </w:r>
          </w:p>
        </w:tc>
        <w:tc>
          <w:tcPr/>
          <w:p>
            <w:pPr>
              <w:pStyle w:val="Compact"/>
            </w:pPr>
            <w:r>
              <w:rPr>
                <w:rFonts w:ascii="Calibri" w:hAnsi="Calibri"/>
                <w:sz w:val="20"/>
              </w:rPr>
              <w:t xml:space="preserve">1,66</w:t>
            </w:r>
          </w:p>
        </w:tc>
        <w:tc>
          <w:tcPr/>
          <w:p>
            <w:pPr>
              <w:pStyle w:val="Compact"/>
            </w:pPr>
            <w:r>
              <w:rPr>
                <w:rFonts w:ascii="Calibri" w:hAnsi="Calibri"/>
                <w:sz w:val="20"/>
              </w:rPr>
              <w:t xml:space="preserve">0,45</w:t>
            </w:r>
          </w:p>
        </w:tc>
        <w:tc>
          <w:tcPr/>
          <w:p>
            <w:pPr>
              <w:pStyle w:val="Compact"/>
            </w:pPr>
            <w:r>
              <w:rPr>
                <w:rFonts w:ascii="Calibri" w:hAnsi="Calibri"/>
                <w:sz w:val="20"/>
              </w:rPr>
              <w:t xml:space="preserve">0,98</w:t>
            </w:r>
          </w:p>
        </w:tc>
        <w:tc>
          <w:tcPr/>
          <w:p>
            <w:pPr>
              <w:pStyle w:val="Compact"/>
            </w:pPr>
            <w:r>
              <w:rPr>
                <w:rFonts w:ascii="Calibri" w:hAnsi="Calibri"/>
                <w:sz w:val="20"/>
              </w:rPr>
              <w:t xml:space="preserve">2,76</w:t>
            </w:r>
          </w:p>
        </w:tc>
      </w:tr>
      <w:tr>
        <w:tc>
          <w:tcPr/>
          <w:p>
            <w:pPr>
              <w:pStyle w:val="Compact"/>
            </w:pPr>
            <w:r>
              <w:rPr>
                <w:rFonts w:ascii="Calibri" w:hAnsi="Calibri"/>
                <w:sz w:val="20"/>
              </w:rPr>
              <w:t xml:space="preserve">Deuda consolidada neta, rezagada (% del PIB)</w:t>
            </w:r>
          </w:p>
        </w:tc>
        <w:tc>
          <w:tcPr/>
          <w:p>
            <w:pPr>
              <w:pStyle w:val="Compact"/>
            </w:pPr>
            <w:r>
              <w:rPr>
                <w:rFonts w:ascii="Calibri" w:hAnsi="Calibri"/>
                <w:sz w:val="20"/>
              </w:rPr>
              <w:t xml:space="preserve">57,74</w:t>
            </w:r>
          </w:p>
        </w:tc>
        <w:tc>
          <w:tcPr/>
          <w:p>
            <w:pPr>
              <w:pStyle w:val="Compact"/>
            </w:pPr>
            <w:r>
              <w:rPr>
                <w:rFonts w:ascii="Calibri" w:hAnsi="Calibri"/>
                <w:sz w:val="20"/>
              </w:rPr>
              <w:t xml:space="preserve">27,07</w:t>
            </w:r>
          </w:p>
        </w:tc>
        <w:tc>
          <w:tcPr/>
          <w:p>
            <w:pPr>
              <w:pStyle w:val="Compact"/>
            </w:pPr>
            <w:r>
              <w:rPr>
                <w:rFonts w:ascii="Calibri" w:hAnsi="Calibri"/>
                <w:sz w:val="20"/>
              </w:rPr>
              <w:t xml:space="preserve">26,13</w:t>
            </w:r>
          </w:p>
        </w:tc>
        <w:tc>
          <w:tcPr/>
          <w:p>
            <w:pPr>
              <w:pStyle w:val="Compact"/>
            </w:pPr>
            <w:r>
              <w:rPr>
                <w:rFonts w:ascii="Calibri" w:hAnsi="Calibri"/>
                <w:sz w:val="20"/>
              </w:rPr>
              <w:t xml:space="preserve">136,60</w:t>
            </w:r>
          </w:p>
        </w:tc>
      </w:tr>
      <w:tr>
        <w:tc>
          <w:tcPr/>
          <w:p>
            <w:pPr>
              <w:pStyle w:val="Compact"/>
            </w:pPr>
            <w:r>
              <w:rPr>
                <w:rFonts w:ascii="Calibri" w:hAnsi="Calibri"/>
                <w:sz w:val="20"/>
              </w:rPr>
              <w:t xml:space="preserve">Variación de la tasa de la FED (puntos)</w:t>
            </w:r>
          </w:p>
        </w:tc>
        <w:tc>
          <w:tcPr/>
          <w:p>
            <w:pPr>
              <w:pStyle w:val="Compact"/>
            </w:pPr>
            <w:r>
              <w:rPr>
                <w:rFonts w:ascii="Calibri" w:hAnsi="Calibri"/>
                <w:sz w:val="20"/>
              </w:rPr>
              <w:t xml:space="preserve">-0,01</w:t>
            </w:r>
          </w:p>
        </w:tc>
        <w:tc>
          <w:tcPr/>
          <w:p>
            <w:pPr>
              <w:pStyle w:val="Compact"/>
            </w:pPr>
            <w:r>
              <w:rPr>
                <w:rFonts w:ascii="Calibri" w:hAnsi="Calibri"/>
                <w:sz w:val="20"/>
              </w:rPr>
              <w:t xml:space="preserve">0,52</w:t>
            </w:r>
          </w:p>
        </w:tc>
        <w:tc>
          <w:tcPr/>
          <w:p>
            <w:pPr>
              <w:pStyle w:val="Compact"/>
            </w:pPr>
            <w:r>
              <w:rPr>
                <w:rFonts w:ascii="Calibri" w:hAnsi="Calibri"/>
                <w:sz w:val="20"/>
              </w:rPr>
              <w:t xml:space="preserve">-1,43</w:t>
            </w:r>
          </w:p>
        </w:tc>
        <w:tc>
          <w:tcPr/>
          <w:p>
            <w:pPr>
              <w:pStyle w:val="Compact"/>
            </w:pPr>
            <w:r>
              <w:rPr>
                <w:rFonts w:ascii="Calibri" w:hAnsi="Calibri"/>
                <w:sz w:val="20"/>
              </w:rPr>
              <w:t xml:space="preserve">1,69</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20,20</w:t>
            </w:r>
          </w:p>
        </w:tc>
        <w:tc>
          <w:tcPr/>
          <w:p>
            <w:pPr>
              <w:pStyle w:val="Compact"/>
            </w:pPr>
            <w:r>
              <w:rPr>
                <w:rFonts w:ascii="Calibri" w:hAnsi="Calibri"/>
                <w:sz w:val="20"/>
              </w:rPr>
              <w:t xml:space="preserve">7,33</w:t>
            </w:r>
          </w:p>
        </w:tc>
        <w:tc>
          <w:tcPr/>
          <w:p>
            <w:pPr>
              <w:pStyle w:val="Compact"/>
            </w:pPr>
            <w:r>
              <w:rPr>
                <w:rFonts w:ascii="Calibri" w:hAnsi="Calibri"/>
                <w:sz w:val="20"/>
              </w:rPr>
              <w:t xml:space="preserve">10,31</w:t>
            </w:r>
          </w:p>
        </w:tc>
        <w:tc>
          <w:tcPr/>
          <w:p>
            <w:pPr>
              <w:pStyle w:val="Compact"/>
            </w:pPr>
            <w:r>
              <w:rPr>
                <w:rFonts w:ascii="Calibri" w:hAnsi="Calibri"/>
                <w:sz w:val="20"/>
              </w:rPr>
              <w:t xml:space="preserve">58,60</w:t>
            </w:r>
          </w:p>
        </w:tc>
      </w:tr>
    </w:tbl>
    <w:bookmarkEnd w:id="104"/>
    <w:bookmarkStart w:id="105" w:name="a.1-propiedades-de-las-series"/>
    <w:p>
      <w:pPr>
        <w:pStyle w:val="Heading2"/>
      </w:pPr>
      <w:r>
        <w:t xml:space="preserve">A.1 Propiedades de las series</w:t>
      </w:r>
    </w:p>
    <w:p>
      <w:pPr>
        <w:pStyle w:val="FirstParagraph"/>
      </w:pPr>
      <w:r>
        <w:rPr>
          <w:b/>
          <w:bCs/>
        </w:rPr>
        <w:t xml:space="preserve">Raíz unitaria.</w:t>
      </w:r>
      <w:r>
        <w:t xml:space="preserve"> </w:t>
      </w:r>
      <w:r>
        <w:t xml:space="preserve">ADF (Dickey y Fuller, 1979; hipótesis nula: raíz unitaria) y KPSS (Kwiatkowski et al., 1992; hipótesis nula: estacionariedad), con constante. Una serie se clasifica como estacionaria solo si ADF rechaza y KPSS no rechaza al 5%, y con raíz unitaria en el caso inverso. Zivot y Andrews (1992) permiten un quiebre endógeno en el nivel. Muestra 1996T4-2025T4.</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Serie</w:t>
            </w:r>
          </w:p>
        </w:tc>
        <w:tc>
          <w:tcPr/>
          <w:p>
            <w:pPr>
              <w:pStyle w:val="Compact"/>
            </w:pPr>
            <w:r>
              <w:rPr>
                <w:rFonts w:ascii="Calibri" w:hAnsi="Calibri"/>
                <w:sz w:val="20"/>
              </w:rPr>
              <w:t xml:space="preserve">ADF (p)</w:t>
            </w:r>
          </w:p>
        </w:tc>
        <w:tc>
          <w:tcPr/>
          <w:p>
            <w:pPr>
              <w:pStyle w:val="Compact"/>
            </w:pPr>
            <w:r>
              <w:rPr>
                <w:rFonts w:ascii="Calibri" w:hAnsi="Calibri"/>
                <w:sz w:val="20"/>
              </w:rPr>
              <w:t xml:space="preserve">KPSS (p)</w:t>
            </w:r>
          </w:p>
        </w:tc>
        <w:tc>
          <w:tcPr/>
          <w:p>
            <w:pPr>
              <w:pStyle w:val="Compact"/>
            </w:pPr>
            <w:r>
              <w:rPr>
                <w:rFonts w:ascii="Calibri" w:hAnsi="Calibri"/>
                <w:sz w:val="20"/>
              </w:rPr>
              <w:t xml:space="preserve">Clasificación</w:t>
            </w:r>
          </w:p>
        </w:tc>
        <w:tc>
          <w:tcPr/>
          <w:p>
            <w:pPr>
              <w:pStyle w:val="Compact"/>
            </w:pPr>
            <w:r>
              <w:rPr>
                <w:rFonts w:ascii="Calibri" w:hAnsi="Calibri"/>
                <w:sz w:val="20"/>
              </w:rPr>
              <w:t xml:space="preserve">Zivot-Andrews (p)</w:t>
            </w:r>
          </w:p>
        </w:tc>
        <w:tc>
          <w:tcPr/>
          <w:p>
            <w:pPr>
              <w:pStyle w:val="Compact"/>
            </w:pPr>
            <w:r>
              <w:rPr>
                <w:rFonts w:ascii="Calibri" w:hAnsi="Calibri"/>
                <w:sz w:val="20"/>
              </w:rPr>
              <w:t xml:space="preserve">Quiebre de Zivot-Andrews</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0,591</w:t>
            </w:r>
          </w:p>
        </w:tc>
        <w:tc>
          <w:tcPr/>
          <w:p>
            <w:pPr>
              <w:pStyle w:val="Compact"/>
            </w:pPr>
            <w:r>
              <w:rPr>
                <w:rFonts w:ascii="Calibri" w:hAnsi="Calibri"/>
                <w:sz w:val="20"/>
              </w:rPr>
              <w:t xml:space="preserve">0,010</w:t>
            </w:r>
          </w:p>
        </w:tc>
        <w:tc>
          <w:tcPr/>
          <w:p>
            <w:pPr>
              <w:pStyle w:val="Compact"/>
            </w:pPr>
            <w:r>
              <w:rPr>
                <w:rFonts w:ascii="Calibri" w:hAnsi="Calibri"/>
                <w:sz w:val="20"/>
              </w:rPr>
              <w:t xml:space="preserve">raíz unitaria</w:t>
            </w:r>
          </w:p>
        </w:tc>
        <w:tc>
          <w:tcPr/>
          <w:p>
            <w:pPr>
              <w:pStyle w:val="Compact"/>
            </w:pPr>
            <w:r>
              <w:rPr>
                <w:rFonts w:ascii="Calibri" w:hAnsi="Calibri"/>
                <w:sz w:val="20"/>
              </w:rPr>
              <w:t xml:space="preserve">0,982</w:t>
            </w:r>
          </w:p>
        </w:tc>
        <w:tc>
          <w:tcPr/>
          <w:p>
            <w:pPr>
              <w:pStyle w:val="Compact"/>
            </w:pPr>
            <w:r>
              <w:rPr>
                <w:rFonts w:ascii="Calibri" w:hAnsi="Calibri"/>
                <w:sz w:val="20"/>
              </w:rPr>
              <w:t xml:space="preserve">2011T2</w:t>
            </w:r>
          </w:p>
        </w:tc>
      </w:tr>
      <w:tr>
        <w:tc>
          <w:tcPr/>
          <w:p>
            <w:pPr>
              <w:pStyle w:val="Compact"/>
            </w:pPr>
            <w:r>
              <w:rPr>
                <w:rFonts w:ascii="Calibri" w:hAnsi="Calibri"/>
                <w:sz w:val="20"/>
              </w:rPr>
              <w:t xml:space="preserve">Crecimiento real</w:t>
            </w:r>
          </w:p>
        </w:tc>
        <w:tc>
          <w:tcPr/>
          <w:p>
            <w:pPr>
              <w:pStyle w:val="Compact"/>
            </w:pPr>
            <w:r>
              <w:rPr>
                <w:rFonts w:ascii="Calibri" w:hAnsi="Calibri"/>
                <w:sz w:val="20"/>
              </w:rPr>
              <w:t xml:space="preserve">0,053</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0,236</w:t>
            </w:r>
          </w:p>
        </w:tc>
        <w:tc>
          <w:tcPr/>
          <w:p>
            <w:pPr>
              <w:pStyle w:val="Compact"/>
            </w:pPr>
            <w:r>
              <w:rPr>
                <w:rFonts w:ascii="Calibri" w:hAnsi="Calibri"/>
                <w:sz w:val="20"/>
              </w:rPr>
              <w:t xml:space="preserve">2003T1</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0,151</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0,087</w:t>
            </w:r>
          </w:p>
        </w:tc>
        <w:tc>
          <w:tcPr/>
          <w:p>
            <w:pPr>
              <w:pStyle w:val="Compact"/>
            </w:pPr>
            <w:r>
              <w:rPr>
                <w:rFonts w:ascii="Calibri" w:hAnsi="Calibri"/>
                <w:sz w:val="20"/>
              </w:rPr>
              <w:t xml:space="preserve">2005T2</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0,250</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0,000</w:t>
            </w:r>
          </w:p>
        </w:tc>
        <w:tc>
          <w:tcPr/>
          <w:p>
            <w:pPr>
              <w:pStyle w:val="Compact"/>
            </w:pPr>
            <w:r>
              <w:rPr>
                <w:rFonts w:ascii="Calibri" w:hAnsi="Calibri"/>
                <w:sz w:val="20"/>
              </w:rPr>
              <w:t xml:space="preserve">2001T4</w:t>
            </w:r>
          </w:p>
        </w:tc>
      </w:tr>
      <w:tr>
        <w:tc>
          <w:tcPr/>
          <w:p>
            <w:pPr>
              <w:pStyle w:val="Compact"/>
            </w:pPr>
            <w:r>
              <w:rPr>
                <w:rFonts w:ascii="Calibri" w:hAnsi="Calibri"/>
                <w:sz w:val="20"/>
              </w:rPr>
              <w:t xml:space="preserve">Deuda consolidada neta</w:t>
            </w:r>
          </w:p>
        </w:tc>
        <w:tc>
          <w:tcPr/>
          <w:p>
            <w:pPr>
              <w:pStyle w:val="Compact"/>
            </w:pPr>
            <w:r>
              <w:rPr>
                <w:rFonts w:ascii="Calibri" w:hAnsi="Calibri"/>
                <w:sz w:val="20"/>
              </w:rPr>
              <w:t xml:space="preserve">0,099</w:t>
            </w:r>
          </w:p>
        </w:tc>
        <w:tc>
          <w:tcPr/>
          <w:p>
            <w:pPr>
              <w:pStyle w:val="Compact"/>
            </w:pPr>
            <w:r>
              <w:rPr>
                <w:rFonts w:ascii="Calibri" w:hAnsi="Calibri"/>
                <w:sz w:val="20"/>
              </w:rPr>
              <w:t xml:space="preserve">0,100</w:t>
            </w:r>
          </w:p>
        </w:tc>
        <w:tc>
          <w:tcPr/>
          <w:p>
            <w:pPr>
              <w:pStyle w:val="Compact"/>
            </w:pPr>
            <w:r>
              <w:rPr>
                <w:rFonts w:ascii="Calibri" w:hAnsi="Calibri"/>
                <w:sz w:val="20"/>
              </w:rPr>
              <w:t xml:space="preserve">ambigua</w:t>
            </w:r>
          </w:p>
        </w:tc>
        <w:tc>
          <w:tcPr/>
          <w:p>
            <w:pPr>
              <w:pStyle w:val="Compact"/>
            </w:pPr>
            <w:r>
              <w:rPr>
                <w:rFonts w:ascii="Calibri" w:hAnsi="Calibri"/>
                <w:sz w:val="20"/>
              </w:rPr>
              <w:t xml:space="preserve">0,575</w:t>
            </w:r>
          </w:p>
        </w:tc>
        <w:tc>
          <w:tcPr/>
          <w:p>
            <w:pPr>
              <w:pStyle w:val="Compact"/>
            </w:pPr>
            <w:r>
              <w:rPr>
                <w:rFonts w:ascii="Calibri" w:hAnsi="Calibri"/>
                <w:sz w:val="20"/>
              </w:rPr>
              <w:t xml:space="preserve">2005T1</w:t>
            </w:r>
          </w:p>
        </w:tc>
      </w:tr>
      <w:tr>
        <w:tc>
          <w:tcPr/>
          <w:p>
            <w:pPr>
              <w:pStyle w:val="Compact"/>
            </w:pPr>
            <w:r>
              <w:rPr>
                <w:rFonts w:ascii="Calibri" w:hAnsi="Calibri"/>
                <w:sz w:val="20"/>
              </w:rPr>
              <w:t xml:space="preserve">Tasa de la FED (nivel)</w:t>
            </w:r>
          </w:p>
        </w:tc>
        <w:tc>
          <w:tcPr/>
          <w:p>
            <w:pPr>
              <w:pStyle w:val="Compact"/>
            </w:pPr>
            <w:r>
              <w:rPr>
                <w:rFonts w:ascii="Calibri" w:hAnsi="Calibri"/>
                <w:sz w:val="20"/>
              </w:rPr>
              <w:t xml:space="preserve">0,019</w:t>
            </w:r>
          </w:p>
        </w:tc>
        <w:tc>
          <w:tcPr/>
          <w:p>
            <w:pPr>
              <w:pStyle w:val="Compact"/>
            </w:pPr>
            <w:r>
              <w:rPr>
                <w:rFonts w:ascii="Calibri" w:hAnsi="Calibri"/>
                <w:sz w:val="20"/>
              </w:rPr>
              <w:t xml:space="preserve">0,047</w:t>
            </w:r>
          </w:p>
        </w:tc>
        <w:tc>
          <w:tcPr/>
          <w:p>
            <w:pPr>
              <w:pStyle w:val="Compact"/>
            </w:pPr>
            <w:r>
              <w:rPr>
                <w:rFonts w:ascii="Calibri" w:hAnsi="Calibri"/>
                <w:sz w:val="20"/>
              </w:rPr>
              <w:t xml:space="preserve">ambigua</w:t>
            </w:r>
          </w:p>
        </w:tc>
        <w:tc>
          <w:tcPr/>
          <w:p>
            <w:pPr>
              <w:pStyle w:val="Compact"/>
            </w:pPr>
            <w:r>
              <w:rPr>
                <w:rFonts w:ascii="Calibri" w:hAnsi="Calibri"/>
                <w:sz w:val="20"/>
              </w:rPr>
              <w:t xml:space="preserve">0,020</w:t>
            </w:r>
          </w:p>
        </w:tc>
        <w:tc>
          <w:tcPr/>
          <w:p>
            <w:pPr>
              <w:pStyle w:val="Compact"/>
            </w:pPr>
            <w:r>
              <w:rPr>
                <w:rFonts w:ascii="Calibri" w:hAnsi="Calibri"/>
                <w:sz w:val="20"/>
              </w:rPr>
              <w:t xml:space="preserve">2021T2</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0,000</w:t>
            </w:r>
          </w:p>
        </w:tc>
        <w:tc>
          <w:tcPr/>
          <w:p>
            <w:pPr>
              <w:pStyle w:val="Compact"/>
            </w:pPr>
            <w:r>
              <w:rPr>
                <w:rFonts w:ascii="Calibri" w:hAnsi="Calibri"/>
                <w:sz w:val="20"/>
              </w:rPr>
              <w:t xml:space="preserve">0,100</w:t>
            </w:r>
          </w:p>
        </w:tc>
        <w:tc>
          <w:tcPr/>
          <w:p>
            <w:pPr>
              <w:pStyle w:val="Compact"/>
            </w:pPr>
            <w:r>
              <w:rPr>
                <w:rFonts w:ascii="Calibri" w:hAnsi="Calibri"/>
                <w:sz w:val="20"/>
              </w:rPr>
              <w:t xml:space="preserve">estacionaria</w:t>
            </w:r>
          </w:p>
        </w:tc>
        <w:tc>
          <w:tcPr/>
          <w:p>
            <w:pPr>
              <w:pStyle w:val="Compact"/>
            </w:pPr>
            <w:r>
              <w:rPr>
                <w:rFonts w:ascii="Calibri" w:hAnsi="Calibri"/>
                <w:sz w:val="20"/>
              </w:rPr>
              <w:t xml:space="preserve">0,028</w:t>
            </w:r>
          </w:p>
        </w:tc>
        <w:tc>
          <w:tcPr/>
          <w:p>
            <w:pPr>
              <w:pStyle w:val="Compact"/>
            </w:pPr>
            <w:r>
              <w:rPr>
                <w:rFonts w:ascii="Calibri" w:hAnsi="Calibri"/>
                <w:sz w:val="20"/>
              </w:rPr>
              <w:t xml:space="preserve">2019T4</w:t>
            </w:r>
          </w:p>
        </w:tc>
      </w:tr>
    </w:tbl>
    <w:p>
      <w:pPr>
        <w:pStyle w:val="BodyText"/>
      </w:pPr>
      <w:r>
        <w:rPr>
          <w:b/>
          <w:bCs/>
        </w:rPr>
        <w:t xml:space="preserve">Quiebres estructurales.</w:t>
      </w:r>
      <w:r>
        <w:t xml:space="preserve"> </w:t>
      </w:r>
      <w:r>
        <w:t xml:space="preserve">El procedimiento de Bai y Perron (2003) sobre la media de la deuda consolidada neta, con el número de quiebres elegido por el criterio de Schwarz, encuentra 3 quiebres: 2001T4, 2006T2 y 2018T1. Son los que entran como variables binarias en el SVARX.</w:t>
      </w:r>
    </w:p>
    <w:p>
      <w:pPr>
        <w:pStyle w:val="BodyText"/>
      </w:pPr>
      <w:r>
        <w:rPr>
          <w:b/>
          <w:bCs/>
        </w:rPr>
        <w:t xml:space="preserve">Cointegración.</w:t>
      </w:r>
      <w:r>
        <w:t xml:space="preserve"> </w:t>
      </w:r>
      <w:r>
        <w:t xml:space="preserve">Prueba de la traza de Johansen (1991) sobre las variables en niveles (resultado primario, EMBI+, TCRM y deuda), con los rezagos del VAR. El crecimiento se excluye porque es una tasa de variación: incluido, genera por sí solo una relación de cointegración trivial.</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Hipótesis nula</w:t>
            </w:r>
          </w:p>
        </w:tc>
        <w:tc>
          <w:tcPr/>
          <w:p>
            <w:pPr>
              <w:pStyle w:val="Compact"/>
            </w:pPr>
            <w:r>
              <w:rPr>
                <w:rFonts w:ascii="Calibri" w:hAnsi="Calibri"/>
                <w:sz w:val="20"/>
              </w:rPr>
              <w:t xml:space="preserve">Traza</w:t>
            </w:r>
          </w:p>
        </w:tc>
        <w:tc>
          <w:tcPr/>
          <w:p>
            <w:pPr>
              <w:pStyle w:val="Compact"/>
            </w:pPr>
            <w:r>
              <w:rPr>
                <w:rFonts w:ascii="Calibri" w:hAnsi="Calibri"/>
                <w:sz w:val="20"/>
              </w:rPr>
              <w:t xml:space="preserve">Valor crítico 5%</w:t>
            </w:r>
          </w:p>
        </w:tc>
        <w:tc>
          <w:tcPr/>
          <w:p>
            <w:pPr>
              <w:pStyle w:val="Compact"/>
            </w:pPr>
            <w:r>
              <w:rPr>
                <w:rFonts w:ascii="Calibri" w:hAnsi="Calibri"/>
                <w:sz w:val="20"/>
              </w:rPr>
              <w:t xml:space="preserve">Rechaza</w:t>
            </w:r>
          </w:p>
        </w:tc>
      </w:tr>
      <w:tr>
        <w:tc>
          <w:tcPr/>
          <w:p>
            <w:pPr>
              <w:pStyle w:val="Compact"/>
            </w:pPr>
            <w:r>
              <w:rPr>
                <w:rFonts w:ascii="Calibri" w:hAnsi="Calibri"/>
                <w:sz w:val="20"/>
              </w:rPr>
              <w:t xml:space="preserve">rango ≤ 0</w:t>
            </w:r>
          </w:p>
        </w:tc>
        <w:tc>
          <w:tcPr/>
          <w:p>
            <w:pPr>
              <w:pStyle w:val="Compact"/>
            </w:pPr>
            <w:r>
              <w:rPr>
                <w:rFonts w:ascii="Calibri" w:hAnsi="Calibri"/>
                <w:sz w:val="20"/>
              </w:rPr>
              <w:t xml:space="preserve">43,7</w:t>
            </w:r>
          </w:p>
        </w:tc>
        <w:tc>
          <w:tcPr/>
          <w:p>
            <w:pPr>
              <w:pStyle w:val="Compact"/>
            </w:pPr>
            <w:r>
              <w:rPr>
                <w:rFonts w:ascii="Calibri" w:hAnsi="Calibri"/>
                <w:sz w:val="20"/>
              </w:rPr>
              <w:t xml:space="preserve">47,9</w:t>
            </w:r>
          </w:p>
        </w:tc>
        <w:tc>
          <w:tcPr/>
          <w:p>
            <w:pPr>
              <w:pStyle w:val="Compact"/>
            </w:pPr>
            <w:r>
              <w:rPr>
                <w:rFonts w:ascii="Calibri" w:hAnsi="Calibri"/>
                <w:sz w:val="20"/>
              </w:rPr>
              <w:t xml:space="preserve">no</w:t>
            </w:r>
          </w:p>
        </w:tc>
      </w:tr>
      <w:tr>
        <w:tc>
          <w:tcPr/>
          <w:p>
            <w:pPr>
              <w:pStyle w:val="Compact"/>
            </w:pPr>
            <w:r>
              <w:rPr>
                <w:rFonts w:ascii="Calibri" w:hAnsi="Calibri"/>
                <w:sz w:val="20"/>
              </w:rPr>
              <w:t xml:space="preserve">rango ≤ 1</w:t>
            </w:r>
          </w:p>
        </w:tc>
        <w:tc>
          <w:tcPr/>
          <w:p>
            <w:pPr>
              <w:pStyle w:val="Compact"/>
            </w:pPr>
            <w:r>
              <w:rPr>
                <w:rFonts w:ascii="Calibri" w:hAnsi="Calibri"/>
                <w:sz w:val="20"/>
              </w:rPr>
              <w:t xml:space="preserve">20,0</w:t>
            </w:r>
          </w:p>
        </w:tc>
        <w:tc>
          <w:tcPr/>
          <w:p>
            <w:pPr>
              <w:pStyle w:val="Compact"/>
            </w:pPr>
            <w:r>
              <w:rPr>
                <w:rFonts w:ascii="Calibri" w:hAnsi="Calibri"/>
                <w:sz w:val="20"/>
              </w:rPr>
              <w:t xml:space="preserve">29,8</w:t>
            </w:r>
          </w:p>
        </w:tc>
        <w:tc>
          <w:tcPr/>
          <w:p>
            <w:pPr>
              <w:pStyle w:val="Compact"/>
            </w:pPr>
            <w:r>
              <w:rPr>
                <w:rFonts w:ascii="Calibri" w:hAnsi="Calibri"/>
                <w:sz w:val="20"/>
              </w:rPr>
              <w:t xml:space="preserve">no</w:t>
            </w:r>
          </w:p>
        </w:tc>
      </w:tr>
      <w:tr>
        <w:tc>
          <w:tcPr/>
          <w:p>
            <w:pPr>
              <w:pStyle w:val="Compact"/>
            </w:pPr>
            <w:r>
              <w:rPr>
                <w:rFonts w:ascii="Calibri" w:hAnsi="Calibri"/>
                <w:sz w:val="20"/>
              </w:rPr>
              <w:t xml:space="preserve">rango ≤ 2</w:t>
            </w:r>
          </w:p>
        </w:tc>
        <w:tc>
          <w:tcPr/>
          <w:p>
            <w:pPr>
              <w:pStyle w:val="Compact"/>
            </w:pPr>
            <w:r>
              <w:rPr>
                <w:rFonts w:ascii="Calibri" w:hAnsi="Calibri"/>
                <w:sz w:val="20"/>
              </w:rPr>
              <w:t xml:space="preserve">10,8</w:t>
            </w:r>
          </w:p>
        </w:tc>
        <w:tc>
          <w:tcPr/>
          <w:p>
            <w:pPr>
              <w:pStyle w:val="Compact"/>
            </w:pPr>
            <w:r>
              <w:rPr>
                <w:rFonts w:ascii="Calibri" w:hAnsi="Calibri"/>
                <w:sz w:val="20"/>
              </w:rPr>
              <w:t xml:space="preserve">15,5</w:t>
            </w:r>
          </w:p>
        </w:tc>
        <w:tc>
          <w:tcPr/>
          <w:p>
            <w:pPr>
              <w:pStyle w:val="Compact"/>
            </w:pPr>
            <w:r>
              <w:rPr>
                <w:rFonts w:ascii="Calibri" w:hAnsi="Calibri"/>
                <w:sz w:val="20"/>
              </w:rPr>
              <w:t xml:space="preserve">no</w:t>
            </w:r>
          </w:p>
        </w:tc>
      </w:tr>
      <w:tr>
        <w:tc>
          <w:tcPr/>
          <w:p>
            <w:pPr>
              <w:pStyle w:val="Compact"/>
            </w:pPr>
            <w:r>
              <w:rPr>
                <w:rFonts w:ascii="Calibri" w:hAnsi="Calibri"/>
                <w:sz w:val="20"/>
              </w:rPr>
              <w:t xml:space="preserve">rango ≤ 3</w:t>
            </w:r>
          </w:p>
        </w:tc>
        <w:tc>
          <w:tcPr/>
          <w:p>
            <w:pPr>
              <w:pStyle w:val="Compact"/>
            </w:pPr>
            <w:r>
              <w:rPr>
                <w:rFonts w:ascii="Calibri" w:hAnsi="Calibri"/>
                <w:sz w:val="20"/>
              </w:rPr>
              <w:t xml:space="preserve">3,3</w:t>
            </w:r>
          </w:p>
        </w:tc>
        <w:tc>
          <w:tcPr/>
          <w:p>
            <w:pPr>
              <w:pStyle w:val="Compact"/>
            </w:pPr>
            <w:r>
              <w:rPr>
                <w:rFonts w:ascii="Calibri" w:hAnsi="Calibri"/>
                <w:sz w:val="20"/>
              </w:rPr>
              <w:t xml:space="preserve">3,8</w:t>
            </w:r>
          </w:p>
        </w:tc>
        <w:tc>
          <w:tcPr/>
          <w:p>
            <w:pPr>
              <w:pStyle w:val="Compact"/>
            </w:pPr>
            <w:r>
              <w:rPr>
                <w:rFonts w:ascii="Calibri" w:hAnsi="Calibri"/>
                <w:sz w:val="20"/>
              </w:rPr>
              <w:t xml:space="preserve">no</w:t>
            </w:r>
          </w:p>
        </w:tc>
      </w:tr>
    </w:tbl>
    <w:bookmarkEnd w:id="105"/>
    <w:bookmarkStart w:id="106" w:name="a.2-selección-del-orden-del-var"/>
    <w:p>
      <w:pPr>
        <w:pStyle w:val="Heading2"/>
      </w:pPr>
      <w:r>
        <w:t xml:space="preserve">A.2 Selección del orden del VAR</w:t>
      </w:r>
    </w:p>
    <w:p>
      <w:pPr>
        <w:pStyle w:val="FirstParagraph"/>
      </w:pPr>
      <w:r>
        <w:t xml:space="preserve">Muestra efectiva común 1998T2-2025T4 (111 trimestres) para todos los órdenes (sección 4.5). El orden elegido es el mayor orden estable que no supera al que minimiza el AIC.</w:t>
      </w:r>
    </w:p>
    <w:p>
      <w:pPr>
        <w:pStyle w:val="BodyText"/>
      </w:pPr>
      <w:r>
        <w:rPr>
          <w:b/>
          <w:bCs/>
        </w:rPr>
        <w:t xml:space="preserve">Deuda consolidada neta, valor nominal (principal).</w:t>
      </w:r>
      <w:r>
        <w:t xml:space="preserve"> </w:t>
      </w:r>
      <w:r>
        <w:t xml:space="preserve">Orden elegido: 3.</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12,351</w:t>
            </w:r>
          </w:p>
        </w:tc>
        <w:tc>
          <w:tcPr/>
          <w:p>
            <w:pPr>
              <w:pStyle w:val="Compact"/>
            </w:pPr>
            <w:r>
              <w:rPr>
                <w:rFonts w:ascii="Calibri" w:hAnsi="Calibri"/>
                <w:sz w:val="20"/>
              </w:rPr>
              <w:t xml:space="preserve">13,914</w:t>
            </w:r>
          </w:p>
        </w:tc>
        <w:tc>
          <w:tcPr/>
          <w:p>
            <w:pPr>
              <w:pStyle w:val="Compact"/>
            </w:pPr>
            <w:r>
              <w:rPr>
                <w:rFonts w:ascii="Calibri" w:hAnsi="Calibri"/>
                <w:sz w:val="20"/>
              </w:rPr>
              <w:t xml:space="preserve">12,985</w:t>
            </w:r>
          </w:p>
        </w:tc>
        <w:tc>
          <w:tcPr/>
          <w:p>
            <w:pPr>
              <w:pStyle w:val="Compact"/>
            </w:pPr>
            <w:r>
              <w:rPr>
                <w:rFonts w:ascii="Calibri" w:hAnsi="Calibri"/>
                <w:sz w:val="20"/>
              </w:rPr>
              <w:t xml:space="preserve">0,855</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12,052</w:t>
            </w:r>
          </w:p>
        </w:tc>
        <w:tc>
          <w:tcPr/>
          <w:p>
            <w:pPr>
              <w:pStyle w:val="Compact"/>
            </w:pPr>
            <w:r>
              <w:rPr>
                <w:rFonts w:ascii="Calibri" w:hAnsi="Calibri"/>
                <w:sz w:val="20"/>
              </w:rPr>
              <w:t xml:space="preserve">14,005</w:t>
            </w:r>
          </w:p>
        </w:tc>
        <w:tc>
          <w:tcPr/>
          <w:p>
            <w:pPr>
              <w:pStyle w:val="Compact"/>
            </w:pPr>
            <w:r>
              <w:rPr>
                <w:rFonts w:ascii="Calibri" w:hAnsi="Calibri"/>
                <w:sz w:val="20"/>
              </w:rPr>
              <w:t xml:space="preserve">12,844</w:t>
            </w:r>
          </w:p>
        </w:tc>
        <w:tc>
          <w:tcPr/>
          <w:p>
            <w:pPr>
              <w:pStyle w:val="Compact"/>
            </w:pPr>
            <w:r>
              <w:rPr>
                <w:rFonts w:ascii="Calibri" w:hAnsi="Calibri"/>
                <w:sz w:val="20"/>
              </w:rPr>
              <w:t xml:space="preserve">0,894</w:t>
            </w:r>
          </w:p>
        </w:tc>
        <w:tc>
          <w:tcPr/>
          <w:p>
            <w:pPr>
              <w:pStyle w:val="Compact"/>
            </w:pPr>
            <w:r>
              <w:rPr>
                <w:rFonts w:ascii="Calibri" w:hAnsi="Calibri"/>
                <w:sz w:val="20"/>
              </w:rPr>
              <w:t xml:space="preserve">sí</w:t>
            </w:r>
          </w:p>
        </w:tc>
        <w:tc>
          <w:tcPr/>
          <w:p>
            <w:pPr>
              <w:pStyle w:val="Compact"/>
            </w:pPr>
            <w:r>
              <w:rPr>
                <w:rFonts w:ascii="Calibri" w:hAnsi="Calibri"/>
                <w:sz w:val="20"/>
              </w:rPr>
              <w:t xml:space="preserve">0,039</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12,125</w:t>
            </w:r>
          </w:p>
        </w:tc>
        <w:tc>
          <w:tcPr/>
          <w:p>
            <w:pPr>
              <w:pStyle w:val="Compact"/>
            </w:pPr>
            <w:r>
              <w:rPr>
                <w:rFonts w:ascii="Calibri" w:hAnsi="Calibri"/>
                <w:sz w:val="20"/>
              </w:rPr>
              <w:t xml:space="preserve">14,468</w:t>
            </w:r>
          </w:p>
        </w:tc>
        <w:tc>
          <w:tcPr/>
          <w:p>
            <w:pPr>
              <w:pStyle w:val="Compact"/>
            </w:pPr>
            <w:r>
              <w:rPr>
                <w:rFonts w:ascii="Calibri" w:hAnsi="Calibri"/>
                <w:sz w:val="20"/>
              </w:rPr>
              <w:t xml:space="preserve">13,075</w:t>
            </w:r>
          </w:p>
        </w:tc>
        <w:tc>
          <w:tcPr/>
          <w:p>
            <w:pPr>
              <w:pStyle w:val="Compact"/>
            </w:pPr>
            <w:r>
              <w:rPr>
                <w:rFonts w:ascii="Calibri" w:hAnsi="Calibri"/>
                <w:sz w:val="20"/>
              </w:rPr>
              <w:t xml:space="preserve">0,964</w:t>
            </w:r>
          </w:p>
        </w:tc>
        <w:tc>
          <w:tcPr/>
          <w:p>
            <w:pPr>
              <w:pStyle w:val="Compact"/>
            </w:pPr>
            <w:r>
              <w:rPr>
                <w:rFonts w:ascii="Calibri" w:hAnsi="Calibri"/>
                <w:sz w:val="20"/>
              </w:rPr>
              <w:t xml:space="preserve">sí</w:t>
            </w:r>
          </w:p>
        </w:tc>
        <w:tc>
          <w:tcPr/>
          <w:p>
            <w:pPr>
              <w:pStyle w:val="Compact"/>
            </w:pPr>
            <w:r>
              <w:rPr>
                <w:rFonts w:ascii="Calibri" w:hAnsi="Calibri"/>
                <w:sz w:val="20"/>
              </w:rPr>
              <w:t xml:space="preserve">0,036</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12,009</w:t>
            </w:r>
          </w:p>
        </w:tc>
        <w:tc>
          <w:tcPr/>
          <w:p>
            <w:pPr>
              <w:pStyle w:val="Compact"/>
            </w:pPr>
            <w:r>
              <w:rPr>
                <w:rFonts w:ascii="Calibri" w:hAnsi="Calibri"/>
                <w:sz w:val="20"/>
              </w:rPr>
              <w:t xml:space="preserve">14,743</w:t>
            </w:r>
          </w:p>
        </w:tc>
        <w:tc>
          <w:tcPr/>
          <w:p>
            <w:pPr>
              <w:pStyle w:val="Compact"/>
            </w:pPr>
            <w:r>
              <w:rPr>
                <w:rFonts w:ascii="Calibri" w:hAnsi="Calibri"/>
                <w:sz w:val="20"/>
              </w:rPr>
              <w:t xml:space="preserve">13,118</w:t>
            </w:r>
          </w:p>
        </w:tc>
        <w:tc>
          <w:tcPr/>
          <w:p>
            <w:pPr>
              <w:pStyle w:val="Compact"/>
            </w:pPr>
            <w:r>
              <w:rPr>
                <w:rFonts w:ascii="Calibri" w:hAnsi="Calibri"/>
                <w:sz w:val="20"/>
              </w:rPr>
              <w:t xml:space="preserve">1,021</w:t>
            </w:r>
          </w:p>
        </w:tc>
        <w:tc>
          <w:tcPr/>
          <w:p>
            <w:pPr>
              <w:pStyle w:val="Compact"/>
            </w:pPr>
            <w:r>
              <w:rPr>
                <w:rFonts w:ascii="Calibri" w:hAnsi="Calibri"/>
                <w:sz w:val="20"/>
              </w:rPr>
              <w:t xml:space="preserve">no</w:t>
            </w:r>
          </w:p>
        </w:tc>
        <w:tc>
          <w:tcPr/>
          <w:p>
            <w:pPr>
              <w:pStyle w:val="Compact"/>
            </w:pPr>
            <w:r>
              <w:rPr>
                <w:rFonts w:ascii="Calibri" w:hAnsi="Calibri"/>
                <w:sz w:val="20"/>
              </w:rPr>
              <w:t xml:space="preserve">0,023</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11,939</w:t>
            </w:r>
          </w:p>
        </w:tc>
        <w:tc>
          <w:tcPr/>
          <w:p>
            <w:pPr>
              <w:pStyle w:val="Compact"/>
            </w:pPr>
            <w:r>
              <w:rPr>
                <w:rFonts w:ascii="Calibri" w:hAnsi="Calibri"/>
                <w:sz w:val="20"/>
              </w:rPr>
              <w:t xml:space="preserve">15,064</w:t>
            </w:r>
          </w:p>
        </w:tc>
        <w:tc>
          <w:tcPr/>
          <w:p>
            <w:pPr>
              <w:pStyle w:val="Compact"/>
            </w:pPr>
            <w:r>
              <w:rPr>
                <w:rFonts w:ascii="Calibri" w:hAnsi="Calibri"/>
                <w:sz w:val="20"/>
              </w:rPr>
              <w:t xml:space="preserve">13,207</w:t>
            </w:r>
          </w:p>
        </w:tc>
        <w:tc>
          <w:tcPr/>
          <w:p>
            <w:pPr>
              <w:pStyle w:val="Compact"/>
            </w:pPr>
            <w:r>
              <w:rPr>
                <w:rFonts w:ascii="Calibri" w:hAnsi="Calibri"/>
                <w:sz w:val="20"/>
              </w:rPr>
              <w:t xml:space="preserve">1,024</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11,918</w:t>
            </w:r>
          </w:p>
        </w:tc>
        <w:tc>
          <w:tcPr/>
          <w:p>
            <w:pPr>
              <w:pStyle w:val="Compact"/>
            </w:pPr>
            <w:r>
              <w:rPr>
                <w:rFonts w:ascii="Calibri" w:hAnsi="Calibri"/>
                <w:sz w:val="20"/>
              </w:rPr>
              <w:t xml:space="preserve">15,433</w:t>
            </w:r>
          </w:p>
        </w:tc>
        <w:tc>
          <w:tcPr/>
          <w:p>
            <w:pPr>
              <w:pStyle w:val="Compact"/>
            </w:pPr>
            <w:r>
              <w:rPr>
                <w:rFonts w:ascii="Calibri" w:hAnsi="Calibri"/>
                <w:sz w:val="20"/>
              </w:rPr>
              <w:t xml:space="preserve">13,344</w:t>
            </w:r>
          </w:p>
        </w:tc>
        <w:tc>
          <w:tcPr/>
          <w:p>
            <w:pPr>
              <w:pStyle w:val="Compact"/>
            </w:pPr>
            <w:r>
              <w:rPr>
                <w:rFonts w:ascii="Calibri" w:hAnsi="Calibri"/>
                <w:sz w:val="20"/>
              </w:rPr>
              <w:t xml:space="preserve">1,033</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p>
      <w:pPr>
        <w:pStyle w:val="BodyText"/>
      </w:pPr>
      <w:r>
        <w:rPr>
          <w:b/>
          <w:bCs/>
        </w:rPr>
        <w:t xml:space="preserve">Deuda consolidada neta, valor libros.</w:t>
      </w:r>
      <w:r>
        <w:t xml:space="preserve"> </w:t>
      </w:r>
      <w:r>
        <w:t xml:space="preserve">Orden elegido: 3.</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12,326</w:t>
            </w:r>
          </w:p>
        </w:tc>
        <w:tc>
          <w:tcPr/>
          <w:p>
            <w:pPr>
              <w:pStyle w:val="Compact"/>
            </w:pPr>
            <w:r>
              <w:rPr>
                <w:rFonts w:ascii="Calibri" w:hAnsi="Calibri"/>
                <w:sz w:val="20"/>
              </w:rPr>
              <w:t xml:space="preserve">13,888</w:t>
            </w:r>
          </w:p>
        </w:tc>
        <w:tc>
          <w:tcPr/>
          <w:p>
            <w:pPr>
              <w:pStyle w:val="Compact"/>
            </w:pPr>
            <w:r>
              <w:rPr>
                <w:rFonts w:ascii="Calibri" w:hAnsi="Calibri"/>
                <w:sz w:val="20"/>
              </w:rPr>
              <w:t xml:space="preserve">12,960</w:t>
            </w:r>
          </w:p>
        </w:tc>
        <w:tc>
          <w:tcPr/>
          <w:p>
            <w:pPr>
              <w:pStyle w:val="Compact"/>
            </w:pPr>
            <w:r>
              <w:rPr>
                <w:rFonts w:ascii="Calibri" w:hAnsi="Calibri"/>
                <w:sz w:val="20"/>
              </w:rPr>
              <w:t xml:space="preserve">0,855</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12,043</w:t>
            </w:r>
          </w:p>
        </w:tc>
        <w:tc>
          <w:tcPr/>
          <w:p>
            <w:pPr>
              <w:pStyle w:val="Compact"/>
            </w:pPr>
            <w:r>
              <w:rPr>
                <w:rFonts w:ascii="Calibri" w:hAnsi="Calibri"/>
                <w:sz w:val="20"/>
              </w:rPr>
              <w:t xml:space="preserve">13,996</w:t>
            </w:r>
          </w:p>
        </w:tc>
        <w:tc>
          <w:tcPr/>
          <w:p>
            <w:pPr>
              <w:pStyle w:val="Compact"/>
            </w:pPr>
            <w:r>
              <w:rPr>
                <w:rFonts w:ascii="Calibri" w:hAnsi="Calibri"/>
                <w:sz w:val="20"/>
              </w:rPr>
              <w:t xml:space="preserve">12,835</w:t>
            </w:r>
          </w:p>
        </w:tc>
        <w:tc>
          <w:tcPr/>
          <w:p>
            <w:pPr>
              <w:pStyle w:val="Compact"/>
            </w:pPr>
            <w:r>
              <w:rPr>
                <w:rFonts w:ascii="Calibri" w:hAnsi="Calibri"/>
                <w:sz w:val="20"/>
              </w:rPr>
              <w:t xml:space="preserve">0,900</w:t>
            </w:r>
          </w:p>
        </w:tc>
        <w:tc>
          <w:tcPr/>
          <w:p>
            <w:pPr>
              <w:pStyle w:val="Compact"/>
            </w:pPr>
            <w:r>
              <w:rPr>
                <w:rFonts w:ascii="Calibri" w:hAnsi="Calibri"/>
                <w:sz w:val="20"/>
              </w:rPr>
              <w:t xml:space="preserve">sí</w:t>
            </w:r>
          </w:p>
        </w:tc>
        <w:tc>
          <w:tcPr/>
          <w:p>
            <w:pPr>
              <w:pStyle w:val="Compact"/>
            </w:pPr>
            <w:r>
              <w:rPr>
                <w:rFonts w:ascii="Calibri" w:hAnsi="Calibri"/>
                <w:sz w:val="20"/>
              </w:rPr>
              <w:t xml:space="preserve">0,034</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12,122</w:t>
            </w:r>
          </w:p>
        </w:tc>
        <w:tc>
          <w:tcPr/>
          <w:p>
            <w:pPr>
              <w:pStyle w:val="Compact"/>
            </w:pPr>
            <w:r>
              <w:rPr>
                <w:rFonts w:ascii="Calibri" w:hAnsi="Calibri"/>
                <w:sz w:val="20"/>
              </w:rPr>
              <w:t xml:space="preserve">14,466</w:t>
            </w:r>
          </w:p>
        </w:tc>
        <w:tc>
          <w:tcPr/>
          <w:p>
            <w:pPr>
              <w:pStyle w:val="Compact"/>
            </w:pPr>
            <w:r>
              <w:rPr>
                <w:rFonts w:ascii="Calibri" w:hAnsi="Calibri"/>
                <w:sz w:val="20"/>
              </w:rPr>
              <w:t xml:space="preserve">13,073</w:t>
            </w:r>
          </w:p>
        </w:tc>
        <w:tc>
          <w:tcPr/>
          <w:p>
            <w:pPr>
              <w:pStyle w:val="Compact"/>
            </w:pPr>
            <w:r>
              <w:rPr>
                <w:rFonts w:ascii="Calibri" w:hAnsi="Calibri"/>
                <w:sz w:val="20"/>
              </w:rPr>
              <w:t xml:space="preserve">0,961</w:t>
            </w:r>
          </w:p>
        </w:tc>
        <w:tc>
          <w:tcPr/>
          <w:p>
            <w:pPr>
              <w:pStyle w:val="Compact"/>
            </w:pPr>
            <w:r>
              <w:rPr>
                <w:rFonts w:ascii="Calibri" w:hAnsi="Calibri"/>
                <w:sz w:val="20"/>
              </w:rPr>
              <w:t xml:space="preserve">sí</w:t>
            </w:r>
          </w:p>
        </w:tc>
        <w:tc>
          <w:tcPr/>
          <w:p>
            <w:pPr>
              <w:pStyle w:val="Compact"/>
            </w:pPr>
            <w:r>
              <w:rPr>
                <w:rFonts w:ascii="Calibri" w:hAnsi="Calibri"/>
                <w:sz w:val="20"/>
              </w:rPr>
              <w:t xml:space="preserve">0,030</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12,003</w:t>
            </w:r>
          </w:p>
        </w:tc>
        <w:tc>
          <w:tcPr/>
          <w:p>
            <w:pPr>
              <w:pStyle w:val="Compact"/>
            </w:pPr>
            <w:r>
              <w:rPr>
                <w:rFonts w:ascii="Calibri" w:hAnsi="Calibri"/>
                <w:sz w:val="20"/>
              </w:rPr>
              <w:t xml:space="preserve">14,737</w:t>
            </w:r>
          </w:p>
        </w:tc>
        <w:tc>
          <w:tcPr/>
          <w:p>
            <w:pPr>
              <w:pStyle w:val="Compact"/>
            </w:pPr>
            <w:r>
              <w:rPr>
                <w:rFonts w:ascii="Calibri" w:hAnsi="Calibri"/>
                <w:sz w:val="20"/>
              </w:rPr>
              <w:t xml:space="preserve">13,112</w:t>
            </w:r>
          </w:p>
        </w:tc>
        <w:tc>
          <w:tcPr/>
          <w:p>
            <w:pPr>
              <w:pStyle w:val="Compact"/>
            </w:pPr>
            <w:r>
              <w:rPr>
                <w:rFonts w:ascii="Calibri" w:hAnsi="Calibri"/>
                <w:sz w:val="20"/>
              </w:rPr>
              <w:t xml:space="preserve">1,014</w:t>
            </w:r>
          </w:p>
        </w:tc>
        <w:tc>
          <w:tcPr/>
          <w:p>
            <w:pPr>
              <w:pStyle w:val="Compact"/>
            </w:pPr>
            <w:r>
              <w:rPr>
                <w:rFonts w:ascii="Calibri" w:hAnsi="Calibri"/>
                <w:sz w:val="20"/>
              </w:rPr>
              <w:t xml:space="preserve">no</w:t>
            </w:r>
          </w:p>
        </w:tc>
        <w:tc>
          <w:tcPr/>
          <w:p>
            <w:pPr>
              <w:pStyle w:val="Compact"/>
            </w:pPr>
            <w:r>
              <w:rPr>
                <w:rFonts w:ascii="Calibri" w:hAnsi="Calibri"/>
                <w:sz w:val="20"/>
              </w:rPr>
              <w:t xml:space="preserve">0,021</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11,937</w:t>
            </w:r>
          </w:p>
        </w:tc>
        <w:tc>
          <w:tcPr/>
          <w:p>
            <w:pPr>
              <w:pStyle w:val="Compact"/>
            </w:pPr>
            <w:r>
              <w:rPr>
                <w:rFonts w:ascii="Calibri" w:hAnsi="Calibri"/>
                <w:sz w:val="20"/>
              </w:rPr>
              <w:t xml:space="preserve">15,062</w:t>
            </w:r>
          </w:p>
        </w:tc>
        <w:tc>
          <w:tcPr/>
          <w:p>
            <w:pPr>
              <w:pStyle w:val="Compact"/>
            </w:pPr>
            <w:r>
              <w:rPr>
                <w:rFonts w:ascii="Calibri" w:hAnsi="Calibri"/>
                <w:sz w:val="20"/>
              </w:rPr>
              <w:t xml:space="preserve">13,205</w:t>
            </w:r>
          </w:p>
        </w:tc>
        <w:tc>
          <w:tcPr/>
          <w:p>
            <w:pPr>
              <w:pStyle w:val="Compact"/>
            </w:pPr>
            <w:r>
              <w:rPr>
                <w:rFonts w:ascii="Calibri" w:hAnsi="Calibri"/>
                <w:sz w:val="20"/>
              </w:rPr>
              <w:t xml:space="preserve">1,017</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11,918</w:t>
            </w:r>
          </w:p>
        </w:tc>
        <w:tc>
          <w:tcPr/>
          <w:p>
            <w:pPr>
              <w:pStyle w:val="Compact"/>
            </w:pPr>
            <w:r>
              <w:rPr>
                <w:rFonts w:ascii="Calibri" w:hAnsi="Calibri"/>
                <w:sz w:val="20"/>
              </w:rPr>
              <w:t xml:space="preserve">15,433</w:t>
            </w:r>
          </w:p>
        </w:tc>
        <w:tc>
          <w:tcPr/>
          <w:p>
            <w:pPr>
              <w:pStyle w:val="Compact"/>
            </w:pPr>
            <w:r>
              <w:rPr>
                <w:rFonts w:ascii="Calibri" w:hAnsi="Calibri"/>
                <w:sz w:val="20"/>
              </w:rPr>
              <w:t xml:space="preserve">13,344</w:t>
            </w:r>
          </w:p>
        </w:tc>
        <w:tc>
          <w:tcPr/>
          <w:p>
            <w:pPr>
              <w:pStyle w:val="Compact"/>
            </w:pPr>
            <w:r>
              <w:rPr>
                <w:rFonts w:ascii="Calibri" w:hAnsi="Calibri"/>
                <w:sz w:val="20"/>
              </w:rPr>
              <w:t xml:space="preserve">1,015</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p>
      <w:pPr>
        <w:pStyle w:val="BodyText"/>
      </w:pPr>
      <w:r>
        <w:rPr>
          <w:b/>
          <w:bCs/>
        </w:rPr>
        <w:t xml:space="preserve">Deuda consolidada bruta.</w:t>
      </w:r>
      <w:r>
        <w:t xml:space="preserve"> </w:t>
      </w:r>
      <w:r>
        <w:t xml:space="preserve">Orden elegido: 4.</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12,378</w:t>
            </w:r>
          </w:p>
        </w:tc>
        <w:tc>
          <w:tcPr/>
          <w:p>
            <w:pPr>
              <w:pStyle w:val="Compact"/>
            </w:pPr>
            <w:r>
              <w:rPr>
                <w:rFonts w:ascii="Calibri" w:hAnsi="Calibri"/>
                <w:sz w:val="20"/>
              </w:rPr>
              <w:t xml:space="preserve">13,940</w:t>
            </w:r>
          </w:p>
        </w:tc>
        <w:tc>
          <w:tcPr/>
          <w:p>
            <w:pPr>
              <w:pStyle w:val="Compact"/>
            </w:pPr>
            <w:r>
              <w:rPr>
                <w:rFonts w:ascii="Calibri" w:hAnsi="Calibri"/>
                <w:sz w:val="20"/>
              </w:rPr>
              <w:t xml:space="preserve">13,011</w:t>
            </w:r>
          </w:p>
        </w:tc>
        <w:tc>
          <w:tcPr/>
          <w:p>
            <w:pPr>
              <w:pStyle w:val="Compact"/>
            </w:pPr>
            <w:r>
              <w:rPr>
                <w:rFonts w:ascii="Calibri" w:hAnsi="Calibri"/>
                <w:sz w:val="20"/>
              </w:rPr>
              <w:t xml:space="preserve">0,818</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12,082</w:t>
            </w:r>
          </w:p>
        </w:tc>
        <w:tc>
          <w:tcPr/>
          <w:p>
            <w:pPr>
              <w:pStyle w:val="Compact"/>
            </w:pPr>
            <w:r>
              <w:rPr>
                <w:rFonts w:ascii="Calibri" w:hAnsi="Calibri"/>
                <w:sz w:val="20"/>
              </w:rPr>
              <w:t xml:space="preserve">14,034</w:t>
            </w:r>
          </w:p>
        </w:tc>
        <w:tc>
          <w:tcPr/>
          <w:p>
            <w:pPr>
              <w:pStyle w:val="Compact"/>
            </w:pPr>
            <w:r>
              <w:rPr>
                <w:rFonts w:ascii="Calibri" w:hAnsi="Calibri"/>
                <w:sz w:val="20"/>
              </w:rPr>
              <w:t xml:space="preserve">12,874</w:t>
            </w:r>
          </w:p>
        </w:tc>
        <w:tc>
          <w:tcPr/>
          <w:p>
            <w:pPr>
              <w:pStyle w:val="Compact"/>
            </w:pPr>
            <w:r>
              <w:rPr>
                <w:rFonts w:ascii="Calibri" w:hAnsi="Calibri"/>
                <w:sz w:val="20"/>
              </w:rPr>
              <w:t xml:space="preserve">0,840</w:t>
            </w:r>
          </w:p>
        </w:tc>
        <w:tc>
          <w:tcPr/>
          <w:p>
            <w:pPr>
              <w:pStyle w:val="Compact"/>
            </w:pPr>
            <w:r>
              <w:rPr>
                <w:rFonts w:ascii="Calibri" w:hAnsi="Calibri"/>
                <w:sz w:val="20"/>
              </w:rPr>
              <w:t xml:space="preserve">sí</w:t>
            </w:r>
          </w:p>
        </w:tc>
        <w:tc>
          <w:tcPr/>
          <w:p>
            <w:pPr>
              <w:pStyle w:val="Compact"/>
            </w:pPr>
            <w:r>
              <w:rPr>
                <w:rFonts w:ascii="Calibri" w:hAnsi="Calibri"/>
                <w:sz w:val="20"/>
              </w:rPr>
              <w:t xml:space="preserve">0,071</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12,170</w:t>
            </w:r>
          </w:p>
        </w:tc>
        <w:tc>
          <w:tcPr/>
          <w:p>
            <w:pPr>
              <w:pStyle w:val="Compact"/>
            </w:pPr>
            <w:r>
              <w:rPr>
                <w:rFonts w:ascii="Calibri" w:hAnsi="Calibri"/>
                <w:sz w:val="20"/>
              </w:rPr>
              <w:t xml:space="preserve">14,514</w:t>
            </w:r>
          </w:p>
        </w:tc>
        <w:tc>
          <w:tcPr/>
          <w:p>
            <w:pPr>
              <w:pStyle w:val="Compact"/>
            </w:pPr>
            <w:r>
              <w:rPr>
                <w:rFonts w:ascii="Calibri" w:hAnsi="Calibri"/>
                <w:sz w:val="20"/>
              </w:rPr>
              <w:t xml:space="preserve">13,121</w:t>
            </w:r>
          </w:p>
        </w:tc>
        <w:tc>
          <w:tcPr/>
          <w:p>
            <w:pPr>
              <w:pStyle w:val="Compact"/>
            </w:pPr>
            <w:r>
              <w:rPr>
                <w:rFonts w:ascii="Calibri" w:hAnsi="Calibri"/>
                <w:sz w:val="20"/>
              </w:rPr>
              <w:t xml:space="preserve">0,923</w:t>
            </w:r>
          </w:p>
        </w:tc>
        <w:tc>
          <w:tcPr/>
          <w:p>
            <w:pPr>
              <w:pStyle w:val="Compact"/>
            </w:pPr>
            <w:r>
              <w:rPr>
                <w:rFonts w:ascii="Calibri" w:hAnsi="Calibri"/>
                <w:sz w:val="20"/>
              </w:rPr>
              <w:t xml:space="preserve">sí</w:t>
            </w:r>
          </w:p>
        </w:tc>
        <w:tc>
          <w:tcPr/>
          <w:p>
            <w:pPr>
              <w:pStyle w:val="Compact"/>
            </w:pPr>
            <w:r>
              <w:rPr>
                <w:rFonts w:ascii="Calibri" w:hAnsi="Calibri"/>
                <w:sz w:val="20"/>
              </w:rPr>
              <w:t xml:space="preserve">0,035</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12,057</w:t>
            </w:r>
          </w:p>
        </w:tc>
        <w:tc>
          <w:tcPr/>
          <w:p>
            <w:pPr>
              <w:pStyle w:val="Compact"/>
            </w:pPr>
            <w:r>
              <w:rPr>
                <w:rFonts w:ascii="Calibri" w:hAnsi="Calibri"/>
                <w:sz w:val="20"/>
              </w:rPr>
              <w:t xml:space="preserve">14,791</w:t>
            </w:r>
          </w:p>
        </w:tc>
        <w:tc>
          <w:tcPr/>
          <w:p>
            <w:pPr>
              <w:pStyle w:val="Compact"/>
            </w:pPr>
            <w:r>
              <w:rPr>
                <w:rFonts w:ascii="Calibri" w:hAnsi="Calibri"/>
                <w:sz w:val="20"/>
              </w:rPr>
              <w:t xml:space="preserve">13,167</w:t>
            </w:r>
          </w:p>
        </w:tc>
        <w:tc>
          <w:tcPr/>
          <w:p>
            <w:pPr>
              <w:pStyle w:val="Compact"/>
            </w:pPr>
            <w:r>
              <w:rPr>
                <w:rFonts w:ascii="Calibri" w:hAnsi="Calibri"/>
                <w:sz w:val="20"/>
              </w:rPr>
              <w:t xml:space="preserve">0,987</w:t>
            </w:r>
          </w:p>
        </w:tc>
        <w:tc>
          <w:tcPr/>
          <w:p>
            <w:pPr>
              <w:pStyle w:val="Compact"/>
            </w:pPr>
            <w:r>
              <w:rPr>
                <w:rFonts w:ascii="Calibri" w:hAnsi="Calibri"/>
                <w:sz w:val="20"/>
              </w:rPr>
              <w:t xml:space="preserve">sí</w:t>
            </w:r>
          </w:p>
        </w:tc>
        <w:tc>
          <w:tcPr/>
          <w:p>
            <w:pPr>
              <w:pStyle w:val="Compact"/>
            </w:pPr>
            <w:r>
              <w:rPr>
                <w:rFonts w:ascii="Calibri" w:hAnsi="Calibri"/>
                <w:sz w:val="20"/>
              </w:rPr>
              <w:t xml:space="preserve">0,020</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11,984</w:t>
            </w:r>
          </w:p>
        </w:tc>
        <w:tc>
          <w:tcPr/>
          <w:p>
            <w:pPr>
              <w:pStyle w:val="Compact"/>
            </w:pPr>
            <w:r>
              <w:rPr>
                <w:rFonts w:ascii="Calibri" w:hAnsi="Calibri"/>
                <w:sz w:val="20"/>
              </w:rPr>
              <w:t xml:space="preserve">15,108</w:t>
            </w:r>
          </w:p>
        </w:tc>
        <w:tc>
          <w:tcPr/>
          <w:p>
            <w:pPr>
              <w:pStyle w:val="Compact"/>
            </w:pPr>
            <w:r>
              <w:rPr>
                <w:rFonts w:ascii="Calibri" w:hAnsi="Calibri"/>
                <w:sz w:val="20"/>
              </w:rPr>
              <w:t xml:space="preserve">13,251</w:t>
            </w:r>
          </w:p>
        </w:tc>
        <w:tc>
          <w:tcPr/>
          <w:p>
            <w:pPr>
              <w:pStyle w:val="Compact"/>
            </w:pPr>
            <w:r>
              <w:rPr>
                <w:rFonts w:ascii="Calibri" w:hAnsi="Calibri"/>
                <w:sz w:val="20"/>
              </w:rPr>
              <w:t xml:space="preserve">1,004</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11,968</w:t>
            </w:r>
          </w:p>
        </w:tc>
        <w:tc>
          <w:tcPr/>
          <w:p>
            <w:pPr>
              <w:pStyle w:val="Compact"/>
            </w:pPr>
            <w:r>
              <w:rPr>
                <w:rFonts w:ascii="Calibri" w:hAnsi="Calibri"/>
                <w:sz w:val="20"/>
              </w:rPr>
              <w:t xml:space="preserve">15,483</w:t>
            </w:r>
          </w:p>
        </w:tc>
        <w:tc>
          <w:tcPr/>
          <w:p>
            <w:pPr>
              <w:pStyle w:val="Compact"/>
            </w:pPr>
            <w:r>
              <w:rPr>
                <w:rFonts w:ascii="Calibri" w:hAnsi="Calibri"/>
                <w:sz w:val="20"/>
              </w:rPr>
              <w:t xml:space="preserve">13,394</w:t>
            </w:r>
          </w:p>
        </w:tc>
        <w:tc>
          <w:tcPr/>
          <w:p>
            <w:pPr>
              <w:pStyle w:val="Compact"/>
            </w:pPr>
            <w:r>
              <w:rPr>
                <w:rFonts w:ascii="Calibri" w:hAnsi="Calibri"/>
                <w:sz w:val="20"/>
              </w:rPr>
              <w:t xml:space="preserve">1,027</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bookmarkEnd w:id="106"/>
    <w:bookmarkStart w:id="107" w:name="a.3-diagnósticos-de-los-residuos"/>
    <w:p>
      <w:pPr>
        <w:pStyle w:val="Heading2"/>
      </w:pPr>
      <w:r>
        <w:t xml:space="preserve">A.3 Diagnósticos de los residuos</w:t>
      </w:r>
    </w:p>
    <w:p>
      <w:pPr>
        <w:pStyle w:val="FirstParagraph"/>
      </w:pPr>
      <w:r>
        <w:t xml:space="preserve">Portmanteau con 12 rezagos (autocorrelación), Jarque-Bera multivariada (normalidad), ARCH-LM con cuatro rezagos por ecuación (heterocedasticidad condicional) y estabilidad (1 = estable).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Prueba (p-valor salvo estabilidad)</w:t>
            </w:r>
          </w:p>
        </w:tc>
        <w:tc>
          <w:tcPr/>
          <w:p>
            <w:pPr>
              <w:pStyle w:val="Compact"/>
            </w:pPr>
            <w:r>
              <w:rPr>
                <w:rFonts w:ascii="Calibri" w:hAnsi="Calibri"/>
                <w:sz w:val="20"/>
              </w:rPr>
              <w:t xml:space="preserve">neta, valor nominal (principal)</w:t>
            </w:r>
          </w:p>
        </w:tc>
        <w:tc>
          <w:tcPr/>
          <w:p>
            <w:pPr>
              <w:pStyle w:val="Compact"/>
            </w:pPr>
            <w:r>
              <w:rPr>
                <w:rFonts w:ascii="Calibri" w:hAnsi="Calibri"/>
                <w:sz w:val="20"/>
              </w:rPr>
              <w:t xml:space="preserve">neta, valor libros</w:t>
            </w:r>
          </w:p>
        </w:tc>
        <w:tc>
          <w:tcPr/>
          <w:p>
            <w:pPr>
              <w:pStyle w:val="Compact"/>
            </w:pPr>
            <w:r>
              <w:rPr>
                <w:rFonts w:ascii="Calibri" w:hAnsi="Calibri"/>
                <w:sz w:val="20"/>
              </w:rPr>
              <w:t xml:space="preserve">bruta</w:t>
            </w:r>
          </w:p>
        </w:tc>
      </w:tr>
      <w:tr>
        <w:tc>
          <w:tcPr/>
          <w:p>
            <w:pPr>
              <w:pStyle w:val="Compact"/>
            </w:pPr>
            <w:r>
              <w:rPr>
                <w:rFonts w:ascii="Calibri" w:hAnsi="Calibri"/>
                <w:sz w:val="20"/>
              </w:rPr>
              <w:t xml:space="preserve">Portmanteau (12 rezagos)</w:t>
            </w:r>
          </w:p>
        </w:tc>
        <w:tc>
          <w:tcPr/>
          <w:p>
            <w:pPr>
              <w:pStyle w:val="Compact"/>
            </w:pPr>
            <w:r>
              <w:rPr>
                <w:rFonts w:ascii="Calibri" w:hAnsi="Calibri"/>
                <w:sz w:val="20"/>
              </w:rPr>
              <w:t xml:space="preserve">0,036</w:t>
            </w:r>
          </w:p>
        </w:tc>
        <w:tc>
          <w:tcPr/>
          <w:p>
            <w:pPr>
              <w:pStyle w:val="Compact"/>
            </w:pPr>
            <w:r>
              <w:rPr>
                <w:rFonts w:ascii="Calibri" w:hAnsi="Calibri"/>
                <w:sz w:val="20"/>
              </w:rPr>
              <w:t xml:space="preserve">0,030</w:t>
            </w:r>
          </w:p>
        </w:tc>
        <w:tc>
          <w:tcPr/>
          <w:p>
            <w:pPr>
              <w:pStyle w:val="Compact"/>
            </w:pPr>
            <w:r>
              <w:rPr>
                <w:rFonts w:ascii="Calibri" w:hAnsi="Calibri"/>
                <w:sz w:val="20"/>
              </w:rPr>
              <w:t xml:space="preserve">0,020</w:t>
            </w:r>
          </w:p>
        </w:tc>
      </w:tr>
      <w:tr>
        <w:tc>
          <w:tcPr/>
          <w:p>
            <w:pPr>
              <w:pStyle w:val="Compact"/>
            </w:pPr>
            <w:r>
              <w:rPr>
                <w:rFonts w:ascii="Calibri" w:hAnsi="Calibri"/>
                <w:sz w:val="20"/>
              </w:rPr>
              <w:t xml:space="preserve">Normalidad multivariada (p-valor)</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Estable (1 = sí)</w:t>
            </w:r>
          </w:p>
        </w:tc>
        <w:tc>
          <w:tcPr/>
          <w:p>
            <w:pPr>
              <w:pStyle w:val="Compact"/>
            </w:pPr>
            <w:r>
              <w:rPr>
                <w:rFonts w:ascii="Calibri" w:hAnsi="Calibri"/>
                <w:sz w:val="20"/>
              </w:rPr>
              <w:t xml:space="preserve">1,000</w:t>
            </w:r>
          </w:p>
        </w:tc>
        <w:tc>
          <w:tcPr/>
          <w:p>
            <w:pPr>
              <w:pStyle w:val="Compact"/>
            </w:pPr>
            <w:r>
              <w:rPr>
                <w:rFonts w:ascii="Calibri" w:hAnsi="Calibri"/>
                <w:sz w:val="20"/>
              </w:rPr>
              <w:t xml:space="preserve">1,000</w:t>
            </w:r>
          </w:p>
        </w:tc>
        <w:tc>
          <w:tcPr/>
          <w:p>
            <w:pPr>
              <w:pStyle w:val="Compact"/>
            </w:pPr>
            <w:r>
              <w:rPr>
                <w:rFonts w:ascii="Calibri" w:hAnsi="Calibri"/>
                <w:sz w:val="20"/>
              </w:rPr>
              <w:t xml:space="preserve">1,000</w:t>
            </w:r>
          </w:p>
        </w:tc>
      </w:tr>
      <w:tr>
        <w:tc>
          <w:tcPr/>
          <w:p>
            <w:pPr>
              <w:pStyle w:val="Compact"/>
            </w:pPr>
            <w:r>
              <w:rPr>
                <w:rFonts w:ascii="Calibri" w:hAnsi="Calibri"/>
                <w:sz w:val="20"/>
              </w:rPr>
              <w:t xml:space="preserve">ARCH-LM(4) resultado primario (p-valor)</w:t>
            </w:r>
          </w:p>
        </w:tc>
        <w:tc>
          <w:tcPr/>
          <w:p>
            <w:pPr>
              <w:pStyle w:val="Compact"/>
            </w:pPr>
            <w:r>
              <w:rPr>
                <w:rFonts w:ascii="Calibri" w:hAnsi="Calibri"/>
                <w:sz w:val="20"/>
              </w:rPr>
              <w:t xml:space="preserve">0,991</w:t>
            </w:r>
          </w:p>
        </w:tc>
        <w:tc>
          <w:tcPr/>
          <w:p>
            <w:pPr>
              <w:pStyle w:val="Compact"/>
            </w:pPr>
            <w:r>
              <w:rPr>
                <w:rFonts w:ascii="Calibri" w:hAnsi="Calibri"/>
                <w:sz w:val="20"/>
              </w:rPr>
              <w:t xml:space="preserve">0,988</w:t>
            </w:r>
          </w:p>
        </w:tc>
        <w:tc>
          <w:tcPr/>
          <w:p>
            <w:pPr>
              <w:pStyle w:val="Compact"/>
            </w:pPr>
            <w:r>
              <w:rPr>
                <w:rFonts w:ascii="Calibri" w:hAnsi="Calibri"/>
                <w:sz w:val="20"/>
              </w:rPr>
              <w:t xml:space="preserve">0,993</w:t>
            </w:r>
          </w:p>
        </w:tc>
      </w:tr>
      <w:tr>
        <w:tc>
          <w:tcPr/>
          <w:p>
            <w:pPr>
              <w:pStyle w:val="Compact"/>
            </w:pPr>
            <w:r>
              <w:rPr>
                <w:rFonts w:ascii="Calibri" w:hAnsi="Calibri"/>
                <w:sz w:val="20"/>
              </w:rPr>
              <w:t xml:space="preserve">ARCH-LM(4) crecimiento (p-valor)</w:t>
            </w:r>
          </w:p>
        </w:tc>
        <w:tc>
          <w:tcPr/>
          <w:p>
            <w:pPr>
              <w:pStyle w:val="Compact"/>
            </w:pPr>
            <w:r>
              <w:rPr>
                <w:rFonts w:ascii="Calibri" w:hAnsi="Calibri"/>
                <w:sz w:val="20"/>
              </w:rPr>
              <w:t xml:space="preserve">0,989</w:t>
            </w:r>
          </w:p>
        </w:tc>
        <w:tc>
          <w:tcPr/>
          <w:p>
            <w:pPr>
              <w:pStyle w:val="Compact"/>
            </w:pPr>
            <w:r>
              <w:rPr>
                <w:rFonts w:ascii="Calibri" w:hAnsi="Calibri"/>
                <w:sz w:val="20"/>
              </w:rPr>
              <w:t xml:space="preserve">0,990</w:t>
            </w:r>
          </w:p>
        </w:tc>
        <w:tc>
          <w:tcPr/>
          <w:p>
            <w:pPr>
              <w:pStyle w:val="Compact"/>
            </w:pPr>
            <w:r>
              <w:rPr>
                <w:rFonts w:ascii="Calibri" w:hAnsi="Calibri"/>
                <w:sz w:val="20"/>
              </w:rPr>
              <w:t xml:space="preserve">0,978</w:t>
            </w:r>
          </w:p>
        </w:tc>
      </w:tr>
      <w:tr>
        <w:tc>
          <w:tcPr/>
          <w:p>
            <w:pPr>
              <w:pStyle w:val="Compact"/>
            </w:pPr>
            <w:r>
              <w:rPr>
                <w:rFonts w:ascii="Calibri" w:hAnsi="Calibri"/>
                <w:sz w:val="20"/>
              </w:rPr>
              <w:t xml:space="preserve">ARCH-LM(4) EMBI (p-valor)</w:t>
            </w:r>
          </w:p>
        </w:tc>
        <w:tc>
          <w:tcPr/>
          <w:p>
            <w:pPr>
              <w:pStyle w:val="Compact"/>
            </w:pPr>
            <w:r>
              <w:rPr>
                <w:rFonts w:ascii="Calibri" w:hAnsi="Calibri"/>
                <w:sz w:val="20"/>
              </w:rPr>
              <w:t xml:space="preserve">0,998</w:t>
            </w:r>
          </w:p>
        </w:tc>
        <w:tc>
          <w:tcPr/>
          <w:p>
            <w:pPr>
              <w:pStyle w:val="Compact"/>
            </w:pPr>
            <w:r>
              <w:rPr>
                <w:rFonts w:ascii="Calibri" w:hAnsi="Calibri"/>
                <w:sz w:val="20"/>
              </w:rPr>
              <w:t xml:space="preserve">0,998</w:t>
            </w:r>
          </w:p>
        </w:tc>
        <w:tc>
          <w:tcPr/>
          <w:p>
            <w:pPr>
              <w:pStyle w:val="Compact"/>
            </w:pPr>
            <w:r>
              <w:rPr>
                <w:rFonts w:ascii="Calibri" w:hAnsi="Calibri"/>
                <w:sz w:val="20"/>
              </w:rPr>
              <w:t xml:space="preserve">0,999</w:t>
            </w:r>
          </w:p>
        </w:tc>
      </w:tr>
      <w:tr>
        <w:tc>
          <w:tcPr/>
          <w:p>
            <w:pPr>
              <w:pStyle w:val="Compact"/>
            </w:pPr>
            <w:r>
              <w:rPr>
                <w:rFonts w:ascii="Calibri" w:hAnsi="Calibri"/>
                <w:sz w:val="20"/>
              </w:rPr>
              <w:t xml:space="preserve">ARCH-LM(4) TCRM (p-valor)</w:t>
            </w:r>
          </w:p>
        </w:tc>
        <w:tc>
          <w:tcPr/>
          <w:p>
            <w:pPr>
              <w:pStyle w:val="Compact"/>
            </w:pPr>
            <w:r>
              <w:rPr>
                <w:rFonts w:ascii="Calibri" w:hAnsi="Calibri"/>
                <w:sz w:val="20"/>
              </w:rPr>
              <w:t xml:space="preserve">0,867</w:t>
            </w:r>
          </w:p>
        </w:tc>
        <w:tc>
          <w:tcPr/>
          <w:p>
            <w:pPr>
              <w:pStyle w:val="Compact"/>
            </w:pPr>
            <w:r>
              <w:rPr>
                <w:rFonts w:ascii="Calibri" w:hAnsi="Calibri"/>
                <w:sz w:val="20"/>
              </w:rPr>
              <w:t xml:space="preserve">0,824</w:t>
            </w:r>
          </w:p>
        </w:tc>
        <w:tc>
          <w:tcPr/>
          <w:p>
            <w:pPr>
              <w:pStyle w:val="Compact"/>
            </w:pPr>
            <w:r>
              <w:rPr>
                <w:rFonts w:ascii="Calibri" w:hAnsi="Calibri"/>
                <w:sz w:val="20"/>
              </w:rPr>
              <w:t xml:space="preserve">0,395</w:t>
            </w:r>
          </w:p>
        </w:tc>
      </w:tr>
    </w:tbl>
    <w:bookmarkEnd w:id="107"/>
    <w:bookmarkStart w:id="108" w:name="a.4-matriz-de-impacto-estructural"/>
    <w:p>
      <w:pPr>
        <w:pStyle w:val="Heading2"/>
      </w:pPr>
      <w:r>
        <w:t xml:space="preserve">A.4 Matriz de impacto estructural</w:t>
      </w:r>
    </w:p>
    <w:p>
      <w:pPr>
        <w:pStyle w:val="FirstParagraph"/>
      </w:pPr>
      <w:r>
        <w:t xml:space="preserve">Efecto en el mismo trimestre de un shock estructural de un desvío estándar (especificación principal). Los ceros son las restricciones de identificación de la sección 4.4. Los dos shocks del bloque cambiario y de riesgo no tienen interpretación por separado: solo se usa su efecto conjunto.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Shock fiscal</w:t>
            </w:r>
          </w:p>
        </w:tc>
        <w:tc>
          <w:tcPr/>
          <w:p>
            <w:pPr>
              <w:pStyle w:val="Compact"/>
            </w:pPr>
            <w:r>
              <w:rPr>
                <w:rFonts w:ascii="Calibri" w:hAnsi="Calibri"/>
                <w:sz w:val="20"/>
              </w:rPr>
              <w:t xml:space="preserve">Shock de actividad</w:t>
            </w:r>
          </w:p>
        </w:tc>
        <w:tc>
          <w:tcPr/>
          <w:p>
            <w:pPr>
              <w:pStyle w:val="Compact"/>
            </w:pPr>
            <w:r>
              <w:rPr>
                <w:rFonts w:ascii="Calibri" w:hAnsi="Calibri"/>
                <w:sz w:val="20"/>
              </w:rPr>
              <w:t xml:space="preserve">Shock cambiario y de riesgo 1</w:t>
            </w:r>
          </w:p>
        </w:tc>
        <w:tc>
          <w:tcPr/>
          <w:p>
            <w:pPr>
              <w:pStyle w:val="Compact"/>
            </w:pPr>
            <w:r>
              <w:rPr>
                <w:rFonts w:ascii="Calibri" w:hAnsi="Calibri"/>
                <w:sz w:val="20"/>
              </w:rPr>
              <w:t xml:space="preserve">Shock cambiario y de riesgo 2</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1,509</w:t>
            </w:r>
          </w:p>
        </w:tc>
        <w:tc>
          <w:tcPr/>
          <w:p>
            <w:pPr>
              <w:pStyle w:val="Compact"/>
            </w:pPr>
            <w:r>
              <w:rPr>
                <w:rFonts w:ascii="Calibri" w:hAnsi="Calibri"/>
                <w:sz w:val="20"/>
              </w:rPr>
              <w:t xml:space="preserve">0,679</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Crecimiento</w:t>
            </w:r>
          </w:p>
        </w:tc>
        <w:tc>
          <w:tcPr/>
          <w:p>
            <w:pPr>
              <w:pStyle w:val="Compact"/>
            </w:pPr>
            <w:r>
              <w:rPr>
                <w:rFonts w:ascii="Calibri" w:hAnsi="Calibri"/>
                <w:sz w:val="20"/>
              </w:rPr>
              <w:t xml:space="preserve">-0,266</w:t>
            </w:r>
          </w:p>
        </w:tc>
        <w:tc>
          <w:tcPr/>
          <w:p>
            <w:pPr>
              <w:pStyle w:val="Compact"/>
            </w:pPr>
            <w:r>
              <w:rPr>
                <w:rFonts w:ascii="Calibri" w:hAnsi="Calibri"/>
                <w:sz w:val="20"/>
              </w:rPr>
              <w:t xml:space="preserve">2,717</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-118,560</w:t>
            </w:r>
          </w:p>
        </w:tc>
        <w:tc>
          <w:tcPr/>
          <w:p>
            <w:pPr>
              <w:pStyle w:val="Compact"/>
            </w:pPr>
            <w:r>
              <w:rPr>
                <w:rFonts w:ascii="Calibri" w:hAnsi="Calibri"/>
                <w:sz w:val="20"/>
              </w:rPr>
              <w:t xml:space="preserve">-30,491</w:t>
            </w:r>
          </w:p>
        </w:tc>
        <w:tc>
          <w:tcPr/>
          <w:p>
            <w:pPr>
              <w:pStyle w:val="Compact"/>
            </w:pPr>
            <w:r>
              <w:rPr>
                <w:rFonts w:ascii="Calibri" w:hAnsi="Calibri"/>
                <w:sz w:val="20"/>
              </w:rPr>
              <w:t xml:space="preserve">449,797</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0,022</w:t>
            </w:r>
          </w:p>
        </w:tc>
        <w:tc>
          <w:tcPr/>
          <w:p>
            <w:pPr>
              <w:pStyle w:val="Compact"/>
            </w:pPr>
            <w:r>
              <w:rPr>
                <w:rFonts w:ascii="Calibri" w:hAnsi="Calibri"/>
                <w:sz w:val="20"/>
              </w:rPr>
              <w:t xml:space="preserve">-0,014</w:t>
            </w:r>
          </w:p>
        </w:tc>
        <w:tc>
          <w:tcPr/>
          <w:p>
            <w:pPr>
              <w:pStyle w:val="Compact"/>
            </w:pPr>
            <w:r>
              <w:rPr>
                <w:rFonts w:ascii="Calibri" w:hAnsi="Calibri"/>
                <w:sz w:val="20"/>
              </w:rPr>
              <w:t xml:space="preserve">0,011</w:t>
            </w:r>
          </w:p>
        </w:tc>
        <w:tc>
          <w:tcPr/>
          <w:p>
            <w:pPr>
              <w:pStyle w:val="Compact"/>
            </w:pPr>
            <w:r>
              <w:rPr>
                <w:rFonts w:ascii="Calibri" w:hAnsi="Calibri"/>
                <w:sz w:val="20"/>
              </w:rPr>
              <w:t xml:space="preserve">0,096</w:t>
            </w:r>
          </w:p>
        </w:tc>
      </w:tr>
    </w:tbl>
    <w:bookmarkEnd w:id="108"/>
    <w:bookmarkStart w:id="109" w:name="a.5-ecuación-del-resultado-primario"/>
    <w:p>
      <w:pPr>
        <w:pStyle w:val="Heading2"/>
      </w:pPr>
      <w:r>
        <w:t xml:space="preserve">A.5 Ecuación del resultado primario</w:t>
      </w:r>
    </w:p>
    <w:p>
      <w:pPr>
        <w:pStyle w:val="FirstParagraph"/>
      </w:pPr>
      <w:r>
        <w:t xml:space="preserve">Ecuación del resultado primario del VARX en forma reducida, especificación principal (MCO, 1998T2-2025T4). No se muestran la constante, las variables binarias estacionales ni las de los quiebres. Los p-valores son los de MCO; el intervalo de la reacción de Bohn que se usa en el texto es el del bootstrap.</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Regresor</w:t>
            </w:r>
          </w:p>
        </w:tc>
        <w:tc>
          <w:tcPr/>
          <w:p>
            <w:pPr>
              <w:pStyle w:val="Compact"/>
            </w:pPr>
            <w:r>
              <w:rPr>
                <w:rFonts w:ascii="Calibri" w:hAnsi="Calibri"/>
                <w:sz w:val="20"/>
              </w:rPr>
              <w:t xml:space="preserve">Coeficiente</w:t>
            </w:r>
          </w:p>
        </w:tc>
        <w:tc>
          <w:tcPr/>
          <w:p>
            <w:pPr>
              <w:pStyle w:val="Compact"/>
            </w:pPr>
            <w:r>
              <w:rPr>
                <w:rFonts w:ascii="Calibri" w:hAnsi="Calibri"/>
                <w:sz w:val="20"/>
              </w:rPr>
              <w:t xml:space="preserve">Error estándar</w:t>
            </w:r>
          </w:p>
        </w:tc>
        <w:tc>
          <w:tcPr/>
          <w:p>
            <w:pPr>
              <w:pStyle w:val="Compact"/>
            </w:pPr>
            <w:r>
              <w:rPr>
                <w:rFonts w:ascii="Calibri" w:hAnsi="Calibri"/>
                <w:sz w:val="20"/>
              </w:rPr>
              <w:t xml:space="preserve">p-valor</w:t>
            </w:r>
          </w:p>
        </w:tc>
      </w:tr>
      <w:tr>
        <w:tc>
          <w:tcPr/>
          <w:p>
            <w:pPr>
              <w:pStyle w:val="Compact"/>
            </w:pPr>
            <w:r>
              <w:rPr>
                <w:rFonts w:ascii="Calibri" w:hAnsi="Calibri"/>
                <w:sz w:val="20"/>
              </w:rPr>
              <w:t xml:space="preserve">Variación de la tasa de la FED, rezago 0</w:t>
            </w:r>
          </w:p>
        </w:tc>
        <w:tc>
          <w:tcPr/>
          <w:p>
            <w:pPr>
              <w:pStyle w:val="Compact"/>
            </w:pPr>
            <w:r>
              <w:rPr>
                <w:rFonts w:ascii="Calibri" w:hAnsi="Calibri"/>
                <w:sz w:val="20"/>
              </w:rPr>
              <w:t xml:space="preserve">0,5297</w:t>
            </w:r>
          </w:p>
        </w:tc>
        <w:tc>
          <w:tcPr/>
          <w:p>
            <w:pPr>
              <w:pStyle w:val="Compact"/>
            </w:pPr>
            <w:r>
              <w:rPr>
                <w:rFonts w:ascii="Calibri" w:hAnsi="Calibri"/>
                <w:sz w:val="20"/>
              </w:rPr>
              <w:t xml:space="preserve">0,5178</w:t>
            </w:r>
          </w:p>
        </w:tc>
        <w:tc>
          <w:tcPr/>
          <w:p>
            <w:pPr>
              <w:pStyle w:val="Compact"/>
            </w:pPr>
            <w:r>
              <w:rPr>
                <w:rFonts w:ascii="Calibri" w:hAnsi="Calibri"/>
                <w:sz w:val="20"/>
              </w:rPr>
              <w:t xml:space="preserve">0,306</w:t>
            </w:r>
          </w:p>
        </w:tc>
      </w:tr>
      <w:tr>
        <w:tc>
          <w:tcPr/>
          <w:p>
            <w:pPr>
              <w:pStyle w:val="Compact"/>
            </w:pPr>
            <w:r>
              <w:rPr>
                <w:rFonts w:ascii="Calibri" w:hAnsi="Calibri"/>
                <w:sz w:val="20"/>
              </w:rPr>
              <w:t xml:space="preserve">Variación de la tasa de la FED, rezago 1</w:t>
            </w:r>
          </w:p>
        </w:tc>
        <w:tc>
          <w:tcPr/>
          <w:p>
            <w:pPr>
              <w:pStyle w:val="Compact"/>
            </w:pPr>
            <w:r>
              <w:rPr>
                <w:rFonts w:ascii="Calibri" w:hAnsi="Calibri"/>
                <w:sz w:val="20"/>
              </w:rPr>
              <w:t xml:space="preserve">-0,7911</w:t>
            </w:r>
          </w:p>
        </w:tc>
        <w:tc>
          <w:tcPr/>
          <w:p>
            <w:pPr>
              <w:pStyle w:val="Compact"/>
            </w:pPr>
            <w:r>
              <w:rPr>
                <w:rFonts w:ascii="Calibri" w:hAnsi="Calibri"/>
                <w:sz w:val="20"/>
              </w:rPr>
              <w:t xml:space="preserve">0,5670</w:t>
            </w:r>
          </w:p>
        </w:tc>
        <w:tc>
          <w:tcPr/>
          <w:p>
            <w:pPr>
              <w:pStyle w:val="Compact"/>
            </w:pPr>
            <w:r>
              <w:rPr>
                <w:rFonts w:ascii="Calibri" w:hAnsi="Calibri"/>
                <w:sz w:val="20"/>
              </w:rPr>
              <w:t xml:space="preserve">0,163</w:t>
            </w:r>
          </w:p>
        </w:tc>
      </w:tr>
      <w:tr>
        <w:tc>
          <w:tcPr/>
          <w:p>
            <w:pPr>
              <w:pStyle w:val="Compact"/>
            </w:pPr>
            <w:r>
              <w:rPr>
                <w:rFonts w:ascii="Calibri" w:hAnsi="Calibri"/>
                <w:sz w:val="20"/>
              </w:rPr>
              <w:t xml:space="preserve">Variación de la tasa de la FED, rezago 2</w:t>
            </w:r>
          </w:p>
        </w:tc>
        <w:tc>
          <w:tcPr/>
          <w:p>
            <w:pPr>
              <w:pStyle w:val="Compact"/>
            </w:pPr>
            <w:r>
              <w:rPr>
                <w:rFonts w:ascii="Calibri" w:hAnsi="Calibri"/>
                <w:sz w:val="20"/>
              </w:rPr>
              <w:t xml:space="preserve">0,0030</w:t>
            </w:r>
          </w:p>
        </w:tc>
        <w:tc>
          <w:tcPr/>
          <w:p>
            <w:pPr>
              <w:pStyle w:val="Compact"/>
            </w:pPr>
            <w:r>
              <w:rPr>
                <w:rFonts w:ascii="Calibri" w:hAnsi="Calibri"/>
                <w:sz w:val="20"/>
              </w:rPr>
              <w:t xml:space="preserve">0,5160</w:t>
            </w:r>
          </w:p>
        </w:tc>
        <w:tc>
          <w:tcPr/>
          <w:p>
            <w:pPr>
              <w:pStyle w:val="Compact"/>
            </w:pPr>
            <w:r>
              <w:rPr>
                <w:rFonts w:ascii="Calibri" w:hAnsi="Calibri"/>
                <w:sz w:val="20"/>
              </w:rPr>
              <w:t xml:space="preserve">0,995</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-0,0253</w:t>
            </w:r>
          </w:p>
        </w:tc>
        <w:tc>
          <w:tcPr/>
          <w:p>
            <w:pPr>
              <w:pStyle w:val="Compact"/>
            </w:pPr>
            <w:r>
              <w:rPr>
                <w:rFonts w:ascii="Calibri" w:hAnsi="Calibri"/>
                <w:sz w:val="20"/>
              </w:rPr>
              <w:t xml:space="preserve">0,0319</w:t>
            </w:r>
          </w:p>
        </w:tc>
        <w:tc>
          <w:tcPr/>
          <w:p>
            <w:pPr>
              <w:pStyle w:val="Compact"/>
            </w:pPr>
            <w:r>
              <w:rPr>
                <w:rFonts w:ascii="Calibri" w:hAnsi="Calibri"/>
                <w:sz w:val="20"/>
              </w:rPr>
              <w:t xml:space="preserve">0,427</w:t>
            </w:r>
          </w:p>
        </w:tc>
      </w:tr>
      <w:tr>
        <w:tc>
          <w:tcPr/>
          <w:p>
            <w:pPr>
              <w:pStyle w:val="Compact"/>
            </w:pPr>
            <w:r>
              <w:rPr>
                <w:rFonts w:ascii="Calibri" w:hAnsi="Calibri"/>
                <w:sz w:val="20"/>
              </w:rPr>
              <w:t xml:space="preserve">Deuda consolidada neta, rezago 1 (reacción de Bohn)</w:t>
            </w:r>
          </w:p>
        </w:tc>
        <w:tc>
          <w:tcPr/>
          <w:p>
            <w:pPr>
              <w:pStyle w:val="Compact"/>
            </w:pPr>
            <w:r>
              <w:rPr>
                <w:rFonts w:ascii="Calibri" w:hAnsi="Calibri"/>
                <w:sz w:val="20"/>
              </w:rPr>
              <w:t xml:space="preserve">0,0505</w:t>
            </w:r>
          </w:p>
        </w:tc>
        <w:tc>
          <w:tcPr/>
          <w:p>
            <w:pPr>
              <w:pStyle w:val="Compact"/>
            </w:pPr>
            <w:r>
              <w:rPr>
                <w:rFonts w:ascii="Calibri" w:hAnsi="Calibri"/>
                <w:sz w:val="20"/>
              </w:rPr>
              <w:t xml:space="preserve">0,0215</w:t>
            </w:r>
          </w:p>
        </w:tc>
        <w:tc>
          <w:tcPr/>
          <w:p>
            <w:pPr>
              <w:pStyle w:val="Compact"/>
            </w:pPr>
            <w:r>
              <w:rPr>
                <w:rFonts w:ascii="Calibri" w:hAnsi="Calibri"/>
                <w:sz w:val="20"/>
              </w:rPr>
              <w:t xml:space="preserve">0,019</w:t>
            </w:r>
          </w:p>
        </w:tc>
      </w:tr>
      <w:tr>
        <w:tc>
          <w:tcPr/>
          <w:p>
            <w:pPr>
              <w:pStyle w:val="Compact"/>
            </w:pPr>
            <w:r>
              <w:rPr>
                <w:rFonts w:ascii="Calibri" w:hAnsi="Calibri"/>
                <w:sz w:val="20"/>
              </w:rPr>
              <w:t xml:space="preserve">Resultado primario, rezago 1</w:t>
            </w:r>
          </w:p>
        </w:tc>
        <w:tc>
          <w:tcPr/>
          <w:p>
            <w:pPr>
              <w:pStyle w:val="Compact"/>
            </w:pPr>
            <w:r>
              <w:rPr>
                <w:rFonts w:ascii="Calibri" w:hAnsi="Calibri"/>
                <w:sz w:val="20"/>
              </w:rPr>
              <w:t xml:space="preserve">0,3404</w:t>
            </w:r>
          </w:p>
        </w:tc>
        <w:tc>
          <w:tcPr/>
          <w:p>
            <w:pPr>
              <w:pStyle w:val="Compact"/>
            </w:pPr>
            <w:r>
              <w:rPr>
                <w:rFonts w:ascii="Calibri" w:hAnsi="Calibri"/>
                <w:sz w:val="20"/>
              </w:rPr>
              <w:t xml:space="preserve">0,1116</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Crecimiento, rezago 1</w:t>
            </w:r>
          </w:p>
        </w:tc>
        <w:tc>
          <w:tcPr/>
          <w:p>
            <w:pPr>
              <w:pStyle w:val="Compact"/>
            </w:pPr>
            <w:r>
              <w:rPr>
                <w:rFonts w:ascii="Calibri" w:hAnsi="Calibri"/>
                <w:sz w:val="20"/>
              </w:rPr>
              <w:t xml:space="preserve">0,0901</w:t>
            </w:r>
          </w:p>
        </w:tc>
        <w:tc>
          <w:tcPr/>
          <w:p>
            <w:pPr>
              <w:pStyle w:val="Compact"/>
            </w:pPr>
            <w:r>
              <w:rPr>
                <w:rFonts w:ascii="Calibri" w:hAnsi="Calibri"/>
                <w:sz w:val="20"/>
              </w:rPr>
              <w:t xml:space="preserve">0,0647</w:t>
            </w:r>
          </w:p>
        </w:tc>
        <w:tc>
          <w:tcPr/>
          <w:p>
            <w:pPr>
              <w:pStyle w:val="Compact"/>
            </w:pPr>
            <w:r>
              <w:rPr>
                <w:rFonts w:ascii="Calibri" w:hAnsi="Calibri"/>
                <w:sz w:val="20"/>
              </w:rPr>
              <w:t xml:space="preserve">0,164</w:t>
            </w:r>
          </w:p>
        </w:tc>
      </w:tr>
      <w:tr>
        <w:tc>
          <w:tcPr/>
          <w:p>
            <w:pPr>
              <w:pStyle w:val="Compact"/>
            </w:pPr>
            <w:r>
              <w:rPr>
                <w:rFonts w:ascii="Calibri" w:hAnsi="Calibri"/>
                <w:sz w:val="20"/>
              </w:rPr>
              <w:t xml:space="preserve">EMBI+, rezago 1</w:t>
            </w:r>
          </w:p>
        </w:tc>
        <w:tc>
          <w:tcPr/>
          <w:p>
            <w:pPr>
              <w:pStyle w:val="Compact"/>
            </w:pPr>
            <w:r>
              <w:rPr>
                <w:rFonts w:ascii="Calibri" w:hAnsi="Calibri"/>
                <w:sz w:val="20"/>
              </w:rPr>
              <w:t xml:space="preserve">-0,0005</w:t>
            </w:r>
          </w:p>
        </w:tc>
        <w:tc>
          <w:tcPr/>
          <w:p>
            <w:pPr>
              <w:pStyle w:val="Compact"/>
            </w:pPr>
            <w:r>
              <w:rPr>
                <w:rFonts w:ascii="Calibri" w:hAnsi="Calibri"/>
                <w:sz w:val="20"/>
              </w:rPr>
              <w:t xml:space="preserve">0,0004</w:t>
            </w:r>
          </w:p>
        </w:tc>
        <w:tc>
          <w:tcPr/>
          <w:p>
            <w:pPr>
              <w:pStyle w:val="Compact"/>
            </w:pPr>
            <w:r>
              <w:rPr>
                <w:rFonts w:ascii="Calibri" w:hAnsi="Calibri"/>
                <w:sz w:val="20"/>
              </w:rPr>
              <w:t xml:space="preserve">0,189</w:t>
            </w:r>
          </w:p>
        </w:tc>
      </w:tr>
      <w:tr>
        <w:tc>
          <w:tcPr/>
          <w:p>
            <w:pPr>
              <w:pStyle w:val="Compact"/>
            </w:pPr>
            <w:r>
              <w:rPr>
                <w:rFonts w:ascii="Calibri" w:hAnsi="Calibri"/>
                <w:sz w:val="20"/>
              </w:rPr>
              <w:t xml:space="preserve">TCRM, rezago 1</w:t>
            </w:r>
          </w:p>
        </w:tc>
        <w:tc>
          <w:tcPr/>
          <w:p>
            <w:pPr>
              <w:pStyle w:val="Compact"/>
            </w:pPr>
            <w:r>
              <w:rPr>
                <w:rFonts w:ascii="Calibri" w:hAnsi="Calibri"/>
                <w:sz w:val="20"/>
              </w:rPr>
              <w:t xml:space="preserve">3,6341</w:t>
            </w:r>
          </w:p>
        </w:tc>
        <w:tc>
          <w:tcPr/>
          <w:p>
            <w:pPr>
              <w:pStyle w:val="Compact"/>
            </w:pPr>
            <w:r>
              <w:rPr>
                <w:rFonts w:ascii="Calibri" w:hAnsi="Calibri"/>
                <w:sz w:val="20"/>
              </w:rPr>
              <w:t xml:space="preserve">1,7183</w:t>
            </w:r>
          </w:p>
        </w:tc>
        <w:tc>
          <w:tcPr/>
          <w:p>
            <w:pPr>
              <w:pStyle w:val="Compact"/>
            </w:pPr>
            <w:r>
              <w:rPr>
                <w:rFonts w:ascii="Calibri" w:hAnsi="Calibri"/>
                <w:sz w:val="20"/>
              </w:rPr>
              <w:t xml:space="preserve">0,034</w:t>
            </w:r>
          </w:p>
        </w:tc>
      </w:tr>
      <w:tr>
        <w:tc>
          <w:tcPr/>
          <w:p>
            <w:pPr>
              <w:pStyle w:val="Compact"/>
            </w:pPr>
            <w:r>
              <w:rPr>
                <w:rFonts w:ascii="Calibri" w:hAnsi="Calibri"/>
                <w:sz w:val="20"/>
              </w:rPr>
              <w:t xml:space="preserve">Resultado primario, rezago 2</w:t>
            </w:r>
          </w:p>
        </w:tc>
        <w:tc>
          <w:tcPr/>
          <w:p>
            <w:pPr>
              <w:pStyle w:val="Compact"/>
            </w:pPr>
            <w:r>
              <w:rPr>
                <w:rFonts w:ascii="Calibri" w:hAnsi="Calibri"/>
                <w:sz w:val="20"/>
              </w:rPr>
              <w:t xml:space="preserve">0,3739</w:t>
            </w:r>
          </w:p>
        </w:tc>
        <w:tc>
          <w:tcPr/>
          <w:p>
            <w:pPr>
              <w:pStyle w:val="Compact"/>
            </w:pPr>
            <w:r>
              <w:rPr>
                <w:rFonts w:ascii="Calibri" w:hAnsi="Calibri"/>
                <w:sz w:val="20"/>
              </w:rPr>
              <w:t xml:space="preserve">0,1190</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Crecimiento, rezago 2</w:t>
            </w:r>
          </w:p>
        </w:tc>
        <w:tc>
          <w:tcPr/>
          <w:p>
            <w:pPr>
              <w:pStyle w:val="Compact"/>
            </w:pPr>
            <w:r>
              <w:rPr>
                <w:rFonts w:ascii="Calibri" w:hAnsi="Calibri"/>
                <w:sz w:val="20"/>
              </w:rPr>
              <w:t xml:space="preserve">0,1250</w:t>
            </w:r>
          </w:p>
        </w:tc>
        <w:tc>
          <w:tcPr/>
          <w:p>
            <w:pPr>
              <w:pStyle w:val="Compact"/>
            </w:pPr>
            <w:r>
              <w:rPr>
                <w:rFonts w:ascii="Calibri" w:hAnsi="Calibri"/>
                <w:sz w:val="20"/>
              </w:rPr>
              <w:t xml:space="preserve">0,0633</w:t>
            </w:r>
          </w:p>
        </w:tc>
        <w:tc>
          <w:tcPr/>
          <w:p>
            <w:pPr>
              <w:pStyle w:val="Compact"/>
            </w:pPr>
            <w:r>
              <w:rPr>
                <w:rFonts w:ascii="Calibri" w:hAnsi="Calibri"/>
                <w:sz w:val="20"/>
              </w:rPr>
              <w:t xml:space="preserve">0,048</w:t>
            </w:r>
          </w:p>
        </w:tc>
      </w:tr>
      <w:tr>
        <w:tc>
          <w:tcPr/>
          <w:p>
            <w:pPr>
              <w:pStyle w:val="Compact"/>
            </w:pPr>
            <w:r>
              <w:rPr>
                <w:rFonts w:ascii="Calibri" w:hAnsi="Calibri"/>
                <w:sz w:val="20"/>
              </w:rPr>
              <w:t xml:space="preserve">EMBI+, rezago 2</w:t>
            </w:r>
          </w:p>
        </w:tc>
        <w:tc>
          <w:tcPr/>
          <w:p>
            <w:pPr>
              <w:pStyle w:val="Compact"/>
            </w:pPr>
            <w:r>
              <w:rPr>
                <w:rFonts w:ascii="Calibri" w:hAnsi="Calibri"/>
                <w:sz w:val="20"/>
              </w:rPr>
              <w:t xml:space="preserve">0,0001</w:t>
            </w:r>
          </w:p>
        </w:tc>
        <w:tc>
          <w:tcPr/>
          <w:p>
            <w:pPr>
              <w:pStyle w:val="Compact"/>
            </w:pPr>
            <w:r>
              <w:rPr>
                <w:rFonts w:ascii="Calibri" w:hAnsi="Calibri"/>
                <w:sz w:val="20"/>
              </w:rPr>
              <w:t xml:space="preserve">0,0005</w:t>
            </w:r>
          </w:p>
        </w:tc>
        <w:tc>
          <w:tcPr/>
          <w:p>
            <w:pPr>
              <w:pStyle w:val="Compact"/>
            </w:pPr>
            <w:r>
              <w:rPr>
                <w:rFonts w:ascii="Calibri" w:hAnsi="Calibri"/>
                <w:sz w:val="20"/>
              </w:rPr>
              <w:t xml:space="preserve">0,850</w:t>
            </w:r>
          </w:p>
        </w:tc>
      </w:tr>
      <w:tr>
        <w:tc>
          <w:tcPr/>
          <w:p>
            <w:pPr>
              <w:pStyle w:val="Compact"/>
            </w:pPr>
            <w:r>
              <w:rPr>
                <w:rFonts w:ascii="Calibri" w:hAnsi="Calibri"/>
                <w:sz w:val="20"/>
              </w:rPr>
              <w:t xml:space="preserve">TCRM, rezago 2</w:t>
            </w:r>
          </w:p>
        </w:tc>
        <w:tc>
          <w:tcPr/>
          <w:p>
            <w:pPr>
              <w:pStyle w:val="Compact"/>
            </w:pPr>
            <w:r>
              <w:rPr>
                <w:rFonts w:ascii="Calibri" w:hAnsi="Calibri"/>
                <w:sz w:val="20"/>
              </w:rPr>
              <w:t xml:space="preserve">-2,9019</w:t>
            </w:r>
          </w:p>
        </w:tc>
        <w:tc>
          <w:tcPr/>
          <w:p>
            <w:pPr>
              <w:pStyle w:val="Compact"/>
            </w:pPr>
            <w:r>
              <w:rPr>
                <w:rFonts w:ascii="Calibri" w:hAnsi="Calibri"/>
                <w:sz w:val="20"/>
              </w:rPr>
              <w:t xml:space="preserve">2,3871</w:t>
            </w:r>
          </w:p>
        </w:tc>
        <w:tc>
          <w:tcPr/>
          <w:p>
            <w:pPr>
              <w:pStyle w:val="Compact"/>
            </w:pPr>
            <w:r>
              <w:rPr>
                <w:rFonts w:ascii="Calibri" w:hAnsi="Calibri"/>
                <w:sz w:val="20"/>
              </w:rPr>
              <w:t xml:space="preserve">0,224</w:t>
            </w:r>
          </w:p>
        </w:tc>
      </w:tr>
      <w:tr>
        <w:tc>
          <w:tcPr/>
          <w:p>
            <w:pPr>
              <w:pStyle w:val="Compact"/>
            </w:pPr>
            <w:r>
              <w:rPr>
                <w:rFonts w:ascii="Calibri" w:hAnsi="Calibri"/>
                <w:sz w:val="20"/>
              </w:rPr>
              <w:t xml:space="preserve">Resultado primario, rezago 3</w:t>
            </w:r>
          </w:p>
        </w:tc>
        <w:tc>
          <w:tcPr/>
          <w:p>
            <w:pPr>
              <w:pStyle w:val="Compact"/>
            </w:pPr>
            <w:r>
              <w:rPr>
                <w:rFonts w:ascii="Calibri" w:hAnsi="Calibri"/>
                <w:sz w:val="20"/>
              </w:rPr>
              <w:t xml:space="preserve">0,0149</w:t>
            </w:r>
          </w:p>
        </w:tc>
        <w:tc>
          <w:tcPr/>
          <w:p>
            <w:pPr>
              <w:pStyle w:val="Compact"/>
            </w:pPr>
            <w:r>
              <w:rPr>
                <w:rFonts w:ascii="Calibri" w:hAnsi="Calibri"/>
                <w:sz w:val="20"/>
              </w:rPr>
              <w:t xml:space="preserve">0,1154</w:t>
            </w:r>
          </w:p>
        </w:tc>
        <w:tc>
          <w:tcPr/>
          <w:p>
            <w:pPr>
              <w:pStyle w:val="Compact"/>
            </w:pPr>
            <w:r>
              <w:rPr>
                <w:rFonts w:ascii="Calibri" w:hAnsi="Calibri"/>
                <w:sz w:val="20"/>
              </w:rPr>
              <w:t xml:space="preserve">0,897</w:t>
            </w:r>
          </w:p>
        </w:tc>
      </w:tr>
      <w:tr>
        <w:tc>
          <w:tcPr/>
          <w:p>
            <w:pPr>
              <w:pStyle w:val="Compact"/>
            </w:pPr>
            <w:r>
              <w:rPr>
                <w:rFonts w:ascii="Calibri" w:hAnsi="Calibri"/>
                <w:sz w:val="20"/>
              </w:rPr>
              <w:t xml:space="preserve">Crecimiento, rezago 3</w:t>
            </w:r>
          </w:p>
        </w:tc>
        <w:tc>
          <w:tcPr/>
          <w:p>
            <w:pPr>
              <w:pStyle w:val="Compact"/>
            </w:pPr>
            <w:r>
              <w:rPr>
                <w:rFonts w:ascii="Calibri" w:hAnsi="Calibri"/>
                <w:sz w:val="20"/>
              </w:rPr>
              <w:t xml:space="preserve">-0,0330</w:t>
            </w:r>
          </w:p>
        </w:tc>
        <w:tc>
          <w:tcPr/>
          <w:p>
            <w:pPr>
              <w:pStyle w:val="Compact"/>
            </w:pPr>
            <w:r>
              <w:rPr>
                <w:rFonts w:ascii="Calibri" w:hAnsi="Calibri"/>
                <w:sz w:val="20"/>
              </w:rPr>
              <w:t xml:space="preserve">0,0605</w:t>
            </w:r>
          </w:p>
        </w:tc>
        <w:tc>
          <w:tcPr/>
          <w:p>
            <w:pPr>
              <w:pStyle w:val="Compact"/>
            </w:pPr>
            <w:r>
              <w:rPr>
                <w:rFonts w:ascii="Calibri" w:hAnsi="Calibri"/>
                <w:sz w:val="20"/>
              </w:rPr>
              <w:t xml:space="preserve">0,586</w:t>
            </w:r>
          </w:p>
        </w:tc>
      </w:tr>
      <w:tr>
        <w:tc>
          <w:tcPr/>
          <w:p>
            <w:pPr>
              <w:pStyle w:val="Compact"/>
            </w:pPr>
            <w:r>
              <w:rPr>
                <w:rFonts w:ascii="Calibri" w:hAnsi="Calibri"/>
                <w:sz w:val="20"/>
              </w:rPr>
              <w:t xml:space="preserve">EMBI+, rezago 3</w:t>
            </w:r>
          </w:p>
        </w:tc>
        <w:tc>
          <w:tcPr/>
          <w:p>
            <w:pPr>
              <w:pStyle w:val="Compact"/>
            </w:pPr>
            <w:r>
              <w:rPr>
                <w:rFonts w:ascii="Calibri" w:hAnsi="Calibri"/>
                <w:sz w:val="20"/>
              </w:rPr>
              <w:t xml:space="preserve">0,0002</w:t>
            </w:r>
          </w:p>
        </w:tc>
        <w:tc>
          <w:tcPr/>
          <w:p>
            <w:pPr>
              <w:pStyle w:val="Compact"/>
            </w:pPr>
            <w:r>
              <w:rPr>
                <w:rFonts w:ascii="Calibri" w:hAnsi="Calibri"/>
                <w:sz w:val="20"/>
              </w:rPr>
              <w:t xml:space="preserve">0,0004</w:t>
            </w:r>
          </w:p>
        </w:tc>
        <w:tc>
          <w:tcPr/>
          <w:p>
            <w:pPr>
              <w:pStyle w:val="Compact"/>
            </w:pPr>
            <w:r>
              <w:rPr>
                <w:rFonts w:ascii="Calibri" w:hAnsi="Calibri"/>
                <w:sz w:val="20"/>
              </w:rPr>
              <w:t xml:space="preserve">0,520</w:t>
            </w:r>
          </w:p>
        </w:tc>
      </w:tr>
      <w:tr>
        <w:tc>
          <w:tcPr/>
          <w:p>
            <w:pPr>
              <w:pStyle w:val="Compact"/>
            </w:pPr>
            <w:r>
              <w:rPr>
                <w:rFonts w:ascii="Calibri" w:hAnsi="Calibri"/>
                <w:sz w:val="20"/>
              </w:rPr>
              <w:t xml:space="preserve">TCRM, rezago 3</w:t>
            </w:r>
          </w:p>
        </w:tc>
        <w:tc>
          <w:tcPr/>
          <w:p>
            <w:pPr>
              <w:pStyle w:val="Compact"/>
            </w:pPr>
            <w:r>
              <w:rPr>
                <w:rFonts w:ascii="Calibri" w:hAnsi="Calibri"/>
                <w:sz w:val="20"/>
              </w:rPr>
              <w:t xml:space="preserve">-0,2936</w:t>
            </w:r>
          </w:p>
        </w:tc>
        <w:tc>
          <w:tcPr/>
          <w:p>
            <w:pPr>
              <w:pStyle w:val="Compact"/>
            </w:pPr>
            <w:r>
              <w:rPr>
                <w:rFonts w:ascii="Calibri" w:hAnsi="Calibri"/>
                <w:sz w:val="20"/>
              </w:rPr>
              <w:t xml:space="preserve">1,6455</w:t>
            </w:r>
          </w:p>
        </w:tc>
        <w:tc>
          <w:tcPr/>
          <w:p>
            <w:pPr>
              <w:pStyle w:val="Compact"/>
            </w:pPr>
            <w:r>
              <w:rPr>
                <w:rFonts w:ascii="Calibri" w:hAnsi="Calibri"/>
                <w:sz w:val="20"/>
              </w:rPr>
              <w:t xml:space="preserve">0,858</w:t>
            </w:r>
          </w:p>
        </w:tc>
      </w:tr>
    </w:tbl>
    <w:bookmarkEnd w:id="109"/>
    <w:bookmarkStart w:id="110" w:name="Xfa83ee6856f3aa94092aac366f9d9056731270c"/>
    <w:p>
      <w:pPr>
        <w:pStyle w:val="Heading2"/>
      </w:pPr>
      <w:r>
        <w:t xml:space="preserve">A.6 Resultados completos de la simulación por especificación</w:t>
      </w:r>
    </w:p>
    <w:p>
      <w:pPr>
        <w:pStyle w:val="FirstParagraph"/>
      </w:pPr>
      <w:r>
        <w:t xml:space="preserve">Media entre réplicas de parámetros y, entre corchetes, percentiles 5 y 95 (300 réplicas por 400 trayectorias).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pPr>
            <w:r>
              <w:rPr>
                <w:rFonts w:ascii="Calibri" w:hAnsi="Calibri"/>
                <w:sz w:val="20"/>
              </w:rPr>
              <w:t xml:space="preserve">Indicador</w:t>
            </w:r>
          </w:p>
        </w:tc>
        <w:tc>
          <w:tcPr/>
          <w:p>
            <w:pPr>
              <w:pStyle w:val="Compact"/>
            </w:pPr>
            <w:r>
              <w:rPr>
                <w:rFonts w:ascii="Calibri" w:hAnsi="Calibri"/>
                <w:sz w:val="20"/>
              </w:rPr>
              <w:t xml:space="preserve">Neta (principal)</w:t>
            </w:r>
          </w:p>
        </w:tc>
        <w:tc>
          <w:tcPr/>
          <w:p>
            <w:pPr>
              <w:pStyle w:val="Compact"/>
            </w:pPr>
            <w:r>
              <w:rPr>
                <w:rFonts w:ascii="Calibri" w:hAnsi="Calibri"/>
                <w:sz w:val="20"/>
              </w:rPr>
              <w:t xml:space="preserve">Neta en libros</w:t>
            </w:r>
          </w:p>
        </w:tc>
        <w:tc>
          <w:tcPr/>
          <w:p>
            <w:pPr>
              <w:pStyle w:val="Compact"/>
            </w:pPr>
            <w:r>
              <w:rPr>
                <w:rFonts w:ascii="Calibri" w:hAnsi="Calibri"/>
                <w:sz w:val="20"/>
              </w:rPr>
              <w:t xml:space="preserve">Bruta</w:t>
            </w:r>
          </w:p>
        </w:tc>
        <w:tc>
          <w:tcPr/>
          <w:p>
            <w:pPr>
              <w:pStyle w:val="Compact"/>
            </w:pPr>
            <w:r>
              <w:rPr>
                <w:rFonts w:ascii="Calibri" w:hAnsi="Calibri"/>
                <w:sz w:val="20"/>
              </w:rPr>
              <w:t xml:space="preserve">Neta con tasas en pesos</w:t>
            </w:r>
          </w:p>
        </w:tc>
        <w:tc>
          <w:tcPr/>
          <w:p>
            <w:pPr>
              <w:pStyle w:val="Compact"/>
            </w:pPr>
            <w:r>
              <w:rPr>
                <w:rFonts w:ascii="Calibri" w:hAnsi="Calibri"/>
                <w:sz w:val="20"/>
              </w:rPr>
              <w:t xml:space="preserve">Neta sin retroalimentación</w:t>
            </w:r>
          </w:p>
        </w:tc>
        <w:tc>
          <w:tcPr/>
          <w:p>
            <w:pPr>
              <w:pStyle w:val="Compact"/>
            </w:pPr>
            <w:r>
              <w:rPr>
                <w:rFonts w:ascii="Calibri" w:hAnsi="Calibri"/>
                <w:sz w:val="20"/>
              </w:rPr>
              <w:t xml:space="preserve">Cholesky orden de Santiago</w:t>
            </w:r>
          </w:p>
        </w:tc>
        <w:tc>
          <w:tcPr/>
          <w:p>
            <w:pPr>
              <w:pStyle w:val="Compact"/>
            </w:pPr>
            <w:r>
              <w:rPr>
                <w:rFonts w:ascii="Calibri" w:hAnsi="Calibri"/>
                <w:sz w:val="20"/>
              </w:rPr>
              <w:t xml:space="preserve">Cholesky fiscal primero</w:t>
            </w:r>
          </w:p>
        </w:tc>
      </w:tr>
      <w:tr>
        <w:tc>
          <w:tcPr/>
          <w:p>
            <w:pPr>
              <w:pStyle w:val="Compact"/>
            </w:pPr>
            <w:r>
              <w:rPr>
                <w:rFonts w:ascii="Calibri" w:hAnsi="Calibri"/>
                <w:sz w:val="20"/>
              </w:rPr>
              <w:t xml:space="preserve">No estabilización 2030 (%)</w:t>
            </w:r>
          </w:p>
        </w:tc>
        <w:tc>
          <w:tcPr/>
          <w:p>
            <w:pPr>
              <w:pStyle w:val="Compact"/>
            </w:pPr>
            <w:r>
              <w:rPr>
                <w:rFonts w:ascii="Calibri" w:hAnsi="Calibri"/>
                <w:sz w:val="20"/>
              </w:rPr>
              <w:t xml:space="preserve">11,5 [7,7; 15,2]</w:t>
            </w:r>
          </w:p>
        </w:tc>
        <w:tc>
          <w:tcPr/>
          <w:p>
            <w:pPr>
              <w:pStyle w:val="Compact"/>
            </w:pPr>
            <w:r>
              <w:rPr>
                <w:rFonts w:ascii="Calibri" w:hAnsi="Calibri"/>
                <w:sz w:val="20"/>
              </w:rPr>
              <w:t xml:space="preserve">12,7 [8,8; 17,0]</w:t>
            </w:r>
          </w:p>
        </w:tc>
        <w:tc>
          <w:tcPr/>
          <w:p>
            <w:pPr>
              <w:pStyle w:val="Compact"/>
            </w:pPr>
            <w:r>
              <w:rPr>
                <w:rFonts w:ascii="Calibri" w:hAnsi="Calibri"/>
                <w:sz w:val="20"/>
              </w:rPr>
              <w:t xml:space="preserve">12,3 [8,5; 16,3]</w:t>
            </w:r>
          </w:p>
        </w:tc>
        <w:tc>
          <w:tcPr/>
          <w:p>
            <w:pPr>
              <w:pStyle w:val="Compact"/>
            </w:pPr>
            <w:r>
              <w:rPr>
                <w:rFonts w:ascii="Calibri" w:hAnsi="Calibri"/>
                <w:sz w:val="20"/>
              </w:rPr>
              <w:t xml:space="preserve">12,2 [8,5; 16,2]</w:t>
            </w:r>
          </w:p>
        </w:tc>
        <w:tc>
          <w:tcPr/>
          <w:p>
            <w:pPr>
              <w:pStyle w:val="Compact"/>
            </w:pPr>
            <w:r>
              <w:rPr>
                <w:rFonts w:ascii="Calibri" w:hAnsi="Calibri"/>
                <w:sz w:val="20"/>
              </w:rPr>
              <w:t xml:space="preserve">11,5 [7,8; 15,8]</w:t>
            </w:r>
          </w:p>
        </w:tc>
        <w:tc>
          <w:tcPr/>
          <w:p>
            <w:pPr>
              <w:pStyle w:val="Compact"/>
            </w:pPr>
            <w:r>
              <w:rPr>
                <w:rFonts w:ascii="Calibri" w:hAnsi="Calibri"/>
                <w:sz w:val="20"/>
              </w:rPr>
              <w:t xml:space="preserve">11,6 [8,0; 15,2]</w:t>
            </w:r>
          </w:p>
        </w:tc>
        <w:tc>
          <w:tcPr/>
          <w:p>
            <w:pPr>
              <w:pStyle w:val="Compact"/>
            </w:pPr>
            <w:r>
              <w:rPr>
                <w:rFonts w:ascii="Calibri" w:hAnsi="Calibri"/>
                <w:sz w:val="20"/>
              </w:rPr>
              <w:t xml:space="preserve">11,5 [7,8; 15,2]</w:t>
            </w:r>
          </w:p>
        </w:tc>
      </w:tr>
      <w:tr>
        <w:tc>
          <w:tcPr/>
          <w:p>
            <w:pPr>
              <w:pStyle w:val="Compact"/>
            </w:pPr>
            <w:r>
              <w:rPr>
                <w:rFonts w:ascii="Calibri" w:hAnsi="Calibri"/>
                <w:sz w:val="20"/>
              </w:rPr>
              <w:t xml:space="preserve">No estabilización 2035 (%)</w:t>
            </w:r>
          </w:p>
        </w:tc>
        <w:tc>
          <w:tcPr/>
          <w:p>
            <w:pPr>
              <w:pStyle w:val="Compact"/>
            </w:pPr>
            <w:r>
              <w:rPr>
                <w:rFonts w:ascii="Calibri" w:hAnsi="Calibri"/>
                <w:sz w:val="20"/>
              </w:rPr>
              <w:t xml:space="preserve">6,6 [3,2; 10,5]</w:t>
            </w:r>
          </w:p>
        </w:tc>
        <w:tc>
          <w:tcPr/>
          <w:p>
            <w:pPr>
              <w:pStyle w:val="Compact"/>
            </w:pPr>
            <w:r>
              <w:rPr>
                <w:rFonts w:ascii="Calibri" w:hAnsi="Calibri"/>
                <w:sz w:val="20"/>
              </w:rPr>
              <w:t xml:space="preserve">7,4 [3,8; 11,8]</w:t>
            </w:r>
          </w:p>
        </w:tc>
        <w:tc>
          <w:tcPr/>
          <w:p>
            <w:pPr>
              <w:pStyle w:val="Compact"/>
            </w:pPr>
            <w:r>
              <w:rPr>
                <w:rFonts w:ascii="Calibri" w:hAnsi="Calibri"/>
                <w:sz w:val="20"/>
              </w:rPr>
              <w:t xml:space="preserve">7,8 [4,5; 11,8]</w:t>
            </w:r>
          </w:p>
        </w:tc>
        <w:tc>
          <w:tcPr/>
          <w:p>
            <w:pPr>
              <w:pStyle w:val="Compact"/>
            </w:pPr>
            <w:r>
              <w:rPr>
                <w:rFonts w:ascii="Calibri" w:hAnsi="Calibri"/>
                <w:sz w:val="20"/>
              </w:rPr>
              <w:t xml:space="preserve">8,8 [4,2; 14,5]</w:t>
            </w:r>
          </w:p>
        </w:tc>
        <w:tc>
          <w:tcPr/>
          <w:p>
            <w:pPr>
              <w:pStyle w:val="Compact"/>
            </w:pPr>
            <w:r>
              <w:rPr>
                <w:rFonts w:ascii="Calibri" w:hAnsi="Calibri"/>
                <w:sz w:val="20"/>
              </w:rPr>
              <w:t xml:space="preserve">6,1 [3,2; 10,0]</w:t>
            </w:r>
          </w:p>
        </w:tc>
        <w:tc>
          <w:tcPr/>
          <w:p>
            <w:pPr>
              <w:pStyle w:val="Compact"/>
            </w:pPr>
            <w:r>
              <w:rPr>
                <w:rFonts w:ascii="Calibri" w:hAnsi="Calibri"/>
                <w:sz w:val="20"/>
              </w:rPr>
              <w:t xml:space="preserve">6,6 [3,2; 10,8]</w:t>
            </w:r>
          </w:p>
        </w:tc>
        <w:tc>
          <w:tcPr/>
          <w:p>
            <w:pPr>
              <w:pStyle w:val="Compact"/>
            </w:pPr>
            <w:r>
              <w:rPr>
                <w:rFonts w:ascii="Calibri" w:hAnsi="Calibri"/>
                <w:sz w:val="20"/>
              </w:rPr>
              <w:t xml:space="preserve">6,6 [3,2; 10,5]</w:t>
            </w:r>
          </w:p>
        </w:tc>
      </w:tr>
      <w:tr>
        <w:tc>
          <w:tcPr/>
          <w:p>
            <w:pPr>
              <w:pStyle w:val="Compact"/>
            </w:pPr>
            <w:r>
              <w:rPr>
                <w:rFonts w:ascii="Calibri" w:hAnsi="Calibri"/>
                <w:sz w:val="20"/>
              </w:rPr>
              <w:t xml:space="preserve">Deuda media 2035 (% PIB)</w:t>
            </w:r>
          </w:p>
        </w:tc>
        <w:tc>
          <w:tcPr/>
          <w:p>
            <w:pPr>
              <w:pStyle w:val="Compact"/>
            </w:pPr>
            <w:r>
              <w:rPr>
                <w:rFonts w:ascii="Calibri" w:hAnsi="Calibri"/>
                <w:sz w:val="20"/>
              </w:rPr>
              <w:t xml:space="preserve">16,4 [15,4; 17,6]</w:t>
            </w:r>
          </w:p>
        </w:tc>
        <w:tc>
          <w:tcPr/>
          <w:p>
            <w:pPr>
              <w:pStyle w:val="Compact"/>
            </w:pPr>
            <w:r>
              <w:rPr>
                <w:rFonts w:ascii="Calibri" w:hAnsi="Calibri"/>
                <w:sz w:val="20"/>
              </w:rPr>
              <w:t xml:space="preserve">17,7 [16,8; 19,1]</w:t>
            </w:r>
          </w:p>
        </w:tc>
        <w:tc>
          <w:tcPr/>
          <w:p>
            <w:pPr>
              <w:pStyle w:val="Compact"/>
            </w:pPr>
            <w:r>
              <w:rPr>
                <w:rFonts w:ascii="Calibri" w:hAnsi="Calibri"/>
                <w:sz w:val="20"/>
              </w:rPr>
              <w:t xml:space="preserve">22,8 [21,9; 24,0]</w:t>
            </w:r>
          </w:p>
        </w:tc>
        <w:tc>
          <w:tcPr/>
          <w:p>
            <w:pPr>
              <w:pStyle w:val="Compact"/>
            </w:pPr>
            <w:r>
              <w:rPr>
                <w:rFonts w:ascii="Calibri" w:hAnsi="Calibri"/>
                <w:sz w:val="20"/>
              </w:rPr>
              <w:t xml:space="preserve">17,1 [15,7; 19,1]</w:t>
            </w:r>
          </w:p>
        </w:tc>
        <w:tc>
          <w:tcPr/>
          <w:p>
            <w:pPr>
              <w:pStyle w:val="Compact"/>
            </w:pPr>
            <w:r>
              <w:rPr>
                <w:rFonts w:ascii="Calibri" w:hAnsi="Calibri"/>
                <w:sz w:val="20"/>
              </w:rPr>
              <w:t xml:space="preserve">16,3 [15,3; 17,4]</w:t>
            </w:r>
          </w:p>
        </w:tc>
        <w:tc>
          <w:tcPr/>
          <w:p>
            <w:pPr>
              <w:pStyle w:val="Compact"/>
            </w:pPr>
            <w:r>
              <w:rPr>
                <w:rFonts w:ascii="Calibri" w:hAnsi="Calibri"/>
                <w:sz w:val="20"/>
              </w:rPr>
              <w:t xml:space="preserve">16,4 [15,4; 17,6]</w:t>
            </w:r>
          </w:p>
        </w:tc>
        <w:tc>
          <w:tcPr/>
          <w:p>
            <w:pPr>
              <w:pStyle w:val="Compact"/>
            </w:pPr>
            <w:r>
              <w:rPr>
                <w:rFonts w:ascii="Calibri" w:hAnsi="Calibri"/>
                <w:sz w:val="20"/>
              </w:rPr>
              <w:t xml:space="preserve">16,4 [15,4; 17,6]</w:t>
            </w:r>
          </w:p>
        </w:tc>
      </w:tr>
      <w:tr>
        <w:tc>
          <w:tcPr/>
          <w:p>
            <w:pPr>
              <w:pStyle w:val="Compact"/>
            </w:pPr>
            <w:r>
              <w:rPr>
                <w:rFonts w:ascii="Calibri" w:hAnsi="Calibri"/>
                <w:sz w:val="20"/>
              </w:rPr>
              <w:t xml:space="preserve">Ancho p5-p95 2030</w:t>
            </w:r>
          </w:p>
        </w:tc>
        <w:tc>
          <w:tcPr/>
          <w:p>
            <w:pPr>
              <w:pStyle w:val="Compact"/>
            </w:pPr>
            <w:r>
              <w:rPr>
                <w:rFonts w:ascii="Calibri" w:hAnsi="Calibri"/>
                <w:sz w:val="20"/>
              </w:rPr>
              <w:t xml:space="preserve">18,6 [14,4; 23,3]</w:t>
            </w:r>
          </w:p>
        </w:tc>
        <w:tc>
          <w:tcPr/>
          <w:p>
            <w:pPr>
              <w:pStyle w:val="Compact"/>
            </w:pPr>
            <w:r>
              <w:rPr>
                <w:rFonts w:ascii="Calibri" w:hAnsi="Calibri"/>
                <w:sz w:val="20"/>
              </w:rPr>
              <w:t xml:space="preserve">19,0 [14,5; 23,9]</w:t>
            </w:r>
          </w:p>
        </w:tc>
        <w:tc>
          <w:tcPr/>
          <w:p>
            <w:pPr>
              <w:pStyle w:val="Compact"/>
            </w:pPr>
            <w:r>
              <w:rPr>
                <w:rFonts w:ascii="Calibri" w:hAnsi="Calibri"/>
                <w:sz w:val="20"/>
              </w:rPr>
              <w:t xml:space="preserve">19,3 [15,8; 24,3]</w:t>
            </w:r>
          </w:p>
        </w:tc>
        <w:tc>
          <w:tcPr/>
          <w:p>
            <w:pPr>
              <w:pStyle w:val="Compact"/>
            </w:pPr>
            <w:r>
              <w:rPr>
                <w:rFonts w:ascii="Calibri" w:hAnsi="Calibri"/>
                <w:sz w:val="20"/>
              </w:rPr>
              <w:t xml:space="preserve">21,0 [15,7; 27,2]</w:t>
            </w:r>
          </w:p>
        </w:tc>
        <w:tc>
          <w:tcPr/>
          <w:p>
            <w:pPr>
              <w:pStyle w:val="Compact"/>
            </w:pPr>
            <w:r>
              <w:rPr>
                <w:rFonts w:ascii="Calibri" w:hAnsi="Calibri"/>
                <w:sz w:val="20"/>
              </w:rPr>
              <w:t xml:space="preserve">19,9 [15,6; 24,9]</w:t>
            </w:r>
          </w:p>
        </w:tc>
        <w:tc>
          <w:tcPr/>
          <w:p>
            <w:pPr>
              <w:pStyle w:val="Compact"/>
            </w:pPr>
            <w:r>
              <w:rPr>
                <w:rFonts w:ascii="Calibri" w:hAnsi="Calibri"/>
                <w:sz w:val="20"/>
              </w:rPr>
              <w:t xml:space="preserve">18,6 [14,4; 23,4]</w:t>
            </w:r>
          </w:p>
        </w:tc>
        <w:tc>
          <w:tcPr/>
          <w:p>
            <w:pPr>
              <w:pStyle w:val="Compact"/>
            </w:pPr>
            <w:r>
              <w:rPr>
                <w:rFonts w:ascii="Calibri" w:hAnsi="Calibri"/>
                <w:sz w:val="20"/>
              </w:rPr>
              <w:t xml:space="preserve">18,6 [14,4; 23,3]</w:t>
            </w:r>
          </w:p>
        </w:tc>
      </w:tr>
      <w:tr>
        <w:tc>
          <w:tcPr/>
          <w:p>
            <w:pPr>
              <w:pStyle w:val="Compact"/>
            </w:pPr>
            <w:r>
              <w:rPr>
                <w:rFonts w:ascii="Calibri" w:hAnsi="Calibri"/>
                <w:sz w:val="20"/>
              </w:rPr>
              <w:t xml:space="preserve">Varianza 2035: fiscal (%)</w:t>
            </w:r>
          </w:p>
        </w:tc>
        <w:tc>
          <w:tcPr/>
          <w:p>
            <w:pPr>
              <w:pStyle w:val="Compact"/>
            </w:pPr>
            <w:r>
              <w:rPr>
                <w:rFonts w:ascii="Calibri" w:hAnsi="Calibri"/>
                <w:sz w:val="20"/>
              </w:rPr>
              <w:t xml:space="preserve">21,2 [4,0; 43,3]</w:t>
            </w:r>
          </w:p>
        </w:tc>
        <w:tc>
          <w:tcPr/>
          <w:p>
            <w:pPr>
              <w:pStyle w:val="Compact"/>
            </w:pPr>
            <w:r>
              <w:rPr>
                <w:rFonts w:ascii="Calibri" w:hAnsi="Calibri"/>
                <w:sz w:val="20"/>
              </w:rPr>
              <w:t xml:space="preserve">20,8 [4,6; 41,7]</w:t>
            </w:r>
          </w:p>
        </w:tc>
        <w:tc>
          <w:tcPr/>
          <w:p>
            <w:pPr>
              <w:pStyle w:val="Compact"/>
            </w:pPr>
            <w:r>
              <w:rPr>
                <w:rFonts w:ascii="Calibri" w:hAnsi="Calibri"/>
                <w:sz w:val="20"/>
              </w:rPr>
              <w:t xml:space="preserve">23,7 [3,1; 53,7]</w:t>
            </w:r>
          </w:p>
        </w:tc>
        <w:tc>
          <w:tcPr/>
          <w:p>
            <w:pPr>
              <w:pStyle w:val="Compact"/>
            </w:pPr>
            <w:r>
              <w:rPr>
                <w:rFonts w:ascii="Calibri" w:hAnsi="Calibri"/>
                <w:sz w:val="20"/>
              </w:rPr>
              <w:t xml:space="preserve">17,9 [2,8; 41,3]</w:t>
            </w:r>
          </w:p>
        </w:tc>
        <w:tc>
          <w:tcPr/>
          <w:p>
            <w:pPr>
              <w:pStyle w:val="Compact"/>
            </w:pPr>
            <w:r>
              <w:rPr>
                <w:rFonts w:ascii="Calibri" w:hAnsi="Calibri"/>
                <w:sz w:val="20"/>
              </w:rPr>
              <w:t xml:space="preserve">21,0 [4,1; 44,0]</w:t>
            </w:r>
          </w:p>
        </w:tc>
        <w:tc>
          <w:tcPr/>
          <w:p>
            <w:pPr>
              <w:pStyle w:val="Compact"/>
            </w:pPr>
            <w:r>
              <w:rPr>
                <w:rFonts w:ascii="Calibri" w:hAnsi="Calibri"/>
                <w:sz w:val="20"/>
              </w:rPr>
              <w:t xml:space="preserve">10,8 [1,9; 32,6]</w:t>
            </w:r>
          </w:p>
        </w:tc>
        <w:tc>
          <w:tcPr/>
          <w:p>
            <w:pPr>
              <w:pStyle w:val="Compact"/>
            </w:pPr>
            <w:r>
              <w:rPr>
                <w:rFonts w:ascii="Calibri" w:hAnsi="Calibri"/>
                <w:sz w:val="20"/>
              </w:rPr>
              <w:t xml:space="preserve">33,7 [6,3; 73,8]</w:t>
            </w:r>
          </w:p>
        </w:tc>
      </w:tr>
      <w:tr>
        <w:tc>
          <w:tcPr/>
          <w:p>
            <w:pPr>
              <w:pStyle w:val="Compact"/>
            </w:pPr>
            <w:r>
              <w:rPr>
                <w:rFonts w:ascii="Calibri" w:hAnsi="Calibri"/>
                <w:sz w:val="20"/>
              </w:rPr>
              <w:t xml:space="preserve">Varianza 2035: actividad (%)</w:t>
            </w:r>
          </w:p>
        </w:tc>
        <w:tc>
          <w:tcPr/>
          <w:p>
            <w:pPr>
              <w:pStyle w:val="Compact"/>
            </w:pPr>
            <w:r>
              <w:rPr>
                <w:rFonts w:ascii="Calibri" w:hAnsi="Calibri"/>
                <w:sz w:val="20"/>
              </w:rPr>
              <w:t xml:space="preserve">19,0 [3,4; 45,2]</w:t>
            </w:r>
          </w:p>
        </w:tc>
        <w:tc>
          <w:tcPr/>
          <w:p>
            <w:pPr>
              <w:pStyle w:val="Compact"/>
            </w:pPr>
            <w:r>
              <w:rPr>
                <w:rFonts w:ascii="Calibri" w:hAnsi="Calibri"/>
                <w:sz w:val="20"/>
              </w:rPr>
              <w:t xml:space="preserve">20,2 [3,2; 52,1]</w:t>
            </w:r>
          </w:p>
        </w:tc>
        <w:tc>
          <w:tcPr/>
          <w:p>
            <w:pPr>
              <w:pStyle w:val="Compact"/>
            </w:pPr>
            <w:r>
              <w:rPr>
                <w:rFonts w:ascii="Calibri" w:hAnsi="Calibri"/>
                <w:sz w:val="20"/>
              </w:rPr>
              <w:t xml:space="preserve">24,9 [5,4; 55,4]</w:t>
            </w:r>
          </w:p>
        </w:tc>
        <w:tc>
          <w:tcPr/>
          <w:p>
            <w:pPr>
              <w:pStyle w:val="Compact"/>
            </w:pPr>
            <w:r>
              <w:rPr>
                <w:rFonts w:ascii="Calibri" w:hAnsi="Calibri"/>
                <w:sz w:val="20"/>
              </w:rPr>
              <w:t xml:space="preserve">14,0 [2,4; 37,1]</w:t>
            </w:r>
          </w:p>
        </w:tc>
        <w:tc>
          <w:tcPr/>
          <w:p>
            <w:pPr>
              <w:pStyle w:val="Compact"/>
            </w:pPr>
            <w:r>
              <w:rPr>
                <w:rFonts w:ascii="Calibri" w:hAnsi="Calibri"/>
                <w:sz w:val="20"/>
              </w:rPr>
              <w:t xml:space="preserve">18,4 [4,2; 44,8]</w:t>
            </w:r>
          </w:p>
        </w:tc>
        <w:tc>
          <w:tcPr/>
          <w:p>
            <w:pPr>
              <w:pStyle w:val="Compact"/>
            </w:pPr>
            <w:r>
              <w:rPr>
                <w:rFonts w:ascii="Calibri" w:hAnsi="Calibri"/>
                <w:sz w:val="20"/>
              </w:rPr>
              <w:t xml:space="preserve">16,1 [2,7; 40,1]</w:t>
            </w:r>
          </w:p>
        </w:tc>
        <w:tc>
          <w:tcPr/>
          <w:p>
            <w:pPr>
              <w:pStyle w:val="Compact"/>
            </w:pPr>
            <w:r>
              <w:rPr>
                <w:rFonts w:ascii="Calibri" w:hAnsi="Calibri"/>
                <w:sz w:val="20"/>
              </w:rPr>
              <w:t xml:space="preserve">6,5 [1,3; 18,7]</w:t>
            </w:r>
          </w:p>
        </w:tc>
      </w:tr>
      <w:tr>
        <w:tc>
          <w:tcPr/>
          <w:p>
            <w:pPr>
              <w:pStyle w:val="Compact"/>
            </w:pPr>
            <w:r>
              <w:rPr>
                <w:rFonts w:ascii="Calibri" w:hAnsi="Calibri"/>
                <w:sz w:val="20"/>
              </w:rPr>
              <w:t xml:space="preserve">Varianza 2035: cambiario y de riesgo (%)</w:t>
            </w:r>
          </w:p>
        </w:tc>
        <w:tc>
          <w:tcPr/>
          <w:p>
            <w:pPr>
              <w:pStyle w:val="Compact"/>
            </w:pPr>
            <w:r>
              <w:rPr>
                <w:rFonts w:ascii="Calibri" w:hAnsi="Calibri"/>
                <w:sz w:val="20"/>
              </w:rPr>
              <w:t xml:space="preserve">59,8 [12,6; 90,0]</w:t>
            </w:r>
          </w:p>
        </w:tc>
        <w:tc>
          <w:tcPr/>
          <w:p>
            <w:pPr>
              <w:pStyle w:val="Compact"/>
            </w:pPr>
            <w:r>
              <w:rPr>
                <w:rFonts w:ascii="Calibri" w:hAnsi="Calibri"/>
                <w:sz w:val="20"/>
              </w:rPr>
              <w:t xml:space="preserve">59,1 [14,5; 88,8]</w:t>
            </w:r>
          </w:p>
        </w:tc>
        <w:tc>
          <w:tcPr/>
          <w:p>
            <w:pPr>
              <w:pStyle w:val="Compact"/>
            </w:pPr>
            <w:r>
              <w:rPr>
                <w:rFonts w:ascii="Calibri" w:hAnsi="Calibri"/>
                <w:sz w:val="20"/>
              </w:rPr>
              <w:t xml:space="preserve">51,5 [5,7; 86,7]</w:t>
            </w:r>
          </w:p>
        </w:tc>
        <w:tc>
          <w:tcPr/>
          <w:p>
            <w:pPr>
              <w:pStyle w:val="Compact"/>
            </w:pPr>
            <w:r>
              <w:rPr>
                <w:rFonts w:ascii="Calibri" w:hAnsi="Calibri"/>
                <w:sz w:val="20"/>
              </w:rPr>
              <w:t xml:space="preserve">68,1 [27,5; 92,7]</w:t>
            </w:r>
          </w:p>
        </w:tc>
        <w:tc>
          <w:tcPr/>
          <w:p>
            <w:pPr>
              <w:pStyle w:val="Compact"/>
            </w:pPr>
            <w:r>
              <w:rPr>
                <w:rFonts w:ascii="Calibri" w:hAnsi="Calibri"/>
                <w:sz w:val="20"/>
              </w:rPr>
              <w:t xml:space="preserve">60,5 [12,3; 88,7]</w:t>
            </w:r>
          </w:p>
        </w:tc>
        <w:tc>
          <w:tcPr/>
          <w:p>
            <w:pPr>
              <w:pStyle w:val="Compact"/>
            </w:pPr>
            <w:r>
              <w:rPr>
                <w:rFonts w:ascii="Calibri" w:hAnsi="Calibri"/>
                <w:sz w:val="20"/>
              </w:rPr>
              <w:t xml:space="preserve">73,2 [30,2; 94,2]</w:t>
            </w:r>
          </w:p>
        </w:tc>
        <w:tc>
          <w:tcPr/>
          <w:p>
            <w:pPr>
              <w:pStyle w:val="Compact"/>
            </w:pPr>
            <w:r>
              <w:rPr>
                <w:rFonts w:ascii="Calibri" w:hAnsi="Calibri"/>
                <w:sz w:val="20"/>
              </w:rPr>
              <w:t xml:space="preserve">59,9 [12,6; 90,3]</w:t>
            </w:r>
          </w:p>
        </w:tc>
      </w:tr>
      <w:tr>
        <w:tc>
          <w:tcPr/>
          <w:p>
            <w:pPr>
              <w:pStyle w:val="Compact"/>
            </w:pPr>
            <w:r>
              <w:rPr>
                <w:rFonts w:ascii="Calibri" w:hAnsi="Calibri"/>
                <w:sz w:val="20"/>
              </w:rPr>
              <w:t xml:space="preserve">H1a: no fiscal menos fiscal</w:t>
            </w:r>
          </w:p>
        </w:tc>
        <w:tc>
          <w:tcPr/>
          <w:p>
            <w:pPr>
              <w:pStyle w:val="Compact"/>
            </w:pPr>
            <w:r>
              <w:rPr>
                <w:rFonts w:ascii="Calibri" w:hAnsi="Calibri"/>
                <w:sz w:val="20"/>
              </w:rPr>
              <w:t xml:space="preserve">57,7 [13,4; 92,0]</w:t>
            </w:r>
          </w:p>
        </w:tc>
        <w:tc>
          <w:tcPr/>
          <w:p>
            <w:pPr>
              <w:pStyle w:val="Compact"/>
            </w:pPr>
            <w:r>
              <w:rPr>
                <w:rFonts w:ascii="Calibri" w:hAnsi="Calibri"/>
                <w:sz w:val="20"/>
              </w:rPr>
              <w:t xml:space="preserve">58,5 [16,6; 90,8]</w:t>
            </w:r>
          </w:p>
        </w:tc>
        <w:tc>
          <w:tcPr/>
          <w:p>
            <w:pPr>
              <w:pStyle w:val="Compact"/>
            </w:pPr>
            <w:r>
              <w:rPr>
                <w:rFonts w:ascii="Calibri" w:hAnsi="Calibri"/>
                <w:sz w:val="20"/>
              </w:rPr>
              <w:t xml:space="preserve">52,6 [-7,5; 93,7]</w:t>
            </w:r>
          </w:p>
        </w:tc>
        <w:tc>
          <w:tcPr/>
          <w:p>
            <w:pPr>
              <w:pStyle w:val="Compact"/>
            </w:pPr>
            <w:r>
              <w:rPr>
                <w:rFonts w:ascii="Calibri" w:hAnsi="Calibri"/>
                <w:sz w:val="20"/>
              </w:rPr>
              <w:t xml:space="preserve">64,2 [17,4; 94,5]</w:t>
            </w:r>
          </w:p>
        </w:tc>
        <w:tc>
          <w:tcPr/>
          <w:p>
            <w:pPr>
              <w:pStyle w:val="Compact"/>
            </w:pPr>
            <w:r>
              <w:rPr>
                <w:rFonts w:ascii="Calibri" w:hAnsi="Calibri"/>
                <w:sz w:val="20"/>
              </w:rPr>
              <w:t xml:space="preserve">57,9 [11,9; 91,8]</w:t>
            </w:r>
          </w:p>
        </w:tc>
        <w:tc>
          <w:tcPr/>
          <w:p>
            <w:pPr>
              <w:pStyle w:val="Compact"/>
            </w:pPr>
            <w:r>
              <w:rPr>
                <w:rFonts w:ascii="Calibri" w:hAnsi="Calibri"/>
                <w:sz w:val="20"/>
              </w:rPr>
              <w:t xml:space="preserve">78,5 [34,7; 96,2]</w:t>
            </w:r>
          </w:p>
        </w:tc>
        <w:tc>
          <w:tcPr/>
          <w:p>
            <w:pPr>
              <w:pStyle w:val="Compact"/>
            </w:pPr>
            <w:r>
              <w:rPr>
                <w:rFonts w:ascii="Calibri" w:hAnsi="Calibri"/>
                <w:sz w:val="20"/>
              </w:rPr>
              <w:t xml:space="preserve">32,6 [-47,5; 87,4]</w:t>
            </w:r>
          </w:p>
        </w:tc>
      </w:tr>
      <w:tr>
        <w:tc>
          <w:tcPr/>
          <w:p>
            <w:pPr>
              <w:pStyle w:val="Compact"/>
            </w:pPr>
            <w:r>
              <w:rPr>
                <w:rFonts w:ascii="Calibri" w:hAnsi="Calibri"/>
                <w:sz w:val="20"/>
              </w:rPr>
              <w:t xml:space="preserve">H2: FED 1 desvío, Δ probabilidad 2035 (pp)</w:t>
            </w:r>
          </w:p>
        </w:tc>
        <w:tc>
          <w:tcPr/>
          <w:p>
            <w:pPr>
              <w:pStyle w:val="Compact"/>
            </w:pPr>
            <w:r>
              <w:rPr>
                <w:rFonts w:ascii="Calibri" w:hAnsi="Calibri"/>
                <w:sz w:val="20"/>
              </w:rPr>
              <w:t xml:space="preserve">0,7 [0,0; 1,7]</w:t>
            </w:r>
          </w:p>
        </w:tc>
        <w:tc>
          <w:tcPr/>
          <w:p>
            <w:pPr>
              <w:pStyle w:val="Compact"/>
            </w:pPr>
            <w:r>
              <w:rPr>
                <w:rFonts w:ascii="Calibri" w:hAnsi="Calibri"/>
                <w:sz w:val="20"/>
              </w:rPr>
              <w:t xml:space="preserve">0,8 [0,0; 1,8]</w:t>
            </w:r>
          </w:p>
        </w:tc>
        <w:tc>
          <w:tcPr/>
          <w:p>
            <w:pPr>
              <w:pStyle w:val="Compact"/>
            </w:pPr>
            <w:r>
              <w:rPr>
                <w:rFonts w:ascii="Calibri" w:hAnsi="Calibri"/>
                <w:sz w:val="20"/>
              </w:rPr>
              <w:t xml:space="preserve">0,7 [0,0; 1,5]</w:t>
            </w:r>
          </w:p>
        </w:tc>
        <w:tc>
          <w:tcPr/>
          <w:p>
            <w:pPr>
              <w:pStyle w:val="Compact"/>
            </w:pPr>
            <w:r>
              <w:rPr>
                <w:rFonts w:ascii="Calibri" w:hAnsi="Calibri"/>
                <w:sz w:val="20"/>
              </w:rPr>
              <w:t xml:space="preserve">0,8 [0,0; 2,0]</w:t>
            </w:r>
          </w:p>
        </w:tc>
        <w:tc>
          <w:tcPr/>
          <w:p>
            <w:pPr>
              <w:pStyle w:val="Compact"/>
            </w:pPr>
            <w:r>
              <w:rPr>
                <w:rFonts w:ascii="Calibri" w:hAnsi="Calibri"/>
                <w:sz w:val="20"/>
              </w:rPr>
              <w:t xml:space="preserve">0,6 [0,0; 1,5]</w:t>
            </w:r>
          </w:p>
        </w:tc>
        <w:tc>
          <w:tcPr/>
          <w:p>
            <w:pPr>
              <w:pStyle w:val="Compact"/>
            </w:pPr>
            <w:r>
              <w:rPr>
                <w:rFonts w:ascii="Calibri" w:hAnsi="Calibri"/>
                <w:sz w:val="20"/>
              </w:rPr>
              <w:t xml:space="preserve">0,7 [0,0; 1,5]</w:t>
            </w:r>
          </w:p>
        </w:tc>
        <w:tc>
          <w:tcPr/>
          <w:p>
            <w:pPr>
              <w:pStyle w:val="Compact"/>
            </w:pPr>
            <w:r>
              <w:rPr>
                <w:rFonts w:ascii="Calibri" w:hAnsi="Calibri"/>
                <w:sz w:val="20"/>
              </w:rPr>
              <w:t xml:space="preserve">0,7 [0,0; 1,7]</w:t>
            </w:r>
          </w:p>
        </w:tc>
      </w:tr>
      <w:tr>
        <w:tc>
          <w:tcPr/>
          <w:p>
            <w:pPr>
              <w:pStyle w:val="Compact"/>
            </w:pPr>
            <w:r>
              <w:rPr>
                <w:rFonts w:ascii="Calibri" w:hAnsi="Calibri"/>
                <w:sz w:val="20"/>
              </w:rPr>
              <w:t xml:space="preserve">H2: FED 2022-2023, Δ probabilidad 2035 (pp)</w:t>
            </w:r>
          </w:p>
        </w:tc>
        <w:tc>
          <w:tcPr/>
          <w:p>
            <w:pPr>
              <w:pStyle w:val="Compact"/>
            </w:pPr>
            <w:r>
              <w:rPr>
                <w:rFonts w:ascii="Calibri" w:hAnsi="Calibri"/>
                <w:sz w:val="20"/>
              </w:rPr>
              <w:t xml:space="preserve">9,5 [3,7; 19,0]</w:t>
            </w:r>
          </w:p>
        </w:tc>
        <w:tc>
          <w:tcPr/>
          <w:p>
            <w:pPr>
              <w:pStyle w:val="Compact"/>
            </w:pPr>
            <w:r>
              <w:rPr>
                <w:rFonts w:ascii="Calibri" w:hAnsi="Calibri"/>
                <w:sz w:val="20"/>
              </w:rPr>
              <w:t xml:space="preserve">10,1 [3,8; 20,3]</w:t>
            </w:r>
          </w:p>
        </w:tc>
        <w:tc>
          <w:tcPr/>
          <w:p>
            <w:pPr>
              <w:pStyle w:val="Compact"/>
            </w:pPr>
            <w:r>
              <w:rPr>
                <w:rFonts w:ascii="Calibri" w:hAnsi="Calibri"/>
                <w:sz w:val="20"/>
              </w:rPr>
              <w:t xml:space="preserve">8,7 [2,8; 15,8]</w:t>
            </w:r>
          </w:p>
        </w:tc>
        <w:tc>
          <w:tcPr/>
          <w:p>
            <w:pPr>
              <w:pStyle w:val="Compact"/>
            </w:pPr>
            <w:r>
              <w:rPr>
                <w:rFonts w:ascii="Calibri" w:hAnsi="Calibri"/>
                <w:sz w:val="20"/>
              </w:rPr>
              <w:t xml:space="preserve">11,0 [3,0; 25,0]</w:t>
            </w:r>
          </w:p>
        </w:tc>
        <w:tc>
          <w:tcPr/>
          <w:p>
            <w:pPr>
              <w:pStyle w:val="Compact"/>
            </w:pPr>
            <w:r>
              <w:rPr>
                <w:rFonts w:ascii="Calibri" w:hAnsi="Calibri"/>
                <w:sz w:val="20"/>
              </w:rPr>
              <w:t xml:space="preserve">8,2 [3,8; 15,8]</w:t>
            </w:r>
          </w:p>
        </w:tc>
        <w:tc>
          <w:tcPr/>
          <w:p>
            <w:pPr>
              <w:pStyle w:val="Compact"/>
            </w:pPr>
            <w:r>
              <w:rPr>
                <w:rFonts w:ascii="Calibri" w:hAnsi="Calibri"/>
                <w:sz w:val="20"/>
              </w:rPr>
              <w:t xml:space="preserve">9,4 [3,7; 19,0]</w:t>
            </w:r>
          </w:p>
        </w:tc>
        <w:tc>
          <w:tcPr/>
          <w:p>
            <w:pPr>
              <w:pStyle w:val="Compact"/>
            </w:pPr>
            <w:r>
              <w:rPr>
                <w:rFonts w:ascii="Calibri" w:hAnsi="Calibri"/>
                <w:sz w:val="20"/>
              </w:rPr>
              <w:t xml:space="preserve">9,5 [3,5; 19,0]</w:t>
            </w:r>
          </w:p>
        </w:tc>
      </w:tr>
      <w:tr>
        <w:tc>
          <w:tcPr/>
          <w:p>
            <w:pPr>
              <w:pStyle w:val="Compact"/>
            </w:pPr>
            <w:r>
              <w:rPr>
                <w:rFonts w:ascii="Calibri" w:hAnsi="Calibri"/>
                <w:sz w:val="20"/>
              </w:rPr>
              <w:t xml:space="preserve">H2: FED 2022-2023, Δ deuda 2035 (pp PIB)</w:t>
            </w:r>
          </w:p>
        </w:tc>
        <w:tc>
          <w:tcPr/>
          <w:p>
            <w:pPr>
              <w:pStyle w:val="Compact"/>
            </w:pPr>
            <w:r>
              <w:rPr>
                <w:rFonts w:ascii="Calibri" w:hAnsi="Calibri"/>
                <w:sz w:val="20"/>
              </w:rPr>
              <w:t xml:space="preserve">7,8 [1,9; 17,5]</w:t>
            </w:r>
          </w:p>
        </w:tc>
        <w:tc>
          <w:tcPr/>
          <w:p>
            <w:pPr>
              <w:pStyle w:val="Compact"/>
            </w:pPr>
            <w:r>
              <w:rPr>
                <w:rFonts w:ascii="Calibri" w:hAnsi="Calibri"/>
                <w:sz w:val="20"/>
              </w:rPr>
              <w:t xml:space="preserve">8,4 [2,1; 18,8]</w:t>
            </w:r>
          </w:p>
        </w:tc>
        <w:tc>
          <w:tcPr/>
          <w:p>
            <w:pPr>
              <w:pStyle w:val="Compact"/>
            </w:pPr>
            <w:r>
              <w:rPr>
                <w:rFonts w:ascii="Calibri" w:hAnsi="Calibri"/>
                <w:sz w:val="20"/>
              </w:rPr>
              <w:t xml:space="preserve">7,5 [0,6; 15,9]</w:t>
            </w:r>
          </w:p>
        </w:tc>
        <w:tc>
          <w:tcPr/>
          <w:p>
            <w:pPr>
              <w:pStyle w:val="Compact"/>
            </w:pPr>
            <w:r>
              <w:rPr>
                <w:rFonts w:ascii="Calibri" w:hAnsi="Calibri"/>
                <w:sz w:val="20"/>
              </w:rPr>
              <w:t xml:space="preserve">8,8 [1,1; 21,7]</w:t>
            </w:r>
          </w:p>
        </w:tc>
        <w:tc>
          <w:tcPr/>
          <w:p>
            <w:pPr>
              <w:pStyle w:val="Compact"/>
            </w:pPr>
            <w:r>
              <w:rPr>
                <w:rFonts w:ascii="Calibri" w:hAnsi="Calibri"/>
                <w:sz w:val="20"/>
              </w:rPr>
              <w:t xml:space="preserve">7,6 [2,2; 16,0]</w:t>
            </w:r>
          </w:p>
        </w:tc>
        <w:tc>
          <w:tcPr/>
          <w:p>
            <w:pPr>
              <w:pStyle w:val="Compact"/>
            </w:pPr>
            <w:r>
              <w:rPr>
                <w:rFonts w:ascii="Calibri" w:hAnsi="Calibri"/>
                <w:sz w:val="20"/>
              </w:rPr>
              <w:t xml:space="preserve">7,8 [1,9; 17,5]</w:t>
            </w:r>
          </w:p>
        </w:tc>
        <w:tc>
          <w:tcPr/>
          <w:p>
            <w:pPr>
              <w:pStyle w:val="Compact"/>
            </w:pPr>
            <w:r>
              <w:rPr>
                <w:rFonts w:ascii="Calibri" w:hAnsi="Calibri"/>
                <w:sz w:val="20"/>
              </w:rPr>
              <w:t xml:space="preserve">7,8 [1,9; 17,5]</w:t>
            </w:r>
          </w:p>
        </w:tc>
      </w:tr>
    </w:tbl>
    <w:bookmarkEnd w:id="110"/>
    <w:bookmarkEnd w:id="111"/>
    <w:bookmarkStart w:id="112" w:name="referencias"/>
    <w:p>
      <w:pPr>
        <w:pStyle w:val="Heading1"/>
      </w:pPr>
      <w:r>
        <w:t xml:space="preserve">Referencias</w:t>
      </w:r>
    </w:p>
    <w:p>
      <w:pPr>
        <w:pStyle w:val="Compact"/>
        <w:numPr>
          <w:ilvl w:val="0"/>
          <w:numId w:val="1010"/>
        </w:numPr>
      </w:pPr>
      <w:r>
        <w:t xml:space="preserve">Adler, G., Djigbenou, M.-L., y Sosa, S. (2016). Global financial shocks and foreign asset repatriation: Do local investors play a stabilizing role?</w:t>
      </w:r>
      <w:r>
        <w:t xml:space="preserve"> </w:t>
      </w:r>
      <w:r>
        <w:rPr>
          <w:i/>
          <w:iCs/>
        </w:rPr>
        <w:t xml:space="preserve">Journal of International Money and Finance</w:t>
      </w:r>
      <w:r>
        <w:t xml:space="preserve">, 60, 8-28.</w:t>
      </w:r>
    </w:p>
    <w:p>
      <w:pPr>
        <w:pStyle w:val="Compact"/>
        <w:numPr>
          <w:ilvl w:val="0"/>
          <w:numId w:val="1010"/>
        </w:numPr>
      </w:pPr>
      <w:r>
        <w:t xml:space="preserve">Adler, G., y Sosa, S. (2013).</w:t>
      </w:r>
      <w:r>
        <w:t xml:space="preserve"> </w:t>
      </w:r>
      <w:r>
        <w:rPr>
          <w:i/>
          <w:iCs/>
        </w:rPr>
        <w:t xml:space="preserve">External conditions and debt sustainability in Latin America</w:t>
      </w:r>
      <w:r>
        <w:t xml:space="preserve"> </w:t>
      </w:r>
      <w:r>
        <w:t xml:space="preserve">(IMF Working Paper No. 13/27). Fondo Monetario Internacional.</w:t>
      </w:r>
    </w:p>
    <w:p>
      <w:pPr>
        <w:pStyle w:val="Compact"/>
        <w:numPr>
          <w:ilvl w:val="0"/>
          <w:numId w:val="1010"/>
        </w:numPr>
      </w:pPr>
      <w:r>
        <w:t xml:space="preserve">Ando, S., Mishra, P., Patel, N., Peralta-Alva, A., y Presbitero, A. F. (2025). Fiscal consolidation and public debt.</w:t>
      </w:r>
      <w:r>
        <w:t xml:space="preserve"> </w:t>
      </w:r>
      <w:r>
        <w:rPr>
          <w:i/>
          <w:iCs/>
        </w:rPr>
        <w:t xml:space="preserve">Journal of Economic Dynamics and Control</w:t>
      </w:r>
      <w:r>
        <w:t xml:space="preserve">, 170, artículo 104998. https://doi.org/10.1016/j.jedc.2024.104998</w:t>
      </w:r>
    </w:p>
    <w:p>
      <w:pPr>
        <w:pStyle w:val="Compact"/>
        <w:numPr>
          <w:ilvl w:val="0"/>
          <w:numId w:val="1010"/>
        </w:numPr>
      </w:pPr>
      <w:r>
        <w:t xml:space="preserve">Aruguete, E. (2021). Crisis de balanza de pagos y recuperación de la sostenibilidad de la deuda pública en la Argentina (2016-2020).</w:t>
      </w:r>
      <w:r>
        <w:t xml:space="preserve"> </w:t>
      </w:r>
      <w:r>
        <w:rPr>
          <w:i/>
          <w:iCs/>
        </w:rPr>
        <w:t xml:space="preserve">Revista Estado y Políticas Públicas</w:t>
      </w:r>
      <w:r>
        <w:t xml:space="preserve">, (16), 101-123.</w:t>
      </w:r>
    </w:p>
    <w:p>
      <w:pPr>
        <w:pStyle w:val="Compact"/>
        <w:numPr>
          <w:ilvl w:val="0"/>
          <w:numId w:val="1010"/>
        </w:numPr>
      </w:pPr>
      <w:r>
        <w:t xml:space="preserve">Bai, J., y Perron, P. (2003). Computation and analysis of multiple structural change models.</w:t>
      </w:r>
      <w:r>
        <w:t xml:space="preserve"> </w:t>
      </w:r>
      <w:r>
        <w:rPr>
          <w:i/>
          <w:iCs/>
        </w:rPr>
        <w:t xml:space="preserve">Journal of Applied Econometrics</w:t>
      </w:r>
      <w:r>
        <w:t xml:space="preserve">, 18(1), 1-22.</w:t>
      </w:r>
    </w:p>
    <w:p>
      <w:pPr>
        <w:pStyle w:val="Compact"/>
        <w:numPr>
          <w:ilvl w:val="0"/>
          <w:numId w:val="1010"/>
        </w:numPr>
      </w:pPr>
      <w:r>
        <w:t xml:space="preserve">Banco Central de la República Argentina. (s. f.).</w:t>
      </w:r>
      <w:r>
        <w:t xml:space="preserve"> </w:t>
      </w:r>
      <w:r>
        <w:rPr>
          <w:i/>
          <w:iCs/>
        </w:rPr>
        <w:t xml:space="preserve">Balance del Banco Central, serie histórica</w:t>
      </w:r>
      <w:r>
        <w:t xml:space="preserve"> </w:t>
      </w:r>
      <w:r>
        <w:t xml:space="preserve">[Conjunto de datos]. https://www.bcra.gob.ar/Pdfs/PublicacionesEstadisticas/balbcrhis.xls</w:t>
      </w:r>
    </w:p>
    <w:p>
      <w:pPr>
        <w:pStyle w:val="Compact"/>
        <w:numPr>
          <w:ilvl w:val="0"/>
          <w:numId w:val="1010"/>
        </w:numPr>
      </w:pPr>
      <w:r>
        <w:t xml:space="preserve">Banco Central de la República Argentina. (2025).</w:t>
      </w:r>
      <w:r>
        <w:t xml:space="preserve"> </w:t>
      </w:r>
      <w:r>
        <w:rPr>
          <w:i/>
          <w:iCs/>
        </w:rPr>
        <w:t xml:space="preserve">Informe monetario mensual, junio de 2025</w:t>
      </w:r>
      <w:r>
        <w:t xml:space="preserve">. https://www.bcra.gob.ar/archivos/Pdfs/PublicacionesEstadisticas/informe-monetario-mensual-jun-25.pdf</w:t>
      </w:r>
    </w:p>
    <w:p>
      <w:pPr>
        <w:pStyle w:val="Compact"/>
        <w:numPr>
          <w:ilvl w:val="0"/>
          <w:numId w:val="1010"/>
        </w:numPr>
      </w:pPr>
      <w:r>
        <w:t xml:space="preserve">Banco Central de la República Argentina. (2026).</w:t>
      </w:r>
      <w:r>
        <w:t xml:space="preserve"> </w:t>
      </w:r>
      <w:r>
        <w:rPr>
          <w:i/>
          <w:iCs/>
        </w:rPr>
        <w:t xml:space="preserve">Informe monetario mensual, diciembre de 2025</w:t>
      </w:r>
      <w:r>
        <w:t xml:space="preserve">. https://www.bcra.gob.ar/archivos/Pdfs/PublicacionesEstadisticas/informe-monetario-mensual-dic-25.pdf</w:t>
      </w:r>
    </w:p>
    <w:p>
      <w:pPr>
        <w:pStyle w:val="Compact"/>
        <w:numPr>
          <w:ilvl w:val="0"/>
          <w:numId w:val="1010"/>
        </w:numPr>
      </w:pPr>
      <w:r>
        <w:t xml:space="preserve">Blanchard, O. (1990).</w:t>
      </w:r>
      <w:r>
        <w:t xml:space="preserve"> </w:t>
      </w:r>
      <w:r>
        <w:rPr>
          <w:i/>
          <w:iCs/>
        </w:rPr>
        <w:t xml:space="preserve">Suggestions for a new set of fiscal indicators</w:t>
      </w:r>
      <w:r>
        <w:t xml:space="preserve"> </w:t>
      </w:r>
      <w:r>
        <w:t xml:space="preserve">(OECD Economics Department Working Papers No. 79). OECD Publishing.</w:t>
      </w:r>
    </w:p>
    <w:p>
      <w:pPr>
        <w:pStyle w:val="Compact"/>
        <w:numPr>
          <w:ilvl w:val="0"/>
          <w:numId w:val="1010"/>
        </w:numPr>
      </w:pPr>
      <w:r>
        <w:t xml:space="preserve">Blanchard, O. (2019). Public debt and low interest rates.</w:t>
      </w:r>
      <w:r>
        <w:t xml:space="preserve"> </w:t>
      </w:r>
      <w:r>
        <w:rPr>
          <w:i/>
          <w:iCs/>
        </w:rPr>
        <w:t xml:space="preserve">American Economic Review</w:t>
      </w:r>
      <w:r>
        <w:t xml:space="preserve">, 109(4), 1197-1229.</w:t>
      </w:r>
    </w:p>
    <w:p>
      <w:pPr>
        <w:pStyle w:val="Compact"/>
        <w:numPr>
          <w:ilvl w:val="0"/>
          <w:numId w:val="1010"/>
        </w:numPr>
      </w:pPr>
      <w:r>
        <w:t xml:space="preserve">Blanchard, O., y Perotti, R. (2002). An empirical characterization of the dynamic effects of changes in government spending and taxes on output.</w:t>
      </w:r>
      <w:r>
        <w:t xml:space="preserve"> </w:t>
      </w:r>
      <w:r>
        <w:rPr>
          <w:i/>
          <w:iCs/>
        </w:rPr>
        <w:t xml:space="preserve">Quarterly Journal of Economics</w:t>
      </w:r>
      <w:r>
        <w:t xml:space="preserve">, 117(4), 1329-1368.</w:t>
      </w:r>
    </w:p>
    <w:p>
      <w:pPr>
        <w:pStyle w:val="Compact"/>
        <w:numPr>
          <w:ilvl w:val="0"/>
          <w:numId w:val="1010"/>
        </w:numPr>
      </w:pPr>
      <w:r>
        <w:t xml:space="preserve">Board of Governors of the Federal Reserve System (US). (s. f.).</w:t>
      </w:r>
      <w:r>
        <w:t xml:space="preserve"> </w:t>
      </w:r>
      <w:r>
        <w:rPr>
          <w:i/>
          <w:iCs/>
        </w:rPr>
        <w:t xml:space="preserve">Federal funds effective rate</w:t>
      </w:r>
      <w:r>
        <w:t xml:space="preserve"> </w:t>
      </w:r>
      <w:r>
        <w:t xml:space="preserve">[FEDFUNDS; conjunto de datos]. Federal Reserve Bank of St. Louis, FRED. https://fred.stlouisfed.org/series/FEDFUNDS</w:t>
      </w:r>
    </w:p>
    <w:p>
      <w:pPr>
        <w:pStyle w:val="Compact"/>
        <w:numPr>
          <w:ilvl w:val="0"/>
          <w:numId w:val="1010"/>
        </w:numPr>
      </w:pPr>
      <w:r>
        <w:t xml:space="preserve">Bohn, H. (1998). The behavior of U.S. public debt and deficits.</w:t>
      </w:r>
      <w:r>
        <w:t xml:space="preserve"> </w:t>
      </w:r>
      <w:r>
        <w:rPr>
          <w:i/>
          <w:iCs/>
        </w:rPr>
        <w:t xml:space="preserve">Quarterly Journal of Economics</w:t>
      </w:r>
      <w:r>
        <w:t xml:space="preserve">, 113(3), 949-963.</w:t>
      </w:r>
    </w:p>
    <w:p>
      <w:pPr>
        <w:pStyle w:val="Compact"/>
        <w:numPr>
          <w:ilvl w:val="0"/>
          <w:numId w:val="1010"/>
        </w:numPr>
      </w:pPr>
      <w:r>
        <w:t xml:space="preserve">Bohn, H. (2005).</w:t>
      </w:r>
      <w:r>
        <w:t xml:space="preserve"> </w:t>
      </w:r>
      <w:r>
        <w:rPr>
          <w:i/>
          <w:iCs/>
        </w:rPr>
        <w:t xml:space="preserve">The sustainability of fiscal policy in the United States</w:t>
      </w:r>
      <w:r>
        <w:t xml:space="preserve"> </w:t>
      </w:r>
      <w:r>
        <w:t xml:space="preserve">(CESifo Working Paper No. 1446). CESifo.</w:t>
      </w:r>
    </w:p>
    <w:p>
      <w:pPr>
        <w:pStyle w:val="Compact"/>
        <w:numPr>
          <w:ilvl w:val="0"/>
          <w:numId w:val="1010"/>
        </w:numPr>
      </w:pPr>
      <w:r>
        <w:t xml:space="preserve">Bohn, H. (2007). Are stationarity and cointegration restrictions really necessary for the intertemporal budget constraint?</w:t>
      </w:r>
      <w:r>
        <w:t xml:space="preserve"> </w:t>
      </w:r>
      <w:r>
        <w:rPr>
          <w:i/>
          <w:iCs/>
        </w:rPr>
        <w:t xml:space="preserve">Journal of Monetary Economics, 54</w:t>
      </w:r>
      <w:r>
        <w:t xml:space="preserve">(7), 1837-1847.</w:t>
      </w:r>
    </w:p>
    <w:p>
      <w:pPr>
        <w:pStyle w:val="Compact"/>
        <w:numPr>
          <w:ilvl w:val="0"/>
          <w:numId w:val="1010"/>
        </w:numPr>
      </w:pPr>
      <w:r>
        <w:t xml:space="preserve">Bohoslavsky, J. P., y Cantamutto, F. J. (2024). Deuda pública y desarrollo (no)sustentable en Argentina. Una visión crítica sobre la especialización productiva.</w:t>
      </w:r>
      <w:r>
        <w:t xml:space="preserve"> </w:t>
      </w:r>
      <w:r>
        <w:rPr>
          <w:i/>
          <w:iCs/>
        </w:rPr>
        <w:t xml:space="preserve">FACES</w:t>
      </w:r>
      <w:r>
        <w:t xml:space="preserve">, 30(62), 1-18.</w:t>
      </w:r>
    </w:p>
    <w:p>
      <w:pPr>
        <w:pStyle w:val="Compact"/>
        <w:numPr>
          <w:ilvl w:val="0"/>
          <w:numId w:val="1010"/>
        </w:numPr>
      </w:pPr>
      <w:r>
        <w:t xml:space="preserve">Bouabdallah, O., Checherita-Westphal, C., Warmedinger, T., de Stefani, R., Drudi, F., Setzer, R., y Westphal, A. (2017).</w:t>
      </w:r>
      <w:r>
        <w:t xml:space="preserve"> </w:t>
      </w:r>
      <w:r>
        <w:rPr>
          <w:i/>
          <w:iCs/>
        </w:rPr>
        <w:t xml:space="preserve">Debt sustainability analysis for euro area sovereigns: A methodological framework</w:t>
      </w:r>
      <w:r>
        <w:t xml:space="preserve"> </w:t>
      </w:r>
      <w:r>
        <w:t xml:space="preserve">(ECB Occasional Paper No. 185). Banco Central Europeo.</w:t>
      </w:r>
    </w:p>
    <w:p>
      <w:pPr>
        <w:pStyle w:val="Compact"/>
        <w:numPr>
          <w:ilvl w:val="0"/>
          <w:numId w:val="1010"/>
        </w:numPr>
      </w:pPr>
      <w:r>
        <w:t xml:space="preserve">Braun, O., y Joy, L. (1968). A model of economic stagnation: A case study of the Argentine economy.</w:t>
      </w:r>
      <w:r>
        <w:t xml:space="preserve"> </w:t>
      </w:r>
      <w:r>
        <w:rPr>
          <w:i/>
          <w:iCs/>
        </w:rPr>
        <w:t xml:space="preserve">The Economic Journal, 78</w:t>
      </w:r>
      <w:r>
        <w:t xml:space="preserve">(312), 868-887. https://doi.org/10.2307/2229183</w:t>
      </w:r>
    </w:p>
    <w:p>
      <w:pPr>
        <w:pStyle w:val="Compact"/>
        <w:numPr>
          <w:ilvl w:val="0"/>
          <w:numId w:val="1010"/>
        </w:numPr>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w:t>
      </w:r>
    </w:p>
    <w:p>
      <w:pPr>
        <w:pStyle w:val="Compact"/>
        <w:numPr>
          <w:ilvl w:val="0"/>
          <w:numId w:val="1010"/>
        </w:numPr>
      </w:pPr>
      <w:r>
        <w:t xml:space="preserve">Canova, F. (2005). The transmission of US shocks to Latin America.</w:t>
      </w:r>
      <w:r>
        <w:t xml:space="preserve"> </w:t>
      </w:r>
      <w:r>
        <w:rPr>
          <w:i/>
          <w:iCs/>
        </w:rPr>
        <w:t xml:space="preserve">Journal of Applied Econometrics</w:t>
      </w:r>
      <w:r>
        <w:t xml:space="preserve">, 20(2), 229-251.</w:t>
      </w:r>
    </w:p>
    <w:p>
      <w:pPr>
        <w:pStyle w:val="Compact"/>
        <w:numPr>
          <w:ilvl w:val="0"/>
          <w:numId w:val="1010"/>
        </w:numPr>
      </w:pPr>
      <w:r>
        <w:t xml:space="preserve">Cantamutto, F. J., Lobato, J., Rodríguez-Enríquez, C., y Féliz, M. (2024). Sustentabilidad de la deuda y derechos humanos desde la perspectiva de la sostenibilidad de la vida. En J. P. Bohoslavsky y M. L. Clérico (Eds.),</w:t>
      </w:r>
      <w:r>
        <w:t xml:space="preserve"> </w:t>
      </w:r>
      <w:r>
        <w:rPr>
          <w:i/>
          <w:iCs/>
        </w:rPr>
        <w:t xml:space="preserve">Deuda y derechos humanos: Claves desde el sistema interamericano</w:t>
      </w:r>
      <w:r>
        <w:t xml:space="preserve"> </w:t>
      </w:r>
      <w:r>
        <w:t xml:space="preserve">(pp. 170-195). EDULP.</w:t>
      </w:r>
    </w:p>
    <w:p>
      <w:pPr>
        <w:pStyle w:val="Compact"/>
        <w:numPr>
          <w:ilvl w:val="0"/>
          <w:numId w:val="1010"/>
        </w:numPr>
      </w:pPr>
      <w:r>
        <w:t xml:space="preserve">Cantamutto, F. J., y Féliz, M. (2021). Argentina entre la sostenibilidad de la deuda y la vida.</w:t>
      </w:r>
      <w:r>
        <w:t xml:space="preserve"> </w:t>
      </w:r>
      <w:r>
        <w:rPr>
          <w:i/>
          <w:iCs/>
        </w:rPr>
        <w:t xml:space="preserve">Revista Nuestramérica</w:t>
      </w:r>
      <w:r>
        <w:t xml:space="preserve">, 9(17), e6167845.</w:t>
      </w:r>
    </w:p>
    <w:p>
      <w:pPr>
        <w:pStyle w:val="Compact"/>
        <w:numPr>
          <w:ilvl w:val="0"/>
          <w:numId w:val="1010"/>
        </w:numPr>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WP/06/67).</w:t>
      </w:r>
    </w:p>
    <w:p>
      <w:pPr>
        <w:pStyle w:val="Compact"/>
        <w:numPr>
          <w:ilvl w:val="0"/>
          <w:numId w:val="1010"/>
        </w:numPr>
      </w:pPr>
      <w:r>
        <w:t xml:space="preserve">Cetrángolo, O., Damill, M., Frenkel, R., y Jiménez, J. P. (1997).</w:t>
      </w:r>
      <w:r>
        <w:t xml:space="preserve"> </w:t>
      </w:r>
      <w:r>
        <w:rPr>
          <w:i/>
          <w:iCs/>
        </w:rPr>
        <w:t xml:space="preserve">La sostenibilidad de la política fiscal en América Latina: El caso argentino</w:t>
      </w:r>
      <w:r>
        <w:t xml:space="preserve"> </w:t>
      </w:r>
      <w:r>
        <w:t xml:space="preserve">(Documento de Trabajo R-315). Banco Interamericano de Desarrollo, Red de Centros de Investigación.</w:t>
      </w:r>
    </w:p>
    <w:p>
      <w:pPr>
        <w:pStyle w:val="Compact"/>
        <w:numPr>
          <w:ilvl w:val="0"/>
          <w:numId w:val="1010"/>
        </w:numPr>
      </w:pPr>
      <w:r>
        <w:t xml:space="preserve">Chequeado. (2025, diciembre).</w:t>
      </w:r>
      <w:r>
        <w:t xml:space="preserve"> </w:t>
      </w:r>
      <w:r>
        <w:rPr>
          <w:i/>
          <w:iCs/>
        </w:rPr>
        <w:t xml:space="preserve">Luis Caputo anunció la colocación de un bono por US$ 910 millones: qué implica el regreso al mercado de deuda</w:t>
      </w:r>
      <w:r>
        <w:t xml:space="preserve">. https://chequeado.com/el-explicador/luis-caputo-anuncio-un-bono-a-4-anos-que-significa-que-el-pais-vuelva-al-mercado-de-deuda/</w:t>
      </w:r>
    </w:p>
    <w:p>
      <w:pPr>
        <w:pStyle w:val="Compact"/>
        <w:numPr>
          <w:ilvl w:val="0"/>
          <w:numId w:val="1010"/>
        </w:numPr>
      </w:pPr>
      <w:r>
        <w:t xml:space="preserve">Christiano, L. J., Eichenbaum, M., y Evans, C. L. (1999). Monetary policy shocks: What have we learned and to what end? En J. B. Taylor y M. Woodford (Eds.),</w:t>
      </w:r>
      <w:r>
        <w:t xml:space="preserve"> </w:t>
      </w:r>
      <w:r>
        <w:rPr>
          <w:i/>
          <w:iCs/>
        </w:rPr>
        <w:t xml:space="preserve">Handbook of Macroeconomics</w:t>
      </w:r>
      <w:r>
        <w:t xml:space="preserve"> </w:t>
      </w:r>
      <w:r>
        <w:t xml:space="preserve">(Vol. 1A, pp. 65-148). Elsevier.</w:t>
      </w:r>
    </w:p>
    <w:p>
      <w:pPr>
        <w:pStyle w:val="Compact"/>
        <w:numPr>
          <w:ilvl w:val="0"/>
          <w:numId w:val="1010"/>
        </w:numPr>
      </w:pPr>
      <w:r>
        <w:t xml:space="preserve">Comín Comín, F. (2014).</w:t>
      </w:r>
      <w:r>
        <w:t xml:space="preserve"> </w:t>
      </w:r>
      <w:r>
        <w:rPr>
          <w:i/>
          <w:iCs/>
        </w:rPr>
        <w:t xml:space="preserve">Historia económica mundial: De los orígenes a la actualidad</w:t>
      </w:r>
      <w:r>
        <w:t xml:space="preserve">. Alianza Editorial.</w:t>
      </w:r>
    </w:p>
    <w:p>
      <w:pPr>
        <w:pStyle w:val="Compact"/>
        <w:numPr>
          <w:ilvl w:val="0"/>
          <w:numId w:val="1010"/>
        </w:numPr>
      </w:pPr>
      <w:r>
        <w:t xml:space="preserve">Cushman, D. O., y Zha, T. (1997). Identifying monetary policy in a small open economy under flexible exchange rates.</w:t>
      </w:r>
      <w:r>
        <w:t xml:space="preserve"> </w:t>
      </w:r>
      <w:r>
        <w:rPr>
          <w:i/>
          <w:iCs/>
        </w:rPr>
        <w:t xml:space="preserve">Journal of Monetary Economics</w:t>
      </w:r>
      <w:r>
        <w:t xml:space="preserve">, 39(3), 433-448.</w:t>
      </w:r>
    </w:p>
    <w:p>
      <w:pPr>
        <w:pStyle w:val="Compact"/>
        <w:numPr>
          <w:ilvl w:val="0"/>
          <w:numId w:val="1010"/>
        </w:numPr>
      </w:pPr>
      <w:r>
        <w:t xml:space="preserve">Damill, M., Frenkel, R., y Rapetti, M. (2015). Macroeconomic policy in Argentina during 2002-2013.</w:t>
      </w:r>
      <w:r>
        <w:t xml:space="preserve"> </w:t>
      </w:r>
      <w:r>
        <w:rPr>
          <w:i/>
          <w:iCs/>
        </w:rPr>
        <w:t xml:space="preserve">Comparative Economic Studies</w:t>
      </w:r>
      <w:r>
        <w:t xml:space="preserve">, 57(3), 369-400.</w:t>
      </w:r>
    </w:p>
    <w:p>
      <w:pPr>
        <w:pStyle w:val="Compact"/>
        <w:numPr>
          <w:ilvl w:val="0"/>
          <w:numId w:val="1010"/>
        </w:numPr>
      </w:pPr>
      <w:r>
        <w:t xml:space="preserve">della Paolera, G., y Taylor, A. M. (2001).</w:t>
      </w:r>
      <w:r>
        <w:t xml:space="preserve"> </w:t>
      </w:r>
      <w:r>
        <w:rPr>
          <w:i/>
          <w:iCs/>
        </w:rPr>
        <w:t xml:space="preserve">Straining at the anchor: The Argentine currency board and the search for macroeconomic stability, 1880-1935</w:t>
      </w:r>
      <w:r>
        <w:t xml:space="preserve">. University of Chicago Press.</w:t>
      </w:r>
    </w:p>
    <w:p>
      <w:pPr>
        <w:pStyle w:val="Compact"/>
        <w:numPr>
          <w:ilvl w:val="0"/>
          <w:numId w:val="1010"/>
        </w:numPr>
      </w:pPr>
      <w:r>
        <w:t xml:space="preserve">Denton, F. T. (1971). Adjustment of monthly or quarterly series to annual totals: An approach based on quadratic minimization.</w:t>
      </w:r>
      <w:r>
        <w:t xml:space="preserve"> </w:t>
      </w:r>
      <w:r>
        <w:rPr>
          <w:i/>
          <w:iCs/>
        </w:rPr>
        <w:t xml:space="preserve">Journal of the American Statistical Association, 66</w:t>
      </w:r>
      <w:r>
        <w:t xml:space="preserve">(333), 99-102.</w:t>
      </w:r>
    </w:p>
    <w:p>
      <w:pPr>
        <w:pStyle w:val="Compact"/>
        <w:numPr>
          <w:ilvl w:val="0"/>
          <w:numId w:val="1010"/>
        </w:numPr>
      </w:pPr>
      <w:r>
        <w:t xml:space="preserve">Diamand, M. (1972). La estructura productiva desequilibrada argentina y el tipo de cambio.</w:t>
      </w:r>
      <w:r>
        <w:t xml:space="preserve"> </w:t>
      </w:r>
      <w:r>
        <w:rPr>
          <w:i/>
          <w:iCs/>
        </w:rPr>
        <w:t xml:space="preserve">Desarrollo Económico, 12</w:t>
      </w:r>
      <w:r>
        <w:t xml:space="preserve">(45), 25-47.</w:t>
      </w:r>
    </w:p>
    <w:p>
      <w:pPr>
        <w:pStyle w:val="Compact"/>
        <w:numPr>
          <w:ilvl w:val="0"/>
          <w:numId w:val="1010"/>
        </w:numPr>
      </w:pPr>
      <w:r>
        <w:t xml:space="preserve">Díaz Alejandro, C. F. (1970).</w:t>
      </w:r>
      <w:r>
        <w:t xml:space="preserve"> </w:t>
      </w:r>
      <w:r>
        <w:rPr>
          <w:i/>
          <w:iCs/>
        </w:rPr>
        <w:t xml:space="preserve">Essays on the economic history of the Argentine Republic</w:t>
      </w:r>
      <w:r>
        <w:t xml:space="preserve">. Yale University Press.</w:t>
      </w:r>
    </w:p>
    <w:p>
      <w:pPr>
        <w:pStyle w:val="Compact"/>
        <w:numPr>
          <w:ilvl w:val="0"/>
          <w:numId w:val="1010"/>
        </w:numPr>
      </w:pPr>
      <w:r>
        <w:t xml:space="preserve">Dickey, D. A., y Fuller, W. A. (1979). Distribution of the estimators for autoregressive time series with a unit root.</w:t>
      </w:r>
      <w:r>
        <w:t xml:space="preserve"> </w:t>
      </w:r>
      <w:r>
        <w:rPr>
          <w:i/>
          <w:iCs/>
        </w:rPr>
        <w:t xml:space="preserve">Journal of the American Statistical Association</w:t>
      </w:r>
      <w:r>
        <w:t xml:space="preserve">, 74(366), 427-431.</w:t>
      </w:r>
    </w:p>
    <w:p>
      <w:pPr>
        <w:pStyle w:val="Compact"/>
        <w:numPr>
          <w:ilvl w:val="0"/>
          <w:numId w:val="1010"/>
        </w:numPr>
      </w:pPr>
      <w:r>
        <w:t xml:space="preserve">Eichengreen, B., Hausmann, R., y Panizza, U. (2003).</w:t>
      </w:r>
      <w:r>
        <w:t xml:space="preserve"> </w:t>
      </w:r>
      <w:r>
        <w:rPr>
          <w:i/>
          <w:iCs/>
        </w:rPr>
        <w:t xml:space="preserve">Currency mismatches, debt intolerance and original sin: Why they are not the same and why it matters</w:t>
      </w:r>
      <w:r>
        <w:t xml:space="preserve"> </w:t>
      </w:r>
      <w:r>
        <w:t xml:space="preserve">(NBER Working Paper No. 10036). National Bureau of Economic Research.</w:t>
      </w:r>
    </w:p>
    <w:p>
      <w:pPr>
        <w:pStyle w:val="Compact"/>
        <w:numPr>
          <w:ilvl w:val="0"/>
          <w:numId w:val="1010"/>
        </w:numPr>
      </w:pPr>
      <w:r>
        <w:t xml:space="preserve">Everaert, G., y Jansen, S. (2018). On the estimation of panel fiscal reaction functions: Heterogeneity or fiscal fatigue?</w:t>
      </w:r>
      <w:r>
        <w:t xml:space="preserve"> </w:t>
      </w:r>
      <w:r>
        <w:rPr>
          <w:i/>
          <w:iCs/>
        </w:rPr>
        <w:t xml:space="preserve">Economic Modelling</w:t>
      </w:r>
      <w:r>
        <w:t xml:space="preserve">, 70, 87-96.</w:t>
      </w:r>
    </w:p>
    <w:p>
      <w:pPr>
        <w:pStyle w:val="Compact"/>
        <w:numPr>
          <w:ilvl w:val="0"/>
          <w:numId w:val="1010"/>
        </w:numPr>
      </w:pPr>
      <w:r>
        <w:t xml:space="preserve">Favero, C., y Giavazzi, F. (2007).</w:t>
      </w:r>
      <w:r>
        <w:t xml:space="preserve"> </w:t>
      </w:r>
      <w:r>
        <w:rPr>
          <w:i/>
          <w:iCs/>
        </w:rPr>
        <w:t xml:space="preserve">Debt and the effects of fiscal policy</w:t>
      </w:r>
      <w:r>
        <w:t xml:space="preserve"> </w:t>
      </w:r>
      <w:r>
        <w:t xml:space="preserve">(NBER Working Paper No. 12822).</w:t>
      </w:r>
    </w:p>
    <w:p>
      <w:pPr>
        <w:pStyle w:val="Compact"/>
        <w:numPr>
          <w:ilvl w:val="0"/>
          <w:numId w:val="1010"/>
        </w:numPr>
      </w:pPr>
      <w:r>
        <w:t xml:space="preserve">Federal Reserve Bank of Atlanta. (s. f.).</w:t>
      </w:r>
      <w:r>
        <w:t xml:space="preserve"> </w:t>
      </w:r>
      <w:r>
        <w:rPr>
          <w:i/>
          <w:iCs/>
        </w:rPr>
        <w:t xml:space="preserve">Wu-Xia shadow federal funds rate</w:t>
      </w:r>
      <w:r>
        <w:t xml:space="preserve"> </w:t>
      </w:r>
      <w:r>
        <w:t xml:space="preserve">[Conjunto de datos]. https://www.atlantafed.org/cqer/research/wu-xia-shadow-federal-funds-rate</w:t>
      </w:r>
    </w:p>
    <w:p>
      <w:pPr>
        <w:pStyle w:val="Compact"/>
        <w:numPr>
          <w:ilvl w:val="0"/>
          <w:numId w:val="1010"/>
        </w:numPr>
      </w:pPr>
      <w:r>
        <w:t xml:space="preserve">Fondo Monetario Internacional y Mecanismo Europeo de Estabilidad. (2023).</w:t>
      </w:r>
      <w:r>
        <w:t xml:space="preserve"> </w:t>
      </w:r>
      <w:r>
        <w:rPr>
          <w:i/>
          <w:iCs/>
        </w:rPr>
        <w:t xml:space="preserve">The stochastic debt fanchart in the IMF’s Sovereign Risk and Debt Sustainability Framework for MACs</w:t>
      </w:r>
      <w:r>
        <w:t xml:space="preserve"> </w:t>
      </w:r>
      <w:r>
        <w:t xml:space="preserve">[Presentación, 30 de noviembre de 2023].</w:t>
      </w:r>
    </w:p>
    <w:p>
      <w:pPr>
        <w:pStyle w:val="Compact"/>
        <w:numPr>
          <w:ilvl w:val="0"/>
          <w:numId w:val="1010"/>
        </w:numPr>
      </w:pPr>
      <w:r>
        <w:t xml:space="preserve">Fondo Monetario Internacional. (2021).</w:t>
      </w:r>
      <w:r>
        <w:t xml:space="preserve"> </w:t>
      </w:r>
      <w:r>
        <w:rPr>
          <w:i/>
          <w:iCs/>
        </w:rPr>
        <w:t xml:space="preserve">Review of the debt sustainability framework for market access countries</w:t>
      </w:r>
      <w:r>
        <w:t xml:space="preserve"> </w:t>
      </w:r>
      <w:r>
        <w:t xml:space="preserve">(IMF Policy Paper). Aprobado por el Directorio el 14 de enero de 2021.</w:t>
      </w:r>
    </w:p>
    <w:p>
      <w:pPr>
        <w:pStyle w:val="Compact"/>
        <w:numPr>
          <w:ilvl w:val="0"/>
          <w:numId w:val="1010"/>
        </w:numPr>
      </w:pPr>
      <w:r>
        <w:t xml:space="preserve">Fondo Monetario Internacional. (2024).</w:t>
      </w:r>
      <w:r>
        <w:t xml:space="preserve"> </w:t>
      </w:r>
      <w:r>
        <w:rPr>
          <w:i/>
          <w:iCs/>
        </w:rPr>
        <w:t xml:space="preserve">Argentina: Eighth review under the extended arrangement under the Extended Fund Facility</w:t>
      </w:r>
      <w:r>
        <w:t xml:space="preserve"> </w:t>
      </w:r>
      <w:r>
        <w:t xml:space="preserve">(IMF Country Report No. 24/167).</w:t>
      </w:r>
    </w:p>
    <w:p>
      <w:pPr>
        <w:pStyle w:val="Compact"/>
        <w:numPr>
          <w:ilvl w:val="0"/>
          <w:numId w:val="1010"/>
        </w:numPr>
      </w:pPr>
      <w:r>
        <w:t xml:space="preserve">Fondo Monetario Internacional. (2025).</w:t>
      </w:r>
      <w:r>
        <w:t xml:space="preserve"> </w:t>
      </w:r>
      <w:r>
        <w:rPr>
          <w:i/>
          <w:iCs/>
        </w:rPr>
        <w:t xml:space="preserve">Argentina: Request for an extended arrangement under the Extended Fund Facility</w:t>
      </w:r>
      <w:r>
        <w:t xml:space="preserve"> </w:t>
      </w:r>
      <w:r>
        <w:t xml:space="preserve">(IMF Country Report No. 25/95). Anexo II: Application of the Sovereign Risk and Debt Sustainability Framework.</w:t>
      </w:r>
    </w:p>
    <w:p>
      <w:pPr>
        <w:pStyle w:val="Compact"/>
        <w:numPr>
          <w:ilvl w:val="0"/>
          <w:numId w:val="1010"/>
        </w:numPr>
      </w:pPr>
      <w:r>
        <w:t xml:space="preserve">Fondo Monetario Internacional. (2026).</w:t>
      </w:r>
      <w:r>
        <w:t xml:space="preserve"> </w:t>
      </w:r>
      <w:r>
        <w:rPr>
          <w:i/>
          <w:iCs/>
        </w:rPr>
        <w:t xml:space="preserve">Argentina: 2026 Article IV consultation, second review under the extended arrangement under the Extended Fund Facility</w:t>
      </w:r>
      <w:r>
        <w:t xml:space="preserve"> </w:t>
      </w:r>
      <w:r>
        <w:t xml:space="preserve">(IMF Country Report No. 26/105). Anexo: Sovereign Risk and Debt Sustainability Assessment.</w:t>
      </w:r>
    </w:p>
    <w:p>
      <w:pPr>
        <w:pStyle w:val="Compact"/>
        <w:numPr>
          <w:ilvl w:val="0"/>
          <w:numId w:val="1010"/>
        </w:numPr>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 123(566), F4-F30.</w:t>
      </w:r>
    </w:p>
    <w:p>
      <w:pPr>
        <w:pStyle w:val="Compact"/>
        <w:numPr>
          <w:ilvl w:val="0"/>
          <w:numId w:val="1010"/>
        </w:numPr>
      </w:pPr>
      <w:r>
        <w:t xml:space="preserve">Girouard, N., y André, C. (2005).</w:t>
      </w:r>
      <w:r>
        <w:t xml:space="preserve"> </w:t>
      </w:r>
      <w:r>
        <w:rPr>
          <w:i/>
          <w:iCs/>
        </w:rPr>
        <w:t xml:space="preserve">Measuring cyclically-adjusted budget balances for OECD countries</w:t>
      </w:r>
      <w:r>
        <w:t xml:space="preserve"> </w:t>
      </w:r>
      <w:r>
        <w:t xml:space="preserve">(OECD Economics Department Working Papers No. 434).</w:t>
      </w:r>
    </w:p>
    <w:p>
      <w:pPr>
        <w:pStyle w:val="Compact"/>
        <w:numPr>
          <w:ilvl w:val="0"/>
          <w:numId w:val="1010"/>
        </w:numPr>
      </w:pPr>
      <w:r>
        <w:t xml:space="preserve">González, M. J., y Hernández, J. M. (2023).</w:t>
      </w:r>
      <w:r>
        <w:t xml:space="preserve"> </w:t>
      </w:r>
      <w:r>
        <w:rPr>
          <w:i/>
          <w:iCs/>
        </w:rPr>
        <w:t xml:space="preserve">Public debt sustainability and fiscal reaction functions in Latin America and the Caribbean</w:t>
      </w:r>
      <w:r>
        <w:t xml:space="preserve"> </w:t>
      </w:r>
      <w:r>
        <w:t xml:space="preserve">(IDB Discussion Paper IDB-DP-988). Banco Interamericano de Desarrollo.</w:t>
      </w:r>
    </w:p>
    <w:p>
      <w:pPr>
        <w:pStyle w:val="Compact"/>
        <w:numPr>
          <w:ilvl w:val="0"/>
          <w:numId w:val="1010"/>
        </w:numPr>
      </w:pPr>
      <w:r>
        <w:t xml:space="preserve">Gonçalves, S., y Kilian, L. (2004). Bootstrapping autoregressions with conditional heteroskedasticity of unknown form.</w:t>
      </w:r>
      <w:r>
        <w:t xml:space="preserve"> </w:t>
      </w:r>
      <w:r>
        <w:rPr>
          <w:i/>
          <w:iCs/>
        </w:rPr>
        <w:t xml:space="preserve">Journal of Econometrics</w:t>
      </w:r>
      <w:r>
        <w:t xml:space="preserve">, 123(1), 89-120.</w:t>
      </w:r>
    </w:p>
    <w:p>
      <w:pPr>
        <w:pStyle w:val="Compact"/>
        <w:numPr>
          <w:ilvl w:val="0"/>
          <w:numId w:val="1010"/>
        </w:numPr>
      </w:pPr>
      <w:r>
        <w:t xml:space="preserve">Hansen, B. E. (1999). Threshold effects in non-dynamic panels: Estimation, testing, and inference.</w:t>
      </w:r>
      <w:r>
        <w:t xml:space="preserve"> </w:t>
      </w:r>
      <w:r>
        <w:rPr>
          <w:i/>
          <w:iCs/>
        </w:rPr>
        <w:t xml:space="preserve">Journal of Econometrics, 93</w:t>
      </w:r>
      <w:r>
        <w:t xml:space="preserve">(2), 345-368.</w:t>
      </w:r>
    </w:p>
    <w:p>
      <w:pPr>
        <w:pStyle w:val="Compact"/>
        <w:numPr>
          <w:ilvl w:val="0"/>
          <w:numId w:val="1010"/>
        </w:numPr>
      </w:pPr>
      <w:r>
        <w:t xml:space="preserve">Hébert, B., y Schreger, J. (2017). The costs of sovereign default: Evidence from Argentina.</w:t>
      </w:r>
      <w:r>
        <w:t xml:space="preserve"> </w:t>
      </w:r>
      <w:r>
        <w:rPr>
          <w:i/>
          <w:iCs/>
        </w:rPr>
        <w:t xml:space="preserve">American Economic Review</w:t>
      </w:r>
      <w:r>
        <w:t xml:space="preserve">, 107(10), 3119-3145.</w:t>
      </w:r>
    </w:p>
    <w:p>
      <w:pPr>
        <w:pStyle w:val="Compact"/>
        <w:numPr>
          <w:ilvl w:val="0"/>
          <w:numId w:val="1010"/>
        </w:numPr>
      </w:pPr>
      <w:r>
        <w:t xml:space="preserve">Infobae. (2026, 23 de septiembre).</w:t>
      </w:r>
      <w:r>
        <w:t xml:space="preserve"> </w:t>
      </w:r>
      <w:r>
        <w:rPr>
          <w:i/>
          <w:iCs/>
        </w:rPr>
        <w:t xml:space="preserve">El riesgo país arriba de los 550 puntos condiciona la primera emisión de deuda internacional de una provincia</w:t>
      </w:r>
      <w:r>
        <w:t xml:space="preserve">. https://www.infobae.com/economia/2026/09/23/el-riesgo-pais-arriba-de-los-550-puntos-condiciona-la-primera-emision-de-deuda-internacional-de-una-provincia/</w:t>
      </w:r>
    </w:p>
    <w:p>
      <w:pPr>
        <w:pStyle w:val="Compact"/>
        <w:numPr>
          <w:ilvl w:val="0"/>
          <w:numId w:val="1010"/>
        </w:numPr>
      </w:pPr>
      <w:r>
        <w:t xml:space="preserve">Johansen, S. (1991). Estimation and hypothesis testing of cointegration vectors in Gaussian vector autoregressive models.</w:t>
      </w:r>
      <w:r>
        <w:t xml:space="preserve"> </w:t>
      </w:r>
      <w:r>
        <w:rPr>
          <w:i/>
          <w:iCs/>
        </w:rPr>
        <w:t xml:space="preserve">Econometrica</w:t>
      </w:r>
      <w:r>
        <w:t xml:space="preserve">, 59(6), 1551-1580.</w:t>
      </w:r>
    </w:p>
    <w:p>
      <w:pPr>
        <w:pStyle w:val="Compact"/>
        <w:numPr>
          <w:ilvl w:val="0"/>
          <w:numId w:val="1010"/>
        </w:numPr>
      </w:pPr>
      <w:r>
        <w:t xml:space="preserve">Kalemli-Özcan, Ş. (2019).</w:t>
      </w:r>
      <w:r>
        <w:t xml:space="preserve"> </w:t>
      </w:r>
      <w:r>
        <w:rPr>
          <w:i/>
          <w:iCs/>
        </w:rPr>
        <w:t xml:space="preserve">U.S. monetary policy and international risk spillovers</w:t>
      </w:r>
      <w:r>
        <w:t xml:space="preserve"> </w:t>
      </w:r>
      <w:r>
        <w:t xml:space="preserve">(NBER Working Paper No. 26297). National Bureau of Economic Research. https://www.nber.org/papers/w26297</w:t>
      </w:r>
    </w:p>
    <w:p>
      <w:pPr>
        <w:pStyle w:val="Compact"/>
        <w:numPr>
          <w:ilvl w:val="0"/>
          <w:numId w:val="1010"/>
        </w:numPr>
      </w:pPr>
      <w:r>
        <w:t xml:space="preserve">Kwiatkowski, D., Phillips, P. C. B., Schmidt, P., y Shin, Y. (1992). Testing the null hypothesis of stationarity against the alternative of a unit root.</w:t>
      </w:r>
      <w:r>
        <w:t xml:space="preserve"> </w:t>
      </w:r>
      <w:r>
        <w:rPr>
          <w:i/>
          <w:iCs/>
        </w:rPr>
        <w:t xml:space="preserve">Journal of Econometrics</w:t>
      </w:r>
      <w:r>
        <w:t xml:space="preserve">, 54(1-3), 159-178.</w:t>
      </w:r>
    </w:p>
    <w:p>
      <w:pPr>
        <w:pStyle w:val="Compact"/>
        <w:numPr>
          <w:ilvl w:val="0"/>
          <w:numId w:val="1010"/>
        </w:numPr>
      </w:pPr>
      <w:r>
        <w:t xml:space="preserve">Leeper, E. M. (1991). 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 </w:t>
      </w:r>
      <w:r>
        <w:rPr>
          <w:i/>
          <w:iCs/>
        </w:rPr>
        <w:t xml:space="preserve">Journal of Monetary Economics, 27</w:t>
      </w:r>
      <w:r>
        <w:t xml:space="preserve">(1), 129-147. https://doi.org/10.1016/0304-3932(91)90007-B</w:t>
      </w:r>
    </w:p>
    <w:p>
      <w:pPr>
        <w:pStyle w:val="Compact"/>
        <w:numPr>
          <w:ilvl w:val="0"/>
          <w:numId w:val="1010"/>
        </w:numPr>
      </w:pPr>
      <w:r>
        <w:t xml:space="preserve">Levy Yeyati, E., y Sturzenegger, F. (2023). A balance-sheet approach to fiscal sustainability.</w:t>
      </w:r>
      <w:r>
        <w:t xml:space="preserve"> </w:t>
      </w:r>
      <w:r>
        <w:rPr>
          <w:i/>
          <w:iCs/>
        </w:rPr>
        <w:t xml:space="preserve">Fiscal Studies</w:t>
      </w:r>
      <w:r>
        <w:t xml:space="preserve">, 44(1), 61-84. https://doi.org/10.1111/1475-5890.12319</w:t>
      </w:r>
    </w:p>
    <w:p>
      <w:pPr>
        <w:pStyle w:val="Compact"/>
        <w:numPr>
          <w:ilvl w:val="0"/>
          <w:numId w:val="1010"/>
        </w:numPr>
      </w:pPr>
      <w:r>
        <w:t xml:space="preserve">Ley 27.541 de Solidaridad Social y Reactivación Productiva en el Marco de la Emergencia Pública (2019). Boletín Oficial de la República Argentina, 23 de diciembre de 2019.</w:t>
      </w:r>
    </w:p>
    <w:p>
      <w:pPr>
        <w:pStyle w:val="Compact"/>
        <w:numPr>
          <w:ilvl w:val="0"/>
          <w:numId w:val="1010"/>
        </w:numPr>
      </w:pPr>
      <w:r>
        <w:t xml:space="preserve">Ley 27.612 de Fortalecimiento de la Sostenibilidad de la Deuda Pública (2021). Boletín Oficial de la República Argentina, 3 de marzo de 2021.</w:t>
      </w:r>
    </w:p>
    <w:p>
      <w:pPr>
        <w:pStyle w:val="Compact"/>
        <w:numPr>
          <w:ilvl w:val="0"/>
          <w:numId w:val="1010"/>
        </w:numPr>
      </w:pPr>
      <w:r>
        <w:t xml:space="preserve">Lütkepohl, H. (2005).</w:t>
      </w:r>
      <w:r>
        <w:t xml:space="preserve"> </w:t>
      </w:r>
      <w:r>
        <w:rPr>
          <w:i/>
          <w:iCs/>
        </w:rPr>
        <w:t xml:space="preserve">New introduction to multiple time series analysis</w:t>
      </w:r>
      <w:r>
        <w:t xml:space="preserve">. Springer.</w:t>
      </w:r>
    </w:p>
    <w:p>
      <w:pPr>
        <w:pStyle w:val="Compact"/>
        <w:numPr>
          <w:ilvl w:val="0"/>
          <w:numId w:val="1010"/>
        </w:numPr>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459). Comisión Europea.</w:t>
      </w:r>
    </w:p>
    <w:p>
      <w:pPr>
        <w:pStyle w:val="Compact"/>
        <w:numPr>
          <w:ilvl w:val="0"/>
          <w:numId w:val="1010"/>
        </w:numPr>
      </w:pPr>
      <w:r>
        <w:t xml:space="preserve">Mendoza, E. G., y Oviedo, P. M. (2009). Public debt, fiscal solvency and macroeconomic uncertainty in Latin America: The cases of Brazil, Colombia, Costa Rica and Mexico.</w:t>
      </w:r>
      <w:r>
        <w:t xml:space="preserve"> </w:t>
      </w:r>
      <w:r>
        <w:rPr>
          <w:i/>
          <w:iCs/>
        </w:rPr>
        <w:t xml:space="preserve">Economía Mexicana. Nueva Época</w:t>
      </w:r>
      <w:r>
        <w:t xml:space="preserve">, 18(2), 133-177.</w:t>
      </w:r>
    </w:p>
    <w:p>
      <w:pPr>
        <w:pStyle w:val="Compact"/>
        <w:numPr>
          <w:ilvl w:val="0"/>
          <w:numId w:val="1010"/>
        </w:numPr>
      </w:pPr>
      <w:r>
        <w:t xml:space="preserve">Ministerio de Economía de la Nación, Secretaría de Finanzas. (2025).</w:t>
      </w:r>
      <w:r>
        <w:t xml:space="preserve"> </w:t>
      </w:r>
      <w:r>
        <w:rPr>
          <w:i/>
          <w:iCs/>
        </w:rPr>
        <w:t xml:space="preserve">Informe de deuda pública al 31/12/2025</w:t>
      </w:r>
      <w:r>
        <w:t xml:space="preserve"> </w:t>
      </w:r>
      <w:r>
        <w:t xml:space="preserve">[Conjunto de datos]. (Archivos de los cierres 2007 a 2025 en</w:t>
      </w:r>
      <w:r>
        <w:t xml:space="preserve"> </w:t>
      </w:r>
      <w:r>
        <w:rPr>
          <w:rStyle w:val="VerbatimChar"/>
        </w:rPr>
        <w:t xml:space="preserve">datos/crudos/mecon_deuda/</w:t>
      </w:r>
      <w:r>
        <w:t xml:space="preserve">.)</w:t>
      </w:r>
    </w:p>
    <w:p>
      <w:pPr>
        <w:pStyle w:val="Compact"/>
        <w:numPr>
          <w:ilvl w:val="0"/>
          <w:numId w:val="1010"/>
        </w:numPr>
      </w:pPr>
      <w:r>
        <w:t xml:space="preserve">Ministerio de Economía y Producción, Secretaría de Hacienda, Oficina Nacional de Presupuesto. (2006).</w:t>
      </w:r>
      <w:r>
        <w:t xml:space="preserve"> </w:t>
      </w:r>
      <w:r>
        <w:rPr>
          <w:i/>
          <w:iCs/>
        </w:rPr>
        <w:t xml:space="preserve">Compendio fiscal 1993-2006</w:t>
      </w:r>
      <w:r>
        <w:t xml:space="preserve">. https://www.economia.gob.ar/onp/documentos/ejectexto/compendio/compendio93-06.pdf</w:t>
      </w:r>
    </w:p>
    <w:p>
      <w:pPr>
        <w:pStyle w:val="Compact"/>
        <w:numPr>
          <w:ilvl w:val="0"/>
          <w:numId w:val="1010"/>
        </w:numPr>
      </w:pPr>
      <w:r>
        <w:t xml:space="preserve">Neumeyer, P. A., y Perri, F. (2005). Business cycles in emerging economies: The role of interest rates.</w:t>
      </w:r>
      <w:r>
        <w:t xml:space="preserve"> </w:t>
      </w:r>
      <w:r>
        <w:rPr>
          <w:i/>
          <w:iCs/>
        </w:rPr>
        <w:t xml:space="preserve">Journal of Monetary Economics</w:t>
      </w:r>
      <w:r>
        <w:t xml:space="preserve">, 52(2), 345-380.</w:t>
      </w:r>
    </w:p>
    <w:p>
      <w:pPr>
        <w:pStyle w:val="Compact"/>
        <w:numPr>
          <w:ilvl w:val="0"/>
          <w:numId w:val="1010"/>
        </w:numPr>
      </w:pPr>
      <w:r>
        <w:t xml:space="preserve">Oficina de Presupuesto del Congreso. (2026).</w:t>
      </w:r>
      <w:r>
        <w:t xml:space="preserve"> </w:t>
      </w:r>
      <w:r>
        <w:rPr>
          <w:i/>
          <w:iCs/>
        </w:rPr>
        <w:t xml:space="preserve">Operaciones de deuda pública, julio 2026</w:t>
      </w:r>
      <w:r>
        <w:t xml:space="preserve">.</w:t>
      </w:r>
    </w:p>
    <w:p>
      <w:pPr>
        <w:pStyle w:val="Compact"/>
        <w:numPr>
          <w:ilvl w:val="0"/>
          <w:numId w:val="1010"/>
        </w:numPr>
      </w:pPr>
      <w:r>
        <w:t xml:space="preserve">Poder Ejecutivo Nacional. (2007).</w:t>
      </w:r>
      <w:r>
        <w:t xml:space="preserve"> </w:t>
      </w:r>
      <w:r>
        <w:rPr>
          <w:i/>
          <w:iCs/>
        </w:rPr>
        <w:t xml:space="preserve">Decreto 897/2007: Fondo de Garantía de Sustentabilidad del Régimen Previsional Público de Reparto</w:t>
      </w:r>
      <w:r>
        <w:t xml:space="preserve"> </w:t>
      </w:r>
      <w:r>
        <w:t xml:space="preserve">(Boletín Oficial, 13 de julio de 2007). Base normativa de la AFIP. https://biblioteca.afip.gob.ar/dcp/DEC_C_000897_2007_07_12</w:t>
      </w:r>
    </w:p>
    <w:p>
      <w:pPr>
        <w:pStyle w:val="Compact"/>
        <w:numPr>
          <w:ilvl w:val="0"/>
          <w:numId w:val="1010"/>
        </w:numPr>
      </w:pPr>
      <w:r>
        <w:t xml:space="preserve">Porto, A. (2020).</w:t>
      </w:r>
      <w:r>
        <w:t xml:space="preserve"> </w:t>
      </w:r>
      <w:r>
        <w:rPr>
          <w:i/>
          <w:iCs/>
        </w:rPr>
        <w:t xml:space="preserve">Evolución del sector público argentino en el largo plazo</w:t>
      </w:r>
      <w:r>
        <w:t xml:space="preserve"> </w:t>
      </w:r>
      <w:r>
        <w:t xml:space="preserve">(Documento de Trabajo N.° 36). CEFIP, Universidad Nacional de La Plata.</w:t>
      </w:r>
    </w:p>
    <w:p>
      <w:pPr>
        <w:pStyle w:val="Compact"/>
        <w:numPr>
          <w:ilvl w:val="0"/>
          <w:numId w:val="1010"/>
        </w:numPr>
      </w:pPr>
      <w:r>
        <w:t xml:space="preserve">Rapoport, M. (2020).</w:t>
      </w:r>
      <w:r>
        <w:t xml:space="preserve"> </w:t>
      </w:r>
      <w:r>
        <w:rPr>
          <w:i/>
          <w:iCs/>
        </w:rPr>
        <w:t xml:space="preserve">Historia económica, política y social de la Argentina (1880-2003)</w:t>
      </w:r>
      <w:r>
        <w:t xml:space="preserve">. Crítica.</w:t>
      </w:r>
    </w:p>
    <w:p>
      <w:pPr>
        <w:pStyle w:val="Compact"/>
        <w:numPr>
          <w:ilvl w:val="0"/>
          <w:numId w:val="1010"/>
        </w:numPr>
      </w:pPr>
      <w:r>
        <w:t xml:space="preserve">Reinhart, C. M., Rogoff, K. S., y Savastano, M. A. (2003). Debt intolerance.</w:t>
      </w:r>
      <w:r>
        <w:t xml:space="preserve"> </w:t>
      </w:r>
      <w:r>
        <w:rPr>
          <w:i/>
          <w:iCs/>
        </w:rPr>
        <w:t xml:space="preserve">Brookings Papers on Economic Activity</w:t>
      </w:r>
      <w:r>
        <w:t xml:space="preserve">, 2003(1), 1-74.</w:t>
      </w:r>
    </w:p>
    <w:p>
      <w:pPr>
        <w:pStyle w:val="Compact"/>
        <w:numPr>
          <w:ilvl w:val="0"/>
          <w:numId w:val="1010"/>
        </w:numPr>
      </w:pPr>
      <w:r>
        <w:t xml:space="preserve">Reinhart, C. M., y Rogoff, K. S. (2009).</w:t>
      </w:r>
      <w:r>
        <w:t xml:space="preserve"> </w:t>
      </w:r>
      <w:r>
        <w:rPr>
          <w:i/>
          <w:iCs/>
        </w:rPr>
        <w:t xml:space="preserve">This time is different: Eight centuries of financial folly</w:t>
      </w:r>
      <w:r>
        <w:t xml:space="preserve">. Princeton University Press.</w:t>
      </w:r>
    </w:p>
    <w:p>
      <w:pPr>
        <w:pStyle w:val="Compact"/>
        <w:numPr>
          <w:ilvl w:val="0"/>
          <w:numId w:val="1010"/>
        </w:numPr>
      </w:pPr>
      <w:r>
        <w:t xml:space="preserve">Renzhi, N., y Beirne, J. (2024).</w:t>
      </w:r>
      <w:r>
        <w:t xml:space="preserve"> </w:t>
      </w:r>
      <w:r>
        <w:rPr>
          <w:i/>
          <w:iCs/>
        </w:rPr>
        <w:t xml:space="preserve">Global shocks and monetary policy transmission in emerging markets</w:t>
      </w:r>
      <w:r>
        <w:t xml:space="preserve"> </w:t>
      </w:r>
      <w:r>
        <w:t xml:space="preserve">(ADB Economics Working Paper No. 726). Asian Development Bank.</w:t>
      </w:r>
    </w:p>
    <w:p>
      <w:pPr>
        <w:pStyle w:val="Compact"/>
        <w:numPr>
          <w:ilvl w:val="0"/>
          <w:numId w:val="1010"/>
        </w:numPr>
      </w:pPr>
      <w:r>
        <w:t xml:space="preserve">Rey, H. (2013).</w:t>
      </w:r>
      <w:r>
        <w:t xml:space="preserve"> </w:t>
      </w:r>
      <w:r>
        <w:rPr>
          <w:i/>
          <w:iCs/>
        </w:rPr>
        <w:t xml:space="preserve">Dilemma not trilemma: The global financial cycle and monetary policy independence</w:t>
      </w:r>
      <w:r>
        <w:t xml:space="preserve"> </w:t>
      </w:r>
      <w:r>
        <w:t xml:space="preserve">[Documento presentado en el Simposio de Política Económica de Jackson Hole, 2013]. Federal Reserve Bank of Kansas City. Versión en NBER Working Paper No. 21162 (2015, rev. 2018).</w:t>
      </w:r>
    </w:p>
    <w:p>
      <w:pPr>
        <w:pStyle w:val="Compact"/>
        <w:numPr>
          <w:ilvl w:val="0"/>
          <w:numId w:val="1010"/>
        </w:numPr>
      </w:pPr>
      <w:r>
        <w:t xml:space="preserve">Rigobon, R. (2003). Identification through heteroskedasticity.</w:t>
      </w:r>
      <w:r>
        <w:t xml:space="preserve"> </w:t>
      </w:r>
      <w:r>
        <w:rPr>
          <w:i/>
          <w:iCs/>
        </w:rPr>
        <w:t xml:space="preserve">The Review of Economics and Statistics</w:t>
      </w:r>
      <w:r>
        <w:t xml:space="preserve">, 85(4), 777-792.</w:t>
      </w:r>
    </w:p>
    <w:p>
      <w:pPr>
        <w:pStyle w:val="Compact"/>
        <w:numPr>
          <w:ilvl w:val="0"/>
          <w:numId w:val="1010"/>
        </w:numPr>
      </w:pPr>
      <w:r>
        <w:t xml:space="preserve">Rigobon, R., y Sack, B. (2004). The impact of monetary policy on asset prices.</w:t>
      </w:r>
      <w:r>
        <w:t xml:space="preserve"> </w:t>
      </w:r>
      <w:r>
        <w:rPr>
          <w:i/>
          <w:iCs/>
        </w:rPr>
        <w:t xml:space="preserve">Journal of Monetary Economics</w:t>
      </w:r>
      <w:r>
        <w:t xml:space="preserve">, 51(8), 1553-1575.</w:t>
      </w:r>
    </w:p>
    <w:p>
      <w:pPr>
        <w:pStyle w:val="Compact"/>
        <w:numPr>
          <w:ilvl w:val="0"/>
          <w:numId w:val="1010"/>
        </w:numPr>
      </w:pPr>
      <w:r>
        <w:t xml:space="preserve">Rodríguez, A. (2023). Financiamiento y sostenibilidad de la deuda pública: El caso de la economía argentina (2001-2022).</w:t>
      </w:r>
      <w:r>
        <w:t xml:space="preserve"> </w:t>
      </w:r>
      <w:r>
        <w:rPr>
          <w:i/>
          <w:iCs/>
        </w:rPr>
        <w:t xml:space="preserve">Ciencias Económicas</w:t>
      </w:r>
      <w:r>
        <w:t xml:space="preserve">, 2(20).</w:t>
      </w:r>
    </w:p>
    <w:p>
      <w:pPr>
        <w:pStyle w:val="Compact"/>
        <w:numPr>
          <w:ilvl w:val="0"/>
          <w:numId w:val="1010"/>
        </w:numPr>
      </w:pPr>
      <w:r>
        <w:t xml:space="preserve">Roldán, V. (2021).</w:t>
      </w:r>
      <w:r>
        <w:t xml:space="preserve"> </w:t>
      </w:r>
      <w:r>
        <w:rPr>
          <w:i/>
          <w:iCs/>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pStyle w:val="Compact"/>
        <w:numPr>
          <w:ilvl w:val="0"/>
          <w:numId w:val="1010"/>
        </w:numPr>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Compact"/>
        <w:numPr>
          <w:ilvl w:val="0"/>
          <w:numId w:val="1010"/>
        </w:numPr>
      </w:pPr>
      <w:r>
        <w:t xml:space="preserve">Sargent, T. J., y Wallace, N. (1981). Some unpleasant monetarist arithmetic.</w:t>
      </w:r>
      <w:r>
        <w:t xml:space="preserve"> </w:t>
      </w:r>
      <w:r>
        <w:rPr>
          <w:i/>
          <w:iCs/>
        </w:rPr>
        <w:t xml:space="preserve">Federal Reserve Bank of Minneapolis Quarterly Review, 5</w:t>
      </w:r>
      <w:r>
        <w:t xml:space="preserve">(3), 1-17.</w:t>
      </w:r>
    </w:p>
    <w:p>
      <w:pPr>
        <w:pStyle w:val="Compact"/>
        <w:numPr>
          <w:ilvl w:val="0"/>
          <w:numId w:val="1010"/>
        </w:numPr>
      </w:pPr>
      <w:r>
        <w:t xml:space="preserve">Secretaría de Finanzas, Ministerio de Economía. (2025, 10 de diciembre).</w:t>
      </w:r>
      <w:r>
        <w:t xml:space="preserve"> </w:t>
      </w:r>
      <w:r>
        <w:rPr>
          <w:i/>
          <w:iCs/>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Compact"/>
        <w:numPr>
          <w:ilvl w:val="0"/>
          <w:numId w:val="1010"/>
        </w:numPr>
      </w:pPr>
      <w:r>
        <w:t xml:space="preserve">Sims, C. A., Stock, J. H., y Watson, M. W. (1990). Inference in linear time series models with some unit roots.</w:t>
      </w:r>
      <w:r>
        <w:t xml:space="preserve"> </w:t>
      </w:r>
      <w:r>
        <w:rPr>
          <w:i/>
          <w:iCs/>
        </w:rPr>
        <w:t xml:space="preserve">Econometrica</w:t>
      </w:r>
      <w:r>
        <w:t xml:space="preserve">, 58(1), 113-144.</w:t>
      </w:r>
    </w:p>
    <w:p>
      <w:pPr>
        <w:pStyle w:val="Compact"/>
        <w:numPr>
          <w:ilvl w:val="0"/>
          <w:numId w:val="1010"/>
        </w:numPr>
      </w:pPr>
      <w:r>
        <w:t xml:space="preserve">Thirlwall, A. P. (1979). The balance of payments constraint as an explanation of international growth rate differences.</w:t>
      </w:r>
      <w:r>
        <w:t xml:space="preserve"> </w:t>
      </w:r>
      <w:r>
        <w:rPr>
          <w:i/>
          <w:iCs/>
        </w:rPr>
        <w:t xml:space="preserve">Banca Nazionale del Lavoro Quarterly Review, 32</w:t>
      </w:r>
      <w:r>
        <w:t xml:space="preserve">(128), 45-53.</w:t>
      </w:r>
    </w:p>
    <w:p>
      <w:pPr>
        <w:pStyle w:val="Compact"/>
        <w:numPr>
          <w:ilvl w:val="0"/>
          <w:numId w:val="1010"/>
        </w:numPr>
      </w:pPr>
      <w:r>
        <w:t xml:space="preserve">Uribe, M., y Yue, V. Z. (2006). Country spreads and emerging countries: Who drives whom?</w:t>
      </w:r>
      <w:r>
        <w:t xml:space="preserve"> </w:t>
      </w:r>
      <w:r>
        <w:rPr>
          <w:i/>
          <w:iCs/>
        </w:rPr>
        <w:t xml:space="preserve">Journal of International Economics</w:t>
      </w:r>
      <w:r>
        <w:t xml:space="preserve">, 69(1), 6-36.</w:t>
      </w:r>
    </w:p>
    <w:p>
      <w:pPr>
        <w:pStyle w:val="Compact"/>
        <w:numPr>
          <w:ilvl w:val="0"/>
          <w:numId w:val="1010"/>
        </w:numPr>
      </w:pPr>
      <w:r>
        <w:t xml:space="preserve">Wijayanti, R., y Rachmanira, S. (2020). Early warning system for government debt crisis in developing countries.</w:t>
      </w:r>
      <w:r>
        <w:t xml:space="preserve"> </w:t>
      </w:r>
      <w:r>
        <w:rPr>
          <w:i/>
          <w:iCs/>
        </w:rPr>
        <w:t xml:space="preserve">Journal of Central Banking Theory and Practice</w:t>
      </w:r>
      <w:r>
        <w:t xml:space="preserve">, 9(número especial), 103-124.</w:t>
      </w:r>
    </w:p>
    <w:p>
      <w:pPr>
        <w:pStyle w:val="Compact"/>
        <w:numPr>
          <w:ilvl w:val="0"/>
          <w:numId w:val="1010"/>
        </w:numPr>
      </w:pPr>
      <w:r>
        <w:t xml:space="preserve">Wu, J. C., y Xia, F. D. (2016). Measuring the macroeconomic impact of monetary policy at the zero lower bound.</w:t>
      </w:r>
      <w:r>
        <w:t xml:space="preserve"> </w:t>
      </w:r>
      <w:r>
        <w:rPr>
          <w:i/>
          <w:iCs/>
        </w:rPr>
        <w:t xml:space="preserve">Journal of Money, Credit and Banking</w:t>
      </w:r>
      <w:r>
        <w:t xml:space="preserve">, 48(2-3), 253-291.</w:t>
      </w:r>
    </w:p>
    <w:p>
      <w:pPr>
        <w:pStyle w:val="Compact"/>
        <w:numPr>
          <w:ilvl w:val="0"/>
          <w:numId w:val="1010"/>
        </w:numPr>
      </w:pPr>
      <w:r>
        <w:t xml:space="preserve">Zivot, E., y Andrews, D. W. K. (1992). Further evidence on the great crash, the oil-price shock, and the unit-root hypothesis.</w:t>
      </w:r>
      <w:r>
        <w:t xml:space="preserve"> </w:t>
      </w:r>
      <w:r>
        <w:rPr>
          <w:i/>
          <w:iCs/>
        </w:rPr>
        <w:t xml:space="preserve">Journal of Business and Economic Statistics</w:t>
      </w:r>
      <w:r>
        <w:t xml:space="preserve">, 10(3), 251-270.</w:t>
      </w:r>
    </w:p>
    <w:p>
      <w:r>
        <w:pict>
          <v:rect style="width:0;height:1.5pt" o:hralign="center" o:hrstd="t" o:hr="t"/>
        </w:pict>
      </w:r>
    </w:p>
    <w:bookmarkEnd w:id="112"/>
    <w:bookmarkStart w:id="118" w:name="X94fa00cbba88d80644c76c995e4abd03512405e"/>
    <w:p>
      <w:pPr>
        <w:pStyle w:val="Heading1"/>
      </w:pPr>
      <w:r>
        <w:t xml:space="preserve">Notas para el grupo (no forman parte del texto de la tesis)</w:t>
      </w:r>
    </w:p>
    <w:bookmarkStart w:id="113" w:name="X28ba9501ac41b1fea27c299c39d93c8cc47c96f"/>
    <w:p>
      <w:pPr>
        <w:pStyle w:val="Heading2"/>
      </w:pPr>
      <w:r>
        <w:t xml:space="preserve">Nota 1. Criterio de H1b (decidido el 10/10/2026)</w:t>
      </w:r>
    </w:p>
    <w:p>
      <w:pPr>
        <w:pStyle w:val="FirstParagraph"/>
      </w:pPr>
      <w:r>
        <w:rPr>
          <w:b/>
          <w:bCs/>
        </w:rPr>
        <w:t xml:space="preserve">La métrica.</w:t>
      </w:r>
      <w:r>
        <w:t xml:space="preserve"> </w:t>
      </w:r>
      <w:r>
        <w:t xml:space="preserve">La probabilidad de que la deuda no se estabilice: la proporción de trayectorias simuladas en las que el resultado primario al final del horizonte es menor que el necesario para estabilizar la deuda. Es la primera de las tres métricas del gráfico de abanico del FMI (FMI, 2021, párr. 53), y la no estabilización es uno de los tres conceptos centrales del marco (FMI, 2021, recuadro 2).</w:t>
      </w:r>
    </w:p>
    <w:p>
      <w:pPr>
        <w:pStyle w:val="BodyText"/>
      </w:pPr>
      <w:r>
        <w:rPr>
          <w:b/>
          <w:bCs/>
        </w:rPr>
        <w:t xml:space="preserve">El umbral: el propio resultado del FMI.</w:t>
      </w:r>
      <w:r>
        <w:t xml:space="preserve"> </w:t>
      </w:r>
      <w:r>
        <w:t xml:space="preserve">El FMI estimó para Argentina una probabilidad de estabilización de alrededor de 97% a mediano plazo y en su abanico a 2034 (FMI, 2025, anexo II, párrs. 6 y 8). La probabilidad de no estabilización es, entonces, de alrededor de 3%. H1b sostiene que nuestra estimación supera ese valor. El umbral no es una elección nuestra: es el diagnóstico oficial vigente. La hipótesis mide si las dos diferencias de esta tesis respecto del FMI (perímetro consolidado y shocks identificados con su dinámica) cambian ese diagnóstico, que es exactamente lo que plantea la vacancia.</w:t>
      </w:r>
    </w:p>
    <w:p>
      <w:pPr>
        <w:pStyle w:val="BodyText"/>
      </w:pPr>
      <w:r>
        <w:rPr>
          <w:b/>
          <w:bCs/>
        </w:rPr>
        <w:t xml:space="preserve">Cómo se contrasta.</w:t>
      </w:r>
      <w:r>
        <w:t xml:space="preserve"> </w:t>
      </w:r>
      <w:r>
        <w:t xml:space="preserve">La probabilidad estimada tiene incertidumbre, que viene del muestreo de las trayectorias y de los parámetros estimados del SVARX. Se calcula su intervalo de confianza con</w:t>
      </w:r>
      <w:r>
        <w:t xml:space="preserve"> </w:t>
      </w:r>
      <w:r>
        <w:rPr>
          <w:i/>
          <w:iCs/>
        </w:rPr>
        <w:t xml:space="preserve">bootstrap</w:t>
      </w:r>
      <w:r>
        <w:t xml:space="preserve"> </w:t>
      </w:r>
      <w:r>
        <w:t xml:space="preserve">de los parámetros. H1b se considera respaldada si el límite inferior del intervalo de 90% supera el 3%, lo que equivale a un contraste unilateral al 5%, la convención estándar de significatividad.</w:t>
      </w:r>
    </w:p>
    <w:p>
      <w:pPr>
        <w:pStyle w:val="BodyText"/>
      </w:pPr>
      <w:r>
        <w:rPr>
          <w:b/>
          <w:bCs/>
        </w:rPr>
        <w:t xml:space="preserve">Condiciones de comparabilidad.</w:t>
      </w:r>
      <w:r>
        <w:t xml:space="preserve"> </w:t>
      </w:r>
      <w:r>
        <w:t xml:space="preserve">El escenario base de la simulación reproduce los senderos del FMI: crecimiento, resultado primario y tasas, tomados de FMI (2025). Se reporta también el resultado con la deuda federal bruta, el perímetro del FMI, para separar cuánto de la diferencia viene del perímetro y cuánto de los shocks.</w:t>
      </w:r>
    </w:p>
    <w:p>
      <w:pPr>
        <w:pStyle w:val="BodyText"/>
      </w:pPr>
      <w:r>
        <w:rPr>
          <w:b/>
          <w:bCs/>
        </w:rPr>
        <w:t xml:space="preserve">Por qué no el 50%.</w:t>
      </w:r>
      <w:r>
        <w:t xml:space="preserve"> </w:t>
      </w:r>
      <w:r>
        <w:t xml:space="preserve">El corte del 50% (equivalente a que la trayectoria mediana no se estabilice) era defendible, pero con un 97% de estabilización estimado por el FMI el resultado quedaba prácticamente determinado de antemano y no informaba nada sobre la vacancia. Se lo conserva solo como dato descriptivo.</w:t>
      </w:r>
    </w:p>
    <w:bookmarkEnd w:id="113"/>
    <w:bookmarkStart w:id="114" w:name="X516bcb10eb65bb639c4b0de9683673a51efbad9"/>
    <w:p>
      <w:pPr>
        <w:pStyle w:val="Heading2"/>
      </w:pPr>
      <w:r>
        <w:t xml:space="preserve">Nota 2. Tamaño del shock de la FED (decidido el 11/10/2026)</w:t>
      </w:r>
    </w:p>
    <w:p>
      <w:pPr>
        <w:pStyle w:val="FirstParagraph"/>
      </w:pPr>
      <w:r>
        <w:t xml:space="preserve">Los +100 puntos básicos de la versión anterior no estaban justificados y se sacaron. Se usan dos tamaños, los dos con fundamento: un desvío estándar de la variación trimestral de la tasa de política de la FED en 1996-2025 (0,50 puntos), que es la convención de la literatura de VAR, y una repetición del ciclo de subas de 2022-2023 (5,25 puntos en ocho trimestres), que es el episodio histórico más reciente. El primero no tiene un efecto distinguible y el segundo sí (Capítulo 6).</w:t>
      </w:r>
    </w:p>
    <w:bookmarkEnd w:id="114"/>
    <w:bookmarkStart w:id="115" w:name="X73c46a59ea692b6fb8fe2ed0b01725fbf578251"/>
    <w:p>
      <w:pPr>
        <w:pStyle w:val="Heading2"/>
      </w:pPr>
      <w:r>
        <w:t xml:space="preserve">Nota 3. Cambios respecto del texto de Santiago</w:t>
      </w:r>
    </w:p>
    <w:p>
      <w:pPr>
        <w:pStyle w:val="FirstParagraph"/>
      </w:pPr>
      <w:r>
        <w:rPr>
          <w:b/>
          <w:bCs/>
        </w:rPr>
        <w:t xml:space="preserve">Introducción:</w:t>
      </w:r>
    </w:p>
    <w:p>
      <w:pPr>
        <w:pStyle w:val="Compact"/>
        <w:numPr>
          <w:ilvl w:val="0"/>
          <w:numId w:val="1011"/>
        </w:numPr>
      </w:pPr>
      <w:r>
        <w:rPr>
          <w:b/>
          <w:bCs/>
        </w:rPr>
        <w:t xml:space="preserve">Coyuntura actualizada:</w:t>
      </w:r>
      <w:r>
        <w:t xml:space="preserve"> </w:t>
      </w:r>
      <w:r>
        <w:t xml:space="preserve">“administración ingresante”</w:t>
      </w:r>
      <w:r>
        <w:t xml:space="preserve"> </w:t>
      </w:r>
      <w:r>
        <w:t xml:space="preserve">pasó a</w:t>
      </w:r>
      <w:r>
        <w:t xml:space="preserve"> </w:t>
      </w:r>
      <w:r>
        <w:t xml:space="preserve">“la que asumió en diciembre de 2023”</w:t>
      </w:r>
      <w:r>
        <w:t xml:space="preserve">, y se usan datos de la OPC de julio de 2026.</w:t>
      </w:r>
    </w:p>
    <w:p>
      <w:pPr>
        <w:pStyle w:val="Compact"/>
        <w:numPr>
          <w:ilvl w:val="0"/>
          <w:numId w:val="1011"/>
        </w:numPr>
      </w:pPr>
      <w:r>
        <w:rPr>
          <w:b/>
          <w:bCs/>
        </w:rPr>
        <w:t xml:space="preserve">Citas corregidas:</w:t>
      </w:r>
    </w:p>
    <w:p>
      <w:pPr>
        <w:pStyle w:val="Compact"/>
        <w:numPr>
          <w:ilvl w:val="1"/>
          <w:numId w:val="1012"/>
        </w:numPr>
      </w:pPr>
      <w:r>
        <w:t xml:space="preserve">Reinhart et al. (2003) se usa ahora para la intolerancia a la deuda.</w:t>
      </w:r>
    </w:p>
    <w:p>
      <w:pPr>
        <w:pStyle w:val="Compact"/>
        <w:numPr>
          <w:ilvl w:val="1"/>
          <w:numId w:val="1012"/>
        </w:numPr>
      </w:pPr>
      <w:r>
        <w:t xml:space="preserve">Mendoza y Oviedo (2007), para la incertidumbre y el límite de deuda.</w:t>
      </w:r>
    </w:p>
    <w:p>
      <w:pPr>
        <w:pStyle w:val="Compact"/>
        <w:numPr>
          <w:ilvl w:val="1"/>
          <w:numId w:val="1012"/>
        </w:numPr>
      </w:pPr>
      <w:r>
        <w:t xml:space="preserve">La fatiga fiscal pasa a Ghosh et al. (2013).</w:t>
      </w:r>
    </w:p>
    <w:p>
      <w:pPr>
        <w:pStyle w:val="Compact"/>
        <w:numPr>
          <w:ilvl w:val="1"/>
          <w:numId w:val="1012"/>
        </w:numPr>
      </w:pPr>
      <w:r>
        <w:t xml:space="preserve">Ando et al. queda con año 2025.</w:t>
      </w:r>
    </w:p>
    <w:p>
      <w:pPr>
        <w:pStyle w:val="Compact"/>
        <w:numPr>
          <w:ilvl w:val="1"/>
          <w:numId w:val="1012"/>
        </w:numPr>
      </w:pPr>
      <w:r>
        <w:t xml:space="preserve">Se sacan Garud y la tesis propia.</w:t>
      </w:r>
    </w:p>
    <w:p>
      <w:pPr>
        <w:pStyle w:val="Compact"/>
        <w:numPr>
          <w:ilvl w:val="0"/>
          <w:numId w:val="1011"/>
        </w:numPr>
      </w:pPr>
      <w:r>
        <w:rPr>
          <w:b/>
          <w:bCs/>
        </w:rPr>
        <w:t xml:space="preserve">Canal cuasifiscal del shock de la FED:</w:t>
      </w:r>
      <w:r>
        <w:t xml:space="preserve"> </w:t>
      </w:r>
      <w:r>
        <w:t xml:space="preserve">se redacta en pasado.</w:t>
      </w:r>
    </w:p>
    <w:p>
      <w:pPr>
        <w:pStyle w:val="Compact"/>
        <w:numPr>
          <w:ilvl w:val="0"/>
          <w:numId w:val="1011"/>
        </w:numPr>
      </w:pPr>
      <w:r>
        <w:rPr>
          <w:b/>
          <w:bCs/>
        </w:rPr>
        <w:t xml:space="preserve">Pregunta e hipótesis:</w:t>
      </w:r>
      <w:r>
        <w:t xml:space="preserve"> </w:t>
      </w:r>
      <w:r>
        <w:t xml:space="preserve">se acorta la pregunta, se agregan seis objetivos específicos, y H1a mantiene el concepto central de Santiago con un criterio de contraste explícito (Capítulo 4).</w:t>
      </w:r>
    </w:p>
    <w:p>
      <w:pPr>
        <w:pStyle w:val="Compact"/>
        <w:numPr>
          <w:ilvl w:val="0"/>
          <w:numId w:val="1011"/>
        </w:numPr>
      </w:pPr>
      <w:r>
        <w:rPr>
          <w:b/>
          <w:bCs/>
        </w:rPr>
        <w:t xml:space="preserve">Del texto LaTeX:</w:t>
      </w:r>
      <w:r>
        <w:t xml:space="preserve"> </w:t>
      </w:r>
      <w:r>
        <w:t xml:space="preserve">se suman la Justificación (Ley 27.612) y la organización por capítulos.</w:t>
      </w:r>
    </w:p>
    <w:p>
      <w:pPr>
        <w:pStyle w:val="FirstParagraph"/>
      </w:pPr>
      <w:r>
        <w:rPr>
          <w:b/>
          <w:bCs/>
        </w:rPr>
        <w:t xml:space="preserve">Antecedentes:</w:t>
      </w:r>
    </w:p>
    <w:p>
      <w:pPr>
        <w:pStyle w:val="Compact"/>
        <w:numPr>
          <w:ilvl w:val="0"/>
          <w:numId w:val="1013"/>
        </w:numPr>
      </w:pPr>
      <w:r>
        <w:rPr>
          <w:b/>
          <w:bCs/>
        </w:rPr>
        <w:t xml:space="preserve">Fusión con el texto LaTeX:</w:t>
      </w:r>
      <w:r>
        <w:t xml:space="preserve"> </w:t>
      </w:r>
      <w:r>
        <w:t xml:space="preserve">se fusionaron los ocho ejes del LaTeX con la versión de Santiago, incluido su párrafo sobre Everaert y Jansen.</w:t>
      </w:r>
    </w:p>
    <w:p>
      <w:pPr>
        <w:pStyle w:val="Compact"/>
        <w:numPr>
          <w:ilvl w:val="0"/>
          <w:numId w:val="1013"/>
        </w:numPr>
      </w:pPr>
      <w:r>
        <w:rPr>
          <w:b/>
          <w:bCs/>
        </w:rPr>
        <w:t xml:space="preserve">Porcentaje en Hébert y Schreger:</w:t>
      </w:r>
      <w:r>
        <w:t xml:space="preserve"> </w:t>
      </w:r>
      <w:r>
        <w:t xml:space="preserve">se corrigió a</w:t>
      </w:r>
      <w:r>
        <w:t xml:space="preserve"> </w:t>
      </w:r>
      <w:r>
        <w:t xml:space="preserve">“10 puntos porcentuales”</w:t>
      </w:r>
      <w:r>
        <w:t xml:space="preserve">.</w:t>
      </w:r>
    </w:p>
    <w:p>
      <w:pPr>
        <w:pStyle w:val="Compact"/>
        <w:numPr>
          <w:ilvl w:val="0"/>
          <w:numId w:val="1013"/>
        </w:numPr>
      </w:pPr>
      <w:r>
        <w:rPr>
          <w:b/>
          <w:bCs/>
        </w:rPr>
        <w:t xml:space="preserve">Cifras del FMI:</w:t>
      </w:r>
      <w:r>
        <w:t xml:space="preserve"> </w:t>
      </w:r>
      <w:r>
        <w:t xml:space="preserve">las del salto de 2023 se apoyan ahora en el informe de 2025, y las de 2024 quedan marcadas para verificar.</w:t>
      </w:r>
    </w:p>
    <w:p>
      <w:pPr>
        <w:pStyle w:val="FirstParagraph"/>
      </w:pPr>
      <w:r>
        <w:rPr>
          <w:b/>
          <w:bCs/>
        </w:rPr>
        <w:t xml:space="preserve">Vacancia:</w:t>
      </w:r>
    </w:p>
    <w:p>
      <w:pPr>
        <w:pStyle w:val="Compact"/>
        <w:numPr>
          <w:ilvl w:val="0"/>
          <w:numId w:val="1014"/>
        </w:numPr>
      </w:pPr>
      <w:r>
        <w:rPr>
          <w:b/>
          <w:bCs/>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2025).</w:t>
      </w:r>
    </w:p>
    <w:p>
      <w:pPr>
        <w:pStyle w:val="Compact"/>
        <w:numPr>
          <w:ilvl w:val="0"/>
          <w:numId w:val="1014"/>
        </w:numPr>
      </w:pPr>
      <w:r>
        <w:rPr>
          <w:b/>
          <w:bCs/>
        </w:rPr>
        <w:t xml:space="preserve">Párrafo cortado:</w:t>
      </w:r>
      <w:r>
        <w:t xml:space="preserve"> </w:t>
      </w:r>
      <w:r>
        <w:t xml:space="preserve">el párrafo de Santiago sobre la subordinación del BCRA, que estaba cortado, se completó y quedó marcado para verificar.</w:t>
      </w:r>
    </w:p>
    <w:bookmarkEnd w:id="115"/>
    <w:bookmarkStart w:id="116" w:name="Xb53a6fa4167288458a71c80ed74e333e2e773f9"/>
    <w:p>
      <w:pPr>
        <w:pStyle w:val="Heading2"/>
      </w:pPr>
      <w:r>
        <w:t xml:space="preserve">Nota 3b. Qué se hizo con cada comentario de Pablo y cada propuesta de Santiago</w:t>
      </w:r>
    </w:p>
    <w:p>
      <w:pPr>
        <w:pStyle w:val="FirstParagraph"/>
      </w:pPr>
      <w:r>
        <w:rPr>
          <w:b/>
          <w:bCs/>
        </w:rPr>
        <w:t xml:space="preserve">Comentarios de Pablo sobre Introducción y Antecedentes (PDF anotado del 15/9/2026)</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Comentario</w:t>
            </w:r>
          </w:p>
        </w:tc>
        <w:tc>
          <w:tcPr/>
          <w:p>
            <w:pPr>
              <w:pStyle w:val="Compact"/>
            </w:pPr>
            <w:r>
              <w:rPr>
                <w:rFonts w:ascii="Calibri" w:hAnsi="Calibri"/>
                <w:sz w:val="20"/>
              </w:rPr>
              <w:t xml:space="preserve">Qué se hizo</w:t>
            </w:r>
          </w:p>
        </w:tc>
        <w:tc>
          <w:tcPr/>
          <w:p>
            <w:pPr>
              <w:pStyle w:val="Compact"/>
            </w:pPr>
            <w:r>
              <w:rPr>
                <w:rFonts w:ascii="Calibri" w:hAnsi="Calibri"/>
                <w:sz w:val="20"/>
              </w:rPr>
              <w:t xml:space="preserve">Dónde</w:t>
            </w:r>
          </w:p>
        </w:tc>
      </w:tr>
      <w:tr>
        <w:tc>
          <w:tcPr/>
          <w:p>
            <w:pPr>
              <w:pStyle w:val="Compact"/>
            </w:pPr>
            <w:r>
              <w:rPr>
                <w:rFonts w:ascii="Calibri" w:hAnsi="Calibri"/>
                <w:sz w:val="20"/>
              </w:rPr>
              <w:t xml:space="preserve">Dar citas para el patrón histórico de crisis de deuda</w:t>
            </w:r>
          </w:p>
        </w:tc>
        <w:tc>
          <w:tcPr/>
          <w:p>
            <w:pPr>
              <w:pStyle w:val="Compact"/>
            </w:pPr>
            <w:r>
              <w:rPr>
                <w:rFonts w:ascii="Calibri" w:hAnsi="Calibri"/>
                <w:sz w:val="20"/>
              </w:rPr>
              <w:t xml:space="preserve">Comín Comín (2014), Reinhart y Rogoff (2009), Díaz Alejandro (1970), della Paolera y Taylor (2001), Rapoport (2020)</w:t>
            </w:r>
          </w:p>
        </w:tc>
        <w:tc>
          <w:tcPr/>
          <w:p>
            <w:pPr>
              <w:pStyle w:val="Compact"/>
            </w:pPr>
            <w:r>
              <w:rPr>
                <w:rFonts w:ascii="Calibri" w:hAnsi="Calibri"/>
                <w:sz w:val="20"/>
              </w:rPr>
              <w:t xml:space="preserve">1.1</w:t>
            </w:r>
          </w:p>
        </w:tc>
      </w:tr>
      <w:tr>
        <w:tc>
          <w:tcPr/>
          <w:p>
            <w:pPr>
              <w:pStyle w:val="Compact"/>
            </w:pPr>
            <w:r>
              <w:rPr>
                <w:rFonts w:ascii="Calibri" w:hAnsi="Calibri"/>
                <w:sz w:val="20"/>
              </w:rPr>
              <w:t xml:space="preserve">La frase sobre que la solvencia no depende solo del saldo fiscal necesita cita</w:t>
            </w:r>
          </w:p>
        </w:tc>
        <w:tc>
          <w:tcPr/>
          <w:p>
            <w:pPr>
              <w:pStyle w:val="Compact"/>
            </w:pPr>
            <w:r>
              <w:rPr>
                <w:rFonts w:ascii="Calibri" w:hAnsi="Calibri"/>
                <w:sz w:val="20"/>
              </w:rPr>
              <w:t xml:space="preserve">Ando et al. (2025), Calvo et al. (2003), Levy Yeyati y Sturzenegger (2023)</w:t>
            </w:r>
          </w:p>
        </w:tc>
        <w:tc>
          <w:tcPr/>
          <w:p>
            <w:pPr>
              <w:pStyle w:val="Compact"/>
            </w:pPr>
            <w:r>
              <w:rPr>
                <w:rFonts w:ascii="Calibri" w:hAnsi="Calibri"/>
                <w:sz w:val="20"/>
              </w:rPr>
              <w:t xml:space="preserve">1.1</w:t>
            </w:r>
          </w:p>
        </w:tc>
      </w:tr>
      <w:tr>
        <w:tc>
          <w:tcPr/>
          <w:p>
            <w:pPr>
              <w:pStyle w:val="Compact"/>
            </w:pPr>
            <w:r>
              <w:rPr>
                <w:rFonts w:ascii="Calibri" w:hAnsi="Calibri"/>
                <w:sz w:val="20"/>
              </w:rPr>
              <w:t xml:space="preserve">El texto tiene que ser científico; sacar frases como</w:t>
            </w:r>
            <w:r>
              <w:rPr>
                <w:rFonts w:ascii="Calibri" w:hAnsi="Calibri"/>
                <w:sz w:val="20"/>
              </w:rPr>
              <w:t xml:space="preserve"> </w:t>
            </w:r>
            <w:r>
              <w:rPr>
                <w:rFonts w:ascii="Calibri" w:hAnsi="Calibri"/>
                <w:sz w:val="20"/>
              </w:rPr>
              <w:t xml:space="preserve">“reabre un interrogante decisivo”</w:t>
            </w:r>
            <w:r>
              <w:rPr>
                <w:rFonts w:ascii="Calibri" w:hAnsi="Calibri"/>
                <w:sz w:val="20"/>
              </w:rPr>
              <w:t xml:space="preserve"> </w:t>
            </w:r>
            <w:r>
              <w:rPr>
                <w:rFonts w:ascii="Calibri" w:hAnsi="Calibri"/>
                <w:sz w:val="20"/>
              </w:rPr>
              <w:t xml:space="preserve">y conectores como</w:t>
            </w:r>
            <w:r>
              <w:rPr>
                <w:rFonts w:ascii="Calibri" w:hAnsi="Calibri"/>
                <w:sz w:val="20"/>
              </w:rPr>
              <w:t xml:space="preserve"> </w:t>
            </w:r>
            <w:r>
              <w:rPr>
                <w:rFonts w:ascii="Calibri" w:hAnsi="Calibri"/>
                <w:sz w:val="20"/>
              </w:rPr>
              <w:t xml:space="preserve">“Frente a este dilema”</w:t>
            </w:r>
          </w:p>
        </w:tc>
        <w:tc>
          <w:tcPr/>
          <w:p>
            <w:pPr>
              <w:pStyle w:val="Compact"/>
            </w:pPr>
            <w:r>
              <w:rPr>
                <w:rFonts w:ascii="Calibri" w:hAnsi="Calibri"/>
                <w:sz w:val="20"/>
              </w:rPr>
              <w:t xml:space="preserve">Reescrito</w:t>
            </w:r>
          </w:p>
        </w:tc>
        <w:tc>
          <w:tcPr/>
          <w:p>
            <w:pPr>
              <w:pStyle w:val="Compact"/>
            </w:pPr>
            <w:r>
              <w:rPr>
                <w:rFonts w:ascii="Calibri" w:hAnsi="Calibri"/>
                <w:sz w:val="20"/>
              </w:rPr>
              <w:t xml:space="preserve">1.1</w:t>
            </w:r>
          </w:p>
        </w:tc>
      </w:tr>
      <w:tr>
        <w:tc>
          <w:tcPr/>
          <w:p>
            <w:pPr>
              <w:pStyle w:val="Compact"/>
            </w:pPr>
            <w:r>
              <w:rPr>
                <w:rFonts w:ascii="Calibri" w:hAnsi="Calibri"/>
                <w:sz w:val="20"/>
              </w:rPr>
              <w:t xml:space="preserve">Sacar la parte de</w:t>
            </w:r>
            <w:r>
              <w:rPr>
                <w:rFonts w:ascii="Calibri" w:hAnsi="Calibri"/>
                <w:sz w:val="20"/>
              </w:rPr>
              <w:t xml:space="preserve"> </w:t>
            </w:r>
            <w:r>
              <w:rPr>
                <w:rFonts w:ascii="Calibri" w:hAnsi="Calibri"/>
                <w:sz w:val="20"/>
              </w:rPr>
              <w:t xml:space="preserve">“margen de solvencia para honrar los compromisos”</w:t>
            </w:r>
            <w:r>
              <w:rPr>
                <w:rFonts w:ascii="Calibri" w:hAnsi="Calibri"/>
                <w:sz w:val="20"/>
              </w:rPr>
              <w:t xml:space="preserve"> </w:t>
            </w:r>
            <w:r>
              <w:rPr>
                <w:rFonts w:ascii="Calibri" w:hAnsi="Calibri"/>
                <w:sz w:val="20"/>
              </w:rPr>
              <w:t xml:space="preserve">del objetivo</w:t>
            </w:r>
          </w:p>
        </w:tc>
        <w:tc>
          <w:tcPr/>
          <w:p>
            <w:pPr>
              <w:pStyle w:val="Compact"/>
            </w:pPr>
            <w:r>
              <w:rPr>
                <w:rFonts w:ascii="Calibri" w:hAnsi="Calibri"/>
                <w:sz w:val="20"/>
              </w:rPr>
              <w:t xml:space="preserve">Sacada; el objetivo quedó en evaluar la dinámica y estimar la probabilidad de no estabilización</w:t>
            </w:r>
          </w:p>
        </w:tc>
        <w:tc>
          <w:tcPr/>
          <w:p>
            <w:pPr>
              <w:pStyle w:val="Compact"/>
            </w:pPr>
            <w:r>
              <w:rPr>
                <w:rFonts w:ascii="Calibri" w:hAnsi="Calibri"/>
                <w:sz w:val="20"/>
              </w:rPr>
              <w:t xml:space="preserve">1.4</w:t>
            </w:r>
          </w:p>
        </w:tc>
      </w:tr>
      <w:tr>
        <w:tc>
          <w:tcPr/>
          <w:p>
            <w:pPr>
              <w:pStyle w:val="Compact"/>
            </w:pPr>
            <w:r>
              <w:rPr>
                <w:rFonts w:ascii="Calibri" w:hAnsi="Calibri"/>
                <w:sz w:val="20"/>
              </w:rPr>
              <w:t xml:space="preserve">No escribir entre rayas (delata la IA)</w:t>
            </w:r>
          </w:p>
        </w:tc>
        <w:tc>
          <w:tcPr/>
          <w:p>
            <w:pPr>
              <w:pStyle w:val="Compact"/>
            </w:pPr>
            <w:r>
              <w:rPr>
                <w:rFonts w:ascii="Calibri" w:hAnsi="Calibri"/>
                <w:sz w:val="20"/>
              </w:rPr>
              <w:t xml:space="preserve">No queda ninguna raya en la tesis</w:t>
            </w:r>
          </w:p>
        </w:tc>
        <w:tc>
          <w:tcPr/>
          <w:p>
            <w:pPr>
              <w:pStyle w:val="Compact"/>
            </w:pPr>
            <w:r>
              <w:rPr>
                <w:rFonts w:ascii="Calibri" w:hAnsi="Calibri"/>
                <w:sz w:val="20"/>
              </w:rPr>
              <w:t xml:space="preserve">Todo el texto</w:t>
            </w:r>
          </w:p>
        </w:tc>
      </w:tr>
      <w:tr>
        <w:tc>
          <w:tcPr/>
          <w:p>
            <w:pPr>
              <w:pStyle w:val="Compact"/>
            </w:pPr>
            <w:r>
              <w:rPr>
                <w:rFonts w:ascii="Calibri" w:hAnsi="Calibri"/>
                <w:i/>
                <w:iCs/>
                <w:sz w:val="20"/>
              </w:rPr>
              <w:t xml:space="preserve">Fan charts</w:t>
            </w:r>
            <w:r>
              <w:rPr>
                <w:rFonts w:ascii="Calibri" w:hAnsi="Calibri"/>
                <w:sz w:val="20"/>
              </w:rPr>
              <w:t xml:space="preserve"> </w:t>
            </w:r>
            <w:r>
              <w:rPr>
                <w:rFonts w:ascii="Calibri" w:hAnsi="Calibri"/>
                <w:sz w:val="20"/>
              </w:rPr>
              <w:t xml:space="preserve">y</w:t>
            </w:r>
            <w:r>
              <w:rPr>
                <w:rFonts w:ascii="Calibri" w:hAnsi="Calibri"/>
                <w:sz w:val="20"/>
              </w:rPr>
              <w:t xml:space="preserve"> </w:t>
            </w:r>
            <w:r>
              <w:rPr>
                <w:rFonts w:ascii="Calibri" w:hAnsi="Calibri"/>
                <w:i/>
                <w:iCs/>
                <w:sz w:val="20"/>
              </w:rPr>
              <w:t xml:space="preserve">early warning systems</w:t>
            </w:r>
            <w:r>
              <w:rPr>
                <w:rFonts w:ascii="Calibri" w:hAnsi="Calibri"/>
                <w:sz w:val="20"/>
              </w:rPr>
              <w:t xml:space="preserve"> </w:t>
            </w:r>
            <w:r>
              <w:rPr>
                <w:rFonts w:ascii="Calibri" w:hAnsi="Calibri"/>
                <w:sz w:val="20"/>
              </w:rPr>
              <w:t xml:space="preserve">en cursiva y con nota al pie</w:t>
            </w:r>
          </w:p>
        </w:tc>
        <w:tc>
          <w:tcPr/>
          <w:p>
            <w:pPr>
              <w:pStyle w:val="Compact"/>
            </w:pPr>
            <w:r>
              <w:rPr>
                <w:rFonts w:ascii="Calibri" w:hAnsi="Calibri"/>
                <w:sz w:val="20"/>
              </w:rPr>
              <w:t xml:space="preserve">Hecho</w:t>
            </w:r>
          </w:p>
        </w:tc>
        <w:tc>
          <w:tcPr/>
          <w:p>
            <w:pPr>
              <w:pStyle w:val="Compact"/>
            </w:pPr>
            <w:r>
              <w:rPr>
                <w:rFonts w:ascii="Calibri" w:hAnsi="Calibri"/>
                <w:sz w:val="20"/>
              </w:rPr>
              <w:t xml:space="preserve">Introducción y 2.5</w:t>
            </w:r>
          </w:p>
        </w:tc>
      </w:tr>
      <w:tr>
        <w:tc>
          <w:tcPr/>
          <w:p>
            <w:pPr>
              <w:pStyle w:val="Compact"/>
            </w:pPr>
            <w:r>
              <w:rPr>
                <w:rFonts w:ascii="Calibri" w:hAnsi="Calibri"/>
                <w:sz w:val="20"/>
              </w:rPr>
              <w:t xml:space="preserve">Sacar el inciso entre rayas que seguía a</w:t>
            </w:r>
            <w:r>
              <w:rPr>
                <w:rFonts w:ascii="Calibri" w:hAnsi="Calibri"/>
                <w:sz w:val="20"/>
              </w:rPr>
              <w:t xml:space="preserve"> </w:t>
            </w:r>
            <w:r>
              <w:rPr>
                <w:rFonts w:ascii="Calibri" w:hAnsi="Calibri"/>
                <w:sz w:val="20"/>
              </w:rPr>
              <w:t xml:space="preserve">“de 36,5% a 50,8%”</w:t>
            </w:r>
          </w:p>
        </w:tc>
        <w:tc>
          <w:tcPr/>
          <w:p>
            <w:pPr>
              <w:pStyle w:val="Compact"/>
            </w:pPr>
            <w:r>
              <w:rPr>
                <w:rFonts w:ascii="Calibri" w:hAnsi="Calibri"/>
                <w:sz w:val="20"/>
              </w:rPr>
              <w:t xml:space="preserve">Sacado</w:t>
            </w:r>
          </w:p>
        </w:tc>
        <w:tc>
          <w:tcPr/>
          <w:p>
            <w:pPr>
              <w:pStyle w:val="Compact"/>
            </w:pPr>
            <w:r>
              <w:rPr>
                <w:rFonts w:ascii="Calibri" w:hAnsi="Calibri"/>
                <w:sz w:val="20"/>
              </w:rPr>
              <w:t xml:space="preserve">2.7</w:t>
            </w:r>
          </w:p>
        </w:tc>
      </w:tr>
      <w:tr>
        <w:tc>
          <w:tcPr/>
          <w:p>
            <w:pPr>
              <w:pStyle w:val="Compact"/>
            </w:pPr>
            <w:r>
              <w:rPr>
                <w:rFonts w:ascii="Calibri" w:hAnsi="Calibri"/>
                <w:sz w:val="20"/>
              </w:rPr>
              <w:t xml:space="preserve">Cerrar Antecedentes con por qué esta metodología y estas variables (no se probó, cambió el contexto, hay una variable nueva)</w:t>
            </w:r>
          </w:p>
        </w:tc>
        <w:tc>
          <w:tcPr/>
          <w:p>
            <w:pPr>
              <w:pStyle w:val="Compact"/>
            </w:pPr>
            <w:r>
              <w:rPr>
                <w:rFonts w:ascii="Calibri" w:hAnsi="Calibri"/>
                <w:sz w:val="20"/>
              </w:rPr>
              <w:t xml:space="preserve">Párrafo con esas tres razones</w:t>
            </w:r>
          </w:p>
        </w:tc>
        <w:tc>
          <w:tcPr/>
          <w:p>
            <w:pPr>
              <w:pStyle w:val="Compact"/>
            </w:pPr>
            <w:r>
              <w:rPr>
                <w:rFonts w:ascii="Calibri" w:hAnsi="Calibri"/>
                <w:sz w:val="20"/>
              </w:rPr>
              <w:t xml:space="preserve">2.9</w:t>
            </w:r>
          </w:p>
        </w:tc>
      </w:tr>
    </w:tbl>
    <w:p>
      <w:pPr>
        <w:pStyle w:val="BodyText"/>
      </w:pPr>
      <w:r>
        <w:rPr>
          <w:b/>
          <w:bCs/>
        </w:rPr>
        <w:t xml:space="preserve">Decisiones de reuniones con Pablo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Decisión</w:t>
            </w:r>
          </w:p>
        </w:tc>
        <w:tc>
          <w:tcPr/>
          <w:p>
            <w:pPr>
              <w:pStyle w:val="Compact"/>
            </w:pPr>
            <w:r>
              <w:rPr>
                <w:rFonts w:ascii="Calibri" w:hAnsi="Calibri"/>
                <w:sz w:val="20"/>
              </w:rPr>
              <w:t xml:space="preserve">Cómo quedó</w:t>
            </w:r>
          </w:p>
        </w:tc>
      </w:tr>
      <w:tr>
        <w:tc>
          <w:tcPr/>
          <w:p>
            <w:pPr>
              <w:pStyle w:val="Compact"/>
            </w:pPr>
            <w:r>
              <w:rPr>
                <w:rFonts w:ascii="Calibri" w:hAnsi="Calibri"/>
                <w:sz w:val="20"/>
              </w:rPr>
              <w:t xml:space="preserve">No nombrar la</w:t>
            </w:r>
            <w:r>
              <w:rPr>
                <w:rFonts w:ascii="Calibri" w:hAnsi="Calibri"/>
                <w:sz w:val="20"/>
              </w:rPr>
              <w:t xml:space="preserve"> </w:t>
            </w:r>
            <w:r>
              <w:rPr>
                <w:rFonts w:ascii="Calibri" w:hAnsi="Calibri"/>
                <w:sz w:val="20"/>
              </w:rPr>
              <w:t xml:space="preserve">“ventana única”</w:t>
            </w:r>
            <w:r>
              <w:rPr>
                <w:rFonts w:ascii="Calibri" w:hAnsi="Calibri"/>
                <w:sz w:val="20"/>
              </w:rPr>
              <w:t xml:space="preserve"> </w:t>
            </w:r>
            <w:r>
              <w:rPr>
                <w:rFonts w:ascii="Calibri" w:hAnsi="Calibri"/>
                <w:sz w:val="20"/>
              </w:rPr>
              <w:t xml:space="preserve">(18/9)</w:t>
            </w:r>
          </w:p>
        </w:tc>
        <w:tc>
          <w:tcPr/>
          <w:p>
            <w:pPr>
              <w:pStyle w:val="Compact"/>
            </w:pPr>
            <w:r>
              <w:rPr>
                <w:rFonts w:ascii="Calibri" w:hAnsi="Calibri"/>
                <w:sz w:val="20"/>
              </w:rPr>
              <w:t xml:space="preserve">No aparece; se habla de</w:t>
            </w:r>
            <w:r>
              <w:rPr>
                <w:rFonts w:ascii="Calibri" w:hAnsi="Calibri"/>
                <w:sz w:val="20"/>
              </w:rPr>
              <w:t xml:space="preserve"> </w:t>
            </w:r>
            <w:r>
              <w:rPr>
                <w:rFonts w:ascii="Calibri" w:hAnsi="Calibri"/>
                <w:sz w:val="20"/>
              </w:rPr>
              <w:t xml:space="preserve">“muestra de estimación”</w:t>
            </w:r>
          </w:p>
        </w:tc>
      </w:tr>
      <w:tr>
        <w:tc>
          <w:tcPr/>
          <w:p>
            <w:pPr>
              <w:pStyle w:val="Compact"/>
            </w:pPr>
            <w:r>
              <w:rPr>
                <w:rFonts w:ascii="Calibri" w:hAnsi="Calibri"/>
                <w:sz w:val="20"/>
              </w:rPr>
              <w:t xml:space="preserve">No discutir en el texto si el riesgo país es endógeno (17/9)</w:t>
            </w:r>
          </w:p>
        </w:tc>
        <w:tc>
          <w:tcPr/>
          <w:p>
            <w:pPr>
              <w:pStyle w:val="Compact"/>
            </w:pPr>
            <w:r>
              <w:rPr>
                <w:rFonts w:ascii="Calibri" w:hAnsi="Calibri"/>
                <w:sz w:val="20"/>
              </w:rPr>
              <w:t xml:space="preserve">No aparece; queda como respuesta oral en la guía de defensa</w:t>
            </w:r>
          </w:p>
        </w:tc>
      </w:tr>
      <w:tr>
        <w:tc>
          <w:tcPr/>
          <w:p>
            <w:pPr>
              <w:pStyle w:val="Compact"/>
            </w:pPr>
            <w:r>
              <w:rPr>
                <w:rFonts w:ascii="Calibri" w:hAnsi="Calibri"/>
                <w:sz w:val="20"/>
              </w:rPr>
              <w:t xml:space="preserve">Justificar la matriz del SVAR,</w:t>
            </w:r>
            <w:r>
              <w:rPr>
                <w:rFonts w:ascii="Calibri" w:hAnsi="Calibri"/>
                <w:sz w:val="20"/>
              </w:rPr>
              <w:t xml:space="preserve"> </w:t>
            </w:r>
            <w:r>
              <w:rPr>
                <w:rFonts w:ascii="Calibri" w:hAnsi="Calibri"/>
                <w:sz w:val="20"/>
              </w:rPr>
              <w:t xml:space="preserve">“donde gira todo”</w:t>
            </w:r>
          </w:p>
        </w:tc>
        <w:tc>
          <w:tcPr/>
          <w:p>
            <w:pPr>
              <w:pStyle w:val="Compact"/>
            </w:pPr>
            <w:r>
              <w:rPr>
                <w:rFonts w:ascii="Calibri" w:hAnsi="Calibri"/>
                <w:sz w:val="20"/>
              </w:rPr>
              <w:t xml:space="preserve">Secciones 4.4 (identificación) y 4.3 (canales de la FED)</w:t>
            </w:r>
          </w:p>
        </w:tc>
      </w:tr>
      <w:tr>
        <w:tc>
          <w:tcPr/>
          <w:p>
            <w:pPr>
              <w:pStyle w:val="Compact"/>
            </w:pPr>
            <w:r>
              <w:rPr>
                <w:rFonts w:ascii="Calibri" w:hAnsi="Calibri"/>
                <w:sz w:val="20"/>
              </w:rPr>
              <w:t xml:space="preserve">Panel Argentina-Chile como línea futura</w:t>
            </w:r>
          </w:p>
        </w:tc>
        <w:tc>
          <w:tcPr/>
          <w:p>
            <w:pPr>
              <w:pStyle w:val="Compact"/>
            </w:pPr>
            <w:r>
              <w:rPr>
                <w:rFonts w:ascii="Calibri" w:hAnsi="Calibri"/>
                <w:sz w:val="20"/>
              </w:rPr>
              <w:t xml:space="preserve">Capítulo 8</w:t>
            </w:r>
          </w:p>
        </w:tc>
      </w:tr>
      <w:tr>
        <w:tc>
          <w:tcPr/>
          <w:p>
            <w:pPr>
              <w:pStyle w:val="Compact"/>
            </w:pPr>
            <w:r>
              <w:rPr>
                <w:rFonts w:ascii="Calibri" w:hAnsi="Calibri"/>
                <w:sz w:val="20"/>
              </w:rPr>
              <w:t xml:space="preserve">Bajar la extensión</w:t>
            </w:r>
          </w:p>
        </w:tc>
        <w:tc>
          <w:tcPr/>
          <w:p>
            <w:pPr>
              <w:pStyle w:val="Compact"/>
            </w:pPr>
            <w:r>
              <w:rPr>
                <w:rFonts w:ascii="Calibri" w:hAnsi="Calibri"/>
                <w:sz w:val="20"/>
              </w:rPr>
              <w:t xml:space="preserve">60 páginas</w:t>
            </w:r>
          </w:p>
        </w:tc>
      </w:tr>
    </w:tbl>
    <w:p>
      <w:pPr>
        <w:pStyle w:val="BodyText"/>
      </w:pPr>
      <w:r>
        <w:rPr>
          <w:b/>
          <w:bCs/>
        </w:rPr>
        <w:t xml:space="preserve">Propuestas de la metodología de Santiago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Propuesta</w:t>
            </w:r>
          </w:p>
        </w:tc>
        <w:tc>
          <w:tcPr/>
          <w:p>
            <w:pPr>
              <w:pStyle w:val="Compact"/>
            </w:pPr>
            <w:r>
              <w:rPr>
                <w:rFonts w:ascii="Calibri" w:hAnsi="Calibri"/>
                <w:sz w:val="20"/>
              </w:rPr>
              <w:t xml:space="preserve">Qué se hizo</w:t>
            </w:r>
          </w:p>
        </w:tc>
        <w:tc>
          <w:tcPr/>
          <w:p>
            <w:pPr>
              <w:pStyle w:val="Compact"/>
            </w:pPr>
            <w:r>
              <w:rPr>
                <w:rFonts w:ascii="Calibri" w:hAnsi="Calibri"/>
                <w:sz w:val="20"/>
              </w:rPr>
              <w:t xml:space="preserve">Dónde</w:t>
            </w:r>
          </w:p>
        </w:tc>
      </w:tr>
      <w:tr>
        <w:tc>
          <w:tcPr/>
          <w:p>
            <w:pPr>
              <w:pStyle w:val="Compact"/>
            </w:pPr>
            <w:r>
              <w:rPr>
                <w:rFonts w:ascii="Calibri" w:hAnsi="Calibri"/>
                <w:sz w:val="20"/>
              </w:rPr>
              <w:t xml:space="preserve">ADF y KPSS para raíz unitaria, Zivot-Andrews y Bai-Perron para quiebres</w:t>
            </w:r>
          </w:p>
        </w:tc>
        <w:tc>
          <w:tcPr/>
          <w:p>
            <w:pPr>
              <w:pStyle w:val="Compact"/>
            </w:pPr>
            <w:r>
              <w:rPr>
                <w:rFonts w:ascii="Calibri" w:hAnsi="Calibri"/>
                <w:sz w:val="20"/>
              </w:rPr>
              <w:t xml:space="preserve">Hecho; los quiebres de Bai-Perron entran como variables binarias</w:t>
            </w:r>
          </w:p>
        </w:tc>
        <w:tc>
          <w:tcPr/>
          <w:p>
            <w:pPr>
              <w:pStyle w:val="Compact"/>
            </w:pPr>
            <w:r>
              <w:rPr>
                <w:rFonts w:ascii="Calibri" w:hAnsi="Calibri"/>
                <w:sz w:val="20"/>
              </w:rPr>
              <w:t xml:space="preserve">6.1 y A.1</w:t>
            </w:r>
          </w:p>
        </w:tc>
      </w:tr>
      <w:tr>
        <w:tc>
          <w:tcPr/>
          <w:p>
            <w:pPr>
              <w:pStyle w:val="Compact"/>
            </w:pPr>
            <w:r>
              <w:rPr>
                <w:rFonts w:ascii="Calibri" w:hAnsi="Calibri"/>
                <w:sz w:val="20"/>
              </w:rPr>
              <w:t xml:space="preserve">Selección de rezagos por AIC y BIC con residuos sin autocorrelación</w:t>
            </w:r>
          </w:p>
        </w:tc>
        <w:tc>
          <w:tcPr/>
          <w:p>
            <w:pPr>
              <w:pStyle w:val="Compact"/>
            </w:pPr>
            <w:r>
              <w:rPr>
                <w:rFonts w:ascii="Calibri" w:hAnsi="Calibri"/>
                <w:sz w:val="20"/>
              </w:rPr>
              <w:t xml:space="preserve">AIC sujeto a estabilidad; BIC y HQ informados; autocorrelación declarada</w:t>
            </w:r>
          </w:p>
        </w:tc>
        <w:tc>
          <w:tcPr/>
          <w:p>
            <w:pPr>
              <w:pStyle w:val="Compact"/>
            </w:pPr>
            <w:r>
              <w:rPr>
                <w:rFonts w:ascii="Calibri" w:hAnsi="Calibri"/>
                <w:sz w:val="20"/>
              </w:rPr>
              <w:t xml:space="preserve">4.5 y A.2</w:t>
            </w:r>
          </w:p>
        </w:tc>
      </w:tr>
      <w:tr>
        <w:tc>
          <w:tcPr/>
          <w:p>
            <w:pPr>
              <w:pStyle w:val="Compact"/>
            </w:pPr>
            <w:r>
              <w:rPr>
                <w:rFonts w:ascii="Calibri" w:hAnsi="Calibri"/>
                <w:sz w:val="20"/>
              </w:rPr>
              <w:t xml:space="preserve">Variables binarias por quiebres</w:t>
            </w:r>
          </w:p>
        </w:tc>
        <w:tc>
          <w:tcPr/>
          <w:p>
            <w:pPr>
              <w:pStyle w:val="Compact"/>
            </w:pPr>
            <w:r>
              <w:rPr>
                <w:rFonts w:ascii="Calibri" w:hAnsi="Calibri"/>
                <w:sz w:val="20"/>
              </w:rPr>
              <w:t xml:space="preserve">Hecho</w:t>
            </w:r>
          </w:p>
        </w:tc>
        <w:tc>
          <w:tcPr/>
          <w:p>
            <w:pPr>
              <w:pStyle w:val="Compact"/>
            </w:pPr>
            <w:r>
              <w:rPr>
                <w:rFonts w:ascii="Calibri" w:hAnsi="Calibri"/>
                <w:sz w:val="20"/>
              </w:rPr>
              <w:t xml:space="preserve">4.3</w:t>
            </w:r>
          </w:p>
        </w:tc>
      </w:tr>
      <w:tr>
        <w:tc>
          <w:tcPr/>
          <w:p>
            <w:pPr>
              <w:pStyle w:val="Compact"/>
            </w:pPr>
            <w:r>
              <w:rPr>
                <w:rFonts w:ascii="Calibri" w:hAnsi="Calibri"/>
                <w:sz w:val="20"/>
              </w:rPr>
              <w:t xml:space="preserve">Deuda consolidada como variable del sistema, la</w:t>
            </w:r>
            <w:r>
              <w:rPr>
                <w:rFonts w:ascii="Calibri" w:hAnsi="Calibri"/>
                <w:sz w:val="20"/>
              </w:rPr>
              <w:t xml:space="preserve"> </w:t>
            </w:r>
            <w:r>
              <w:rPr>
                <w:rFonts w:ascii="Calibri" w:hAnsi="Calibri"/>
                <w:sz w:val="20"/>
              </w:rPr>
              <w:t xml:space="preserve">“esponja contable”</w:t>
            </w:r>
            <w:r>
              <w:rPr>
                <w:rFonts w:ascii="Calibri" w:hAnsi="Calibri"/>
                <w:sz w:val="20"/>
              </w:rPr>
              <w:t xml:space="preserve"> </w:t>
            </w:r>
            <w:r>
              <w:rPr>
                <w:rFonts w:ascii="Calibri" w:hAnsi="Calibri"/>
                <w:sz w:val="20"/>
              </w:rPr>
              <w:t xml:space="preserve">(retroalimentación)</w:t>
            </w:r>
          </w:p>
        </w:tc>
        <w:tc>
          <w:tcPr/>
          <w:p>
            <w:pPr>
              <w:pStyle w:val="Compact"/>
            </w:pPr>
            <w:r>
              <w:rPr>
                <w:rFonts w:ascii="Calibri" w:hAnsi="Calibri"/>
                <w:sz w:val="20"/>
              </w:rPr>
              <w:t xml:space="preserve">La deuda rezagada entra en las cuatro ecuaciones y se acumula con la identidad: un punto más de deuda sube el EMBI+ 22 puntos básicos</w:t>
            </w:r>
          </w:p>
        </w:tc>
        <w:tc>
          <w:tcPr/>
          <w:p>
            <w:pPr>
              <w:pStyle w:val="Compact"/>
            </w:pPr>
            <w:r>
              <w:rPr>
                <w:rFonts w:ascii="Calibri" w:hAnsi="Calibri"/>
                <w:sz w:val="20"/>
              </w:rPr>
              <w:t xml:space="preserve">6.1</w:t>
            </w:r>
          </w:p>
        </w:tc>
      </w:tr>
      <w:tr>
        <w:tc>
          <w:tcPr/>
          <w:p>
            <w:pPr>
              <w:pStyle w:val="Compact"/>
            </w:pPr>
            <w:r>
              <w:rPr>
                <w:rFonts w:ascii="Calibri" w:hAnsi="Calibri"/>
                <w:sz w:val="20"/>
              </w:rPr>
              <w:t xml:space="preserve">Contraste con y sin retroalimentación</w:t>
            </w:r>
          </w:p>
        </w:tc>
        <w:tc>
          <w:tcPr/>
          <w:p>
            <w:pPr>
              <w:pStyle w:val="Compact"/>
            </w:pPr>
            <w:r>
              <w:rPr>
                <w:rFonts w:ascii="Calibri" w:hAnsi="Calibri"/>
                <w:sz w:val="20"/>
              </w:rPr>
              <w:t xml:space="preserve">Hecho; casi no cambia porque el riesgo país y el superávit se compensan</w:t>
            </w:r>
          </w:p>
        </w:tc>
        <w:tc>
          <w:tcPr/>
          <w:p>
            <w:pPr>
              <w:pStyle w:val="Compact"/>
            </w:pPr>
            <w:r>
              <w:rPr>
                <w:rFonts w:ascii="Calibri" w:hAnsi="Calibri"/>
                <w:sz w:val="20"/>
              </w:rPr>
              <w:t xml:space="preserve">6.6</w:t>
            </w:r>
          </w:p>
        </w:tc>
      </w:tr>
      <w:tr>
        <w:tc>
          <w:tcPr/>
          <w:p>
            <w:pPr>
              <w:pStyle w:val="Compact"/>
            </w:pPr>
            <w:r>
              <w:rPr>
                <w:rFonts w:ascii="Calibri" w:hAnsi="Calibri"/>
                <w:sz w:val="20"/>
              </w:rPr>
              <w:t xml:space="preserve">Cholesky con orden crecimiento, TCRM, EMBI+, resultado primario</w:t>
            </w:r>
          </w:p>
        </w:tc>
        <w:tc>
          <w:tcPr/>
          <w:p>
            <w:pPr>
              <w:pStyle w:val="Compact"/>
            </w:pPr>
            <w:r>
              <w:rPr>
                <w:rFonts w:ascii="Calibri" w:hAnsi="Calibri"/>
                <w:sz w:val="20"/>
              </w:rPr>
              <w:t xml:space="preserve">Como robustez; la identificación principal es Blanchard y Perotti, la que aprobó Pablo</w:t>
            </w:r>
          </w:p>
        </w:tc>
        <w:tc>
          <w:tcPr/>
          <w:p>
            <w:pPr>
              <w:pStyle w:val="Compact"/>
            </w:pPr>
            <w:r>
              <w:rPr>
                <w:rFonts w:ascii="Calibri" w:hAnsi="Calibri"/>
                <w:sz w:val="20"/>
              </w:rPr>
              <w:t xml:space="preserve">6.6</w:t>
            </w:r>
          </w:p>
        </w:tc>
      </w:tr>
      <w:tr>
        <w:tc>
          <w:tcPr/>
          <w:p>
            <w:pPr>
              <w:pStyle w:val="Compact"/>
            </w:pPr>
            <w:r>
              <w:rPr>
                <w:rFonts w:ascii="Calibri" w:hAnsi="Calibri"/>
                <w:sz w:val="20"/>
              </w:rPr>
              <w:t xml:space="preserve">Opción B: tasa en dólares desde el EMBI+ y tasa en pesos aparte</w:t>
            </w:r>
          </w:p>
        </w:tc>
        <w:tc>
          <w:tcPr/>
          <w:p>
            <w:pPr>
              <w:pStyle w:val="Compact"/>
            </w:pPr>
            <w:r>
              <w:rPr>
                <w:rFonts w:ascii="Calibri" w:hAnsi="Calibri"/>
                <w:sz w:val="20"/>
              </w:rPr>
              <w:t xml:space="preserve">Es la especificación principal; la variante con el riesgo país en la tasa en pesos se informa como robustez</w:t>
            </w:r>
          </w:p>
        </w:tc>
        <w:tc>
          <w:tcPr/>
          <w:p>
            <w:pPr>
              <w:pStyle w:val="Compact"/>
            </w:pPr>
            <w:r>
              <w:rPr>
                <w:rFonts w:ascii="Calibri" w:hAnsi="Calibri"/>
                <w:sz w:val="20"/>
              </w:rPr>
              <w:t xml:space="preserve">4.6 y 6.6</w:t>
            </w:r>
          </w:p>
        </w:tc>
      </w:tr>
      <w:tr>
        <w:tc>
          <w:tcPr/>
          <w:p>
            <w:pPr>
              <w:pStyle w:val="Compact"/>
            </w:pPr>
            <w:r>
              <w:rPr>
                <w:rFonts w:ascii="Calibri" w:hAnsi="Calibri"/>
                <w:sz w:val="20"/>
              </w:rPr>
              <w:t xml:space="preserve">Shock de la FED con la tasa sombra</w:t>
            </w:r>
          </w:p>
        </w:tc>
        <w:tc>
          <w:tcPr/>
          <w:p>
            <w:pPr>
              <w:pStyle w:val="Compact"/>
            </w:pPr>
            <w:r>
              <w:rPr>
                <w:rFonts w:ascii="Calibri" w:hAnsi="Calibri"/>
                <w:sz w:val="20"/>
              </w:rPr>
              <w:t xml:space="preserve">Hecho (Wu y Xia, 2016)</w:t>
            </w:r>
          </w:p>
        </w:tc>
        <w:tc>
          <w:tcPr/>
          <w:p>
            <w:pPr>
              <w:pStyle w:val="Compact"/>
            </w:pPr>
            <w:r>
              <w:rPr>
                <w:rFonts w:ascii="Calibri" w:hAnsi="Calibri"/>
                <w:sz w:val="20"/>
              </w:rPr>
              <w:t xml:space="preserve">5.4</w:t>
            </w:r>
          </w:p>
        </w:tc>
      </w:tr>
      <w:tr>
        <w:tc>
          <w:tcPr/>
          <w:p>
            <w:pPr>
              <w:pStyle w:val="Compact"/>
            </w:pPr>
            <w:r>
              <w:rPr>
                <w:rFonts w:ascii="Calibri" w:hAnsi="Calibri"/>
                <w:sz w:val="20"/>
              </w:rPr>
              <w:t xml:space="preserve">Shocks de la FED identificados por la literatura (alta frecuencia)</w:t>
            </w:r>
          </w:p>
        </w:tc>
        <w:tc>
          <w:tcPr/>
          <w:p>
            <w:pPr>
              <w:pStyle w:val="Compact"/>
            </w:pPr>
            <w:r>
              <w:rPr>
                <w:rFonts w:ascii="Calibri" w:hAnsi="Calibri"/>
                <w:sz w:val="20"/>
              </w:rPr>
              <w:t xml:space="preserve">Línea futura</w:t>
            </w:r>
          </w:p>
        </w:tc>
        <w:tc>
          <w:tcPr/>
          <w:p>
            <w:pPr>
              <w:pStyle w:val="Compact"/>
            </w:pPr>
            <w:r>
              <w:rPr>
                <w:rFonts w:ascii="Calibri" w:hAnsi="Calibri"/>
                <w:sz w:val="20"/>
              </w:rPr>
              <w:t xml:space="preserve">8</w:t>
            </w:r>
          </w:p>
        </w:tc>
      </w:tr>
      <w:tr>
        <w:tc>
          <w:tcPr/>
          <w:p>
            <w:pPr>
              <w:pStyle w:val="Compact"/>
            </w:pPr>
            <w:r>
              <w:rPr>
                <w:rFonts w:ascii="Calibri" w:hAnsi="Calibri"/>
                <w:sz w:val="20"/>
              </w:rPr>
              <w:t xml:space="preserve">Términos de intercambio (Lanteri, 2019)</w:t>
            </w:r>
          </w:p>
        </w:tc>
        <w:tc>
          <w:tcPr/>
          <w:p>
            <w:pPr>
              <w:pStyle w:val="Compact"/>
            </w:pPr>
            <w:r>
              <w:rPr>
                <w:rFonts w:ascii="Calibri" w:hAnsi="Calibri"/>
                <w:sz w:val="20"/>
              </w:rPr>
              <w:t xml:space="preserve">Línea futura</w:t>
            </w:r>
          </w:p>
        </w:tc>
        <w:tc>
          <w:tcPr/>
          <w:p>
            <w:pPr>
              <w:pStyle w:val="Compact"/>
            </w:pPr>
            <w:r>
              <w:rPr>
                <w:rFonts w:ascii="Calibri" w:hAnsi="Calibri"/>
                <w:sz w:val="20"/>
              </w:rPr>
              <w:t xml:space="preserve">8</w:t>
            </w:r>
          </w:p>
        </w:tc>
      </w:tr>
      <w:tr>
        <w:tc>
          <w:tcPr/>
          <w:p>
            <w:pPr>
              <w:pStyle w:val="Compact"/>
            </w:pPr>
            <w:r>
              <w:rPr>
                <w:rFonts w:ascii="Calibri" w:hAnsi="Calibri"/>
                <w:sz w:val="20"/>
              </w:rPr>
              <w:t xml:space="preserve">Probabilidad de que la deuda supere 100% del PIB</w:t>
            </w:r>
          </w:p>
        </w:tc>
        <w:tc>
          <w:tcPr/>
          <w:p>
            <w:pPr>
              <w:pStyle w:val="Compact"/>
            </w:pPr>
            <w:r>
              <w:rPr>
                <w:rFonts w:ascii="Calibri" w:hAnsi="Calibri"/>
                <w:sz w:val="20"/>
              </w:rPr>
              <w:t xml:space="preserve">Reemplazada por la métrica del FMI, porque el 100% no tiene fuente</w:t>
            </w:r>
          </w:p>
        </w:tc>
        <w:tc>
          <w:tcPr/>
          <w:p>
            <w:pPr>
              <w:pStyle w:val="Compact"/>
            </w:pPr>
            <w:r>
              <w:rPr>
                <w:rFonts w:ascii="Calibri" w:hAnsi="Calibri"/>
                <w:sz w:val="20"/>
              </w:rPr>
              <w:t xml:space="preserve">4.7</w:t>
            </w:r>
          </w:p>
        </w:tc>
      </w:tr>
      <w:tr>
        <w:tc>
          <w:tcPr/>
          <w:p>
            <w:pPr>
              <w:pStyle w:val="Compact"/>
            </w:pPr>
            <w:r>
              <w:rPr>
                <w:rFonts w:ascii="Calibri" w:hAnsi="Calibri"/>
                <w:sz w:val="20"/>
              </w:rPr>
              <w:t xml:space="preserve">Módulo de balanza de pagos</w:t>
            </w:r>
          </w:p>
        </w:tc>
        <w:tc>
          <w:tcPr/>
          <w:p>
            <w:pPr>
              <w:pStyle w:val="Compact"/>
            </w:pPr>
            <w:r>
              <w:rPr>
                <w:rFonts w:ascii="Calibri" w:hAnsi="Calibri"/>
                <w:sz w:val="20"/>
              </w:rPr>
              <w:t xml:space="preserve">Fuera del alcance (es otra tesis); línea futura</w:t>
            </w:r>
          </w:p>
        </w:tc>
        <w:tc>
          <w:tcPr/>
          <w:p>
            <w:pPr>
              <w:pStyle w:val="Compact"/>
            </w:pPr>
            <w:r>
              <w:rPr>
                <w:rFonts w:ascii="Calibri" w:hAnsi="Calibri"/>
                <w:sz w:val="20"/>
              </w:rPr>
              <w:t xml:space="preserve">8</w:t>
            </w:r>
          </w:p>
        </w:tc>
      </w:tr>
      <w:tr>
        <w:tc>
          <w:tcPr/>
          <w:p>
            <w:pPr>
              <w:pStyle w:val="Compact"/>
            </w:pPr>
            <w:r>
              <w:rPr>
                <w:rFonts w:ascii="Calibri" w:hAnsi="Calibri"/>
                <w:sz w:val="20"/>
              </w:rPr>
              <w:t xml:space="preserve">Restricciones de signo y Blanchard-Quah</w:t>
            </w:r>
          </w:p>
        </w:tc>
        <w:tc>
          <w:tcPr/>
          <w:p>
            <w:pPr>
              <w:pStyle w:val="Compact"/>
            </w:pPr>
            <w:r>
              <w:rPr>
                <w:rFonts w:ascii="Calibri" w:hAnsi="Calibri"/>
                <w:sz w:val="20"/>
              </w:rPr>
              <w:t xml:space="preserve">No se usan: la neutralidad de largo plazo del TCRM es difícil de sostener para Argentina</w:t>
            </w:r>
          </w:p>
        </w:tc>
        <w:tc>
          <w:tcPr/>
          <w:p>
            <w:pPr>
              <w:pStyle w:val="Compact"/>
            </w:pPr>
            <w:r>
              <w:rPr>
                <w:rFonts w:ascii="Calibri" w:hAnsi="Calibri"/>
                <w:sz w:val="20"/>
              </w:rPr>
              <w:t xml:space="preserve">Guía de defensa</w:t>
            </w:r>
          </w:p>
        </w:tc>
      </w:tr>
      <w:tr>
        <w:tc>
          <w:tcPr/>
          <w:p>
            <w:pPr>
              <w:pStyle w:val="Compact"/>
            </w:pPr>
            <w:r>
              <w:rPr>
                <w:rFonts w:ascii="Calibri" w:hAnsi="Calibri"/>
                <w:sz w:val="20"/>
              </w:rPr>
              <w:t xml:space="preserve">X-13 para desestacionalizar</w:t>
            </w:r>
          </w:p>
        </w:tc>
        <w:tc>
          <w:tcPr/>
          <w:p>
            <w:pPr>
              <w:pStyle w:val="Compact"/>
            </w:pPr>
            <w:r>
              <w:rPr>
                <w:rFonts w:ascii="Calibri" w:hAnsi="Calibri"/>
                <w:sz w:val="20"/>
              </w:rPr>
              <w:t xml:space="preserve">Se usan variables binarias estacionales</w:t>
            </w:r>
          </w:p>
        </w:tc>
        <w:tc>
          <w:tcPr/>
          <w:p>
            <w:pPr>
              <w:pStyle w:val="Compact"/>
            </w:pPr>
            <w:r>
              <w:rPr>
                <w:rFonts w:ascii="Calibri" w:hAnsi="Calibri"/>
                <w:sz w:val="20"/>
              </w:rPr>
              <w:t xml:space="preserve">4.2</w:t>
            </w:r>
          </w:p>
        </w:tc>
      </w:tr>
    </w:tbl>
    <w:bookmarkEnd w:id="116"/>
    <w:bookmarkStart w:id="117" w:name="nota-4.-pendientes"/>
    <w:p>
      <w:pPr>
        <w:pStyle w:val="Heading2"/>
      </w:pPr>
      <w:r>
        <w:t xml:space="preserve">Nota 4. Pendientes</w:t>
      </w:r>
    </w:p>
    <w:p>
      <w:pPr>
        <w:pStyle w:val="Compact"/>
        <w:numPr>
          <w:ilvl w:val="0"/>
          <w:numId w:val="1015"/>
        </w:numPr>
      </w:pPr>
      <w:r>
        <w:t xml:space="preserve">Adler y Sosa: la versión de Santiago les atribuía un VAR global con un índice de precios netos de materias primas, que</w:t>
      </w:r>
      <w:r>
        <w:t xml:space="preserve"> </w:t>
      </w:r>
      <w:r>
        <w:t xml:space="preserve">“más de la mitad”</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Santiago tiene la página de donde salió, se puede recuperar.</w:t>
      </w:r>
    </w:p>
    <w:p>
      <w:pPr>
        <w:pStyle w:val="Compact"/>
        <w:numPr>
          <w:ilvl w:val="0"/>
          <w:numId w:val="1015"/>
        </w:numPr>
      </w:pPr>
      <w:r>
        <w:t xml:space="preserve">Klemm et al. (2014) y Adler y Magud (2014) salieron del texto: no se pudo leer el capítulo de Klemm et al., y en Adler y Magud no está definido el índice que se les atribuía.</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Interrupción repentina de los flujos de capital.</w:t>
      </w:r>
    </w:p>
  </w:footnote>
  <w:footnote w:id="16">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22">
    <w:p>
      <w:pPr>
        <w:pStyle w:val="FootnoteText"/>
      </w:pPr>
      <w:r>
        <w:rPr>
          <w:rStyle w:val="FootnoteReference"/>
        </w:rPr>
        <w:footnoteRef/>
      </w:r>
      <w:r>
        <w:t xml:space="preserve"> </w:t>
      </w:r>
      <w:r>
        <w:t xml:space="preserve">Acreedores que rechazan una reestructuración y reclaman judicialmente el pago completo.</w:t>
      </w:r>
    </w:p>
  </w:footnote>
  <w:footnote w:id="26">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
          <w:iCs/>
        </w:rPr>
        <w:t xml:space="preserve">pull</w:t>
      </w:r>
      <w:r>
        <w:t xml:space="preserve">), asociados a condiciones domésticas.</w:t>
      </w:r>
    </w:p>
  </w:footnote>
  <w:footnote w:id="27">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png"/><Relationship Id="rId62" Type="http://schemas.openxmlformats.org/officeDocument/2006/relationships/image" Target="media/rId62.png"/><Relationship Id="rId65" Type="http://schemas.openxmlformats.org/officeDocument/2006/relationships/image" Target="media/rId65.png"/><Relationship Id="rId72" Type="http://schemas.openxmlformats.org/officeDocument/2006/relationships/image" Target="media/rId72.png"/><Relationship Id="rId76" Type="http://schemas.openxmlformats.org/officeDocument/2006/relationships/image" Target="media/rId76.png"/><Relationship Id="rId80" Type="http://schemas.openxmlformats.org/officeDocument/2006/relationships/image" Target="media/rId80.png"/><Relationship Id="rId86" Type="http://schemas.openxmlformats.org/officeDocument/2006/relationships/image" Target="media/rId86.png"/><Relationship Id="rId92" Type="http://schemas.openxmlformats.org/officeDocument/2006/relationships/image" Target="media/rId92.png"/><Relationship Id="rId95" Type="http://schemas.openxmlformats.org/officeDocument/2006/relationships/image" Target="media/rId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2026-10-12T01:42:12Z</dcterms:created>
  <dcterms:modified xsi:type="dcterms:W3CDTF">2026-10-12T01:42:12Z</dcterms:modified>
</cp:coreProperties>
</file>

<file path=docProps/custom.xml><?xml version="1.0" encoding="utf-8"?>
<Properties xmlns="http://schemas.openxmlformats.org/officeDocument/2006/custom-properties" xmlns:vt="http://schemas.openxmlformats.org/officeDocument/2006/docPropsVTypes"/>
</file>