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plan-de-labor-de-la-tesis"/>
    <w:p>
      <w:pPr>
        <w:pStyle w:val="Heading1"/>
      </w:pPr>
      <w:r>
        <w:t xml:space="preserve">Plan de labor de la tesis</w:t>
      </w:r>
    </w:p>
    <w:p>
      <w:pPr>
        <w:pStyle w:val="FirstParagraph"/>
      </w:pPr>
      <w:r>
        <w:t xml:space="preserve">Documento de trabajo del grupo. Última actualización: 11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Lo que aportó Santiago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 (versión anterior)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Reemplazados por la ecuación fiscal del SVARX (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fase24</w:t>
            </w:r>
            <w:r>
              <w:rPr>
                <w:rFonts w:ascii="Calibri" w:hAnsi="Calibri"/>
                <w:sz w:val="20"/>
              </w:rPr>
              <w:t xml:space="preserve">), estimada sobre la deuda consolidada con datos reales. Su reacción fiscal da 0,019 (p = 0,005), significativa, a diferencia del VECM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ban-hechas"/>
    <w:p>
      <w:pPr>
        <w:pStyle w:val="Heading3"/>
      </w:pPr>
      <w:r>
        <w:t xml:space="preserve">Las cuatro piezas que faltaban (hechas)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coherente: bruta, neta a valor libros y neta con las Letras Intransferibles a valor nominal (la principal).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de Wu y Xia, trimestrales.</w:t>
      </w:r>
    </w:p>
    <w:p>
      <w:pPr>
        <w:pStyle w:val="Compact"/>
        <w:numPr>
          <w:ilvl w:val="0"/>
          <w:numId w:val="1004"/>
        </w:numPr>
      </w:pPr>
      <w:r>
        <w:t xml:space="preserve">SVARX nuevo (</w:t>
      </w:r>
      <w:r>
        <w:rPr>
          <w:rStyle w:val="VerbatimChar"/>
        </w:rPr>
        <w:t xml:space="preserve">fase24_svarx_1996_2025.py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Simulación desde el SVARX con la métrica del FMI (</w:t>
      </w:r>
      <w:r>
        <w:rPr>
          <w:rStyle w:val="VerbatimChar"/>
        </w:rPr>
        <w:t xml:space="preserve">fase25_simulacion_dsa_svarx.py</w:t>
      </w:r>
      <w:r>
        <w:t xml:space="preserve">), más la variante con shocks a la manera del FMI y su diagnóstico (</w:t>
      </w:r>
      <w:r>
        <w:rPr>
          <w:rStyle w:val="VerbatimChar"/>
        </w:rPr>
        <w:t xml:space="preserve">fase25b_diagnostico_abanico_fmi.py</w:t>
      </w:r>
      <w:r>
        <w:t xml:space="preserve">).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 Santiago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 (alrededor de 3%), con el escenario base del FMI.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 (FMI, 2025, anexo II). Mide si el perímetro consolidado y los shocks identificados cambian ese diagnóstico, que es la vacancia.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Ventana única: todas las especificaciones se estiman sobre la misma muestra efectiva, 1998T2-2025T4, y los primeros trimestres de 1996-1998 se usan como condiciones iniciales de los rezagos.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criterios de información solo se pueden comparar entre órdenes sobre un mismo período (Lütkepohl, 2005, sec. 4.3), y así la deuda neta, la neta en libros y la bruta se estiman sobre los mismos trimestres.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se contrasta a cinco años (2030), el horizonte de la métrica del FMI, y a diez años (2035).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3% del FMI se mide a cinco años; 2035 es el final del horizonte de la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shock de la FED se mide de dos maneras: un desvío estándar (0,50 puntos) y el ciclo de 2022-2023 (5,25 puntos).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Convención de la literatura de VAR y episodio histórico reciente.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especificación principal es el SVARX; los shocks a la manera del FMI se informan como comparación. La elección se fijó antes de ver los resultados.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Solo los shocks identificados permiten contrastar H1a (bloques de shocks) y H2 (shock externo).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de tasas en pesos se informa como variante: el riesgo país también reprecia la deuda en pesos.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Tasa de interés del país (Neumeyer y Perri, 2005; Uribe y Yue, 2006). No hay una tasa en pesos homogénea para 1996-2025 que permita sumarla al VAR.</w:t>
            </w:r>
          </w:p>
        </w:tc>
      </w:tr>
    </w:tbl>
    <w:bookmarkEnd w:id="15"/>
    <w:bookmarkStart w:id="24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8e6682cd329c11d0be0fd84830bfe77f1960cf0"/>
    <w:p>
      <w:pPr>
        <w:pStyle w:val="Heading3"/>
      </w:pPr>
      <w:r>
        <w:t xml:space="preserve">Etapa 1. Introducción (hecha; en revisión del grupo)</w:t>
      </w:r>
    </w:p>
    <w:p>
      <w:pPr>
        <w:pStyle w:val="Compact"/>
        <w:numPr>
          <w:ilvl w:val="0"/>
          <w:numId w:val="1005"/>
        </w:numPr>
      </w:pPr>
      <w:r>
        <w:t xml:space="preserve">Borrador corregido, con la H1a de Santiago, H1b a cinco y diez años y el tamaño del shock de la FED definido.</w:t>
      </w:r>
    </w:p>
    <w:bookmarkEnd w:id="16"/>
    <w:bookmarkStart w:id="17" w:name="X21d30eca0d7e3f1d214a006535a93fa47abd3ed"/>
    <w:p>
      <w:pPr>
        <w:pStyle w:val="Heading3"/>
      </w:pPr>
      <w:r>
        <w:t xml:space="preserve">Etapa 2. Antecedentes y área de vacancia (hecha; en revisión del grupo)</w:t>
      </w:r>
    </w:p>
    <w:p>
      <w:pPr>
        <w:pStyle w:val="Compact"/>
        <w:numPr>
          <w:ilvl w:val="0"/>
          <w:numId w:val="1006"/>
        </w:numPr>
      </w:pPr>
      <w:r>
        <w:t xml:space="preserve">Ocho ejes y la vacancia en tres partes, con el perímetro del FMI verificado en su informe de 2025.</w:t>
      </w:r>
    </w:p>
    <w:bookmarkEnd w:id="17"/>
    <w:bookmarkStart w:id="18" w:name="etapa-3.-datos-hecha"/>
    <w:p>
      <w:pPr>
        <w:pStyle w:val="Heading3"/>
      </w:pPr>
      <w:r>
        <w:t xml:space="preserve">Etapa 3. Datos (hecha)</w:t>
      </w:r>
    </w:p>
    <w:p>
      <w:pPr>
        <w:pStyle w:val="Compact"/>
        <w:numPr>
          <w:ilvl w:val="0"/>
          <w:numId w:val="1007"/>
        </w:numPr>
      </w:pPr>
      <w:r>
        <w:t xml:space="preserve">Series construidas desde fuentes primarias (MECON, BCRA, INDEC, FRED) y controladas contra el FMI (Capítulo 5).</w:t>
      </w:r>
    </w:p>
    <w:bookmarkEnd w:id="18"/>
    <w:bookmarkStart w:id="19" w:name="etapa-4.-metodología-hecha"/>
    <w:p>
      <w:pPr>
        <w:pStyle w:val="Heading3"/>
      </w:pPr>
      <w:r>
        <w:t xml:space="preserve">Etapa 4. Metodología (hecha)</w:t>
      </w:r>
    </w:p>
    <w:p>
      <w:pPr>
        <w:pStyle w:val="Compact"/>
        <w:numPr>
          <w:ilvl w:val="0"/>
          <w:numId w:val="1008"/>
        </w:numPr>
      </w:pPr>
      <w:r>
        <w:t xml:space="preserve">SVARX, identificación, ventana única, rezagos con regla AIC más estabilidad, canales de la FED, variantes y criterios de contraste (Capítulo 4).</w:t>
      </w:r>
    </w:p>
    <w:bookmarkEnd w:id="19"/>
    <w:bookmarkStart w:id="20" w:name="etapa-5.-estimación-hecha"/>
    <w:p>
      <w:pPr>
        <w:pStyle w:val="Heading3"/>
      </w:pPr>
      <w:r>
        <w:t xml:space="preserve">Etapa 5. Estimación (hecha)</w:t>
      </w:r>
    </w:p>
    <w:p>
      <w:pPr>
        <w:pStyle w:val="Compact"/>
        <w:numPr>
          <w:ilvl w:val="0"/>
          <w:numId w:val="1009"/>
        </w:numPr>
      </w:pPr>
      <w:r>
        <w:t xml:space="preserve">Reacción fiscal 0,051 [0,020; 0,082]; respuestas a la FED no significativas por separado; diagnósticos informados (Capítulo 6).</w:t>
      </w:r>
    </w:p>
    <w:bookmarkEnd w:id="20"/>
    <w:bookmarkStart w:id="21" w:name="etapa-6.-simulación-hecha"/>
    <w:p>
      <w:pPr>
        <w:pStyle w:val="Heading3"/>
      </w:pPr>
      <w:r>
        <w:t xml:space="preserve">Etapa 6. Simulación (hecha)</w:t>
      </w:r>
    </w:p>
    <w:p>
      <w:pPr>
        <w:pStyle w:val="Compact"/>
        <w:numPr>
          <w:ilvl w:val="0"/>
          <w:numId w:val="1010"/>
        </w:numPr>
      </w:pPr>
      <w:r>
        <w:t xml:space="preserve">Escenario base y dos escenarios de la FED, robustez por perímetro, canal de tasas en pesos y shocks a la manera del FMI.</w:t>
      </w:r>
    </w:p>
    <w:bookmarkEnd w:id="21"/>
    <w:bookmarkStart w:id="22" w:name="Xc907a071765566996626b616efabd2797d61fd7"/>
    <w:p>
      <w:pPr>
        <w:pStyle w:val="Heading3"/>
      </w:pPr>
      <w:r>
        <w:t xml:space="preserve">Etapa 7. Resultados, discusión y conclusiones (borrador listo para revisión del grupo)</w:t>
      </w:r>
    </w:p>
    <w:p>
      <w:pPr>
        <w:pStyle w:val="Compact"/>
        <w:numPr>
          <w:ilvl w:val="0"/>
          <w:numId w:val="1011"/>
        </w:numPr>
      </w:pPr>
      <w:r>
        <w:t xml:space="preserve">H1a respaldada. H1b respaldada a cinco años (11,8% contra 3%); a diez años, 6,0% con el límite inferior en el umbral. H2 respaldada para un ciclo como el de 2022-2023, no para un shock de medio punto.</w:t>
      </w:r>
    </w:p>
    <w:bookmarkEnd w:id="22"/>
    <w:bookmarkStart w:id="23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2"/>
        </w:numPr>
      </w:pPr>
      <w:r>
        <w:t xml:space="preserve">Revisión del grupo y del director, y pasaje al formato final.</w:t>
      </w:r>
    </w:p>
    <w:bookmarkEnd w:id="23"/>
    <w:bookmarkEnd w:id="24"/>
    <w:bookmarkStart w:id="25" w:name="datos-pendientes-de-confirmar"/>
    <w:p>
      <w:pPr>
        <w:pStyle w:val="Heading2"/>
      </w:pPr>
      <w:r>
        <w:t xml:space="preserve">5. Datos pendientes de confirmar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Dónde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 hubo emisión de deuda bajo ley de Nueva York en 2026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Nivel de los pasivos remunerados del BCRA a fines de 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 y vacancia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Tenencias de títulos públicos del FGS (ANSES no permite la descarga automática; hay que bajarlas a mano)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neta (Capítulo 5)</w:t>
            </w:r>
          </w:p>
        </w:tc>
      </w:tr>
    </w:tbl>
    <w:bookmarkEnd w:id="25"/>
    <w:bookmarkStart w:id="26" w:name="decisiones-abiertas"/>
    <w:p>
      <w:pPr>
        <w:pStyle w:val="Heading2"/>
      </w:pPr>
      <w:r>
        <w:t xml:space="preserve">6. Decisiones abiertas</w:t>
      </w:r>
    </w:p>
    <w:p>
      <w:pPr>
        <w:pStyle w:val="Compact"/>
        <w:numPr>
          <w:ilvl w:val="0"/>
          <w:numId w:val="1013"/>
        </w:numPr>
      </w:pPr>
      <w:r>
        <w:t xml:space="preserve">Ninguna de las que bloqueaban el trabajo. Las de tamaño del shock y horizonte quedaron resueltas (decisiones 12 y 13).</w:t>
      </w:r>
    </w:p>
    <w:bookmarkEnd w:id="26"/>
    <w:bookmarkStart w:id="27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4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4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4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4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2026-10-11T17:25:27Z</dcterms:created>
  <dcterms:modified xsi:type="dcterms:W3CDTF">2026-10-11T17:25:27Z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