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Introducción y Antecedentes (versión 3, borrador para el grupo)</w:t>
      </w:r>
    </w:p>
    <w:bookmarkStart w:id="19" w:name="introducción"/>
    <w:p>
      <w:pPr>
        <w:pStyle w:val="Heading1"/>
      </w:pPr>
      <w:r>
        <w:t xml:space="preserve">1. Introducción</w:t>
      </w:r>
    </w:p>
    <w:bookmarkStart w:id="10"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9"/>
      </w:r>
      <w:r>
        <w:t xml:space="preserve"> </w:t>
      </w:r>
      <w:r>
        <w:t xml:space="preserve">y crisis de impago soberano (Comín Comín, 2014, p. 699; Reinhart y Rogoff, 2009). En el caso argentino, ese patrón fue relevado por la historiografía económica desde mediados del siglo XX (Díaz Alejandro, 1970; della Paolera y Taylor, 2001; Rapoport, 2020) y volvió a manifestarse en el default 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 stock de pasivos y un acceso muy limitado al crédito voluntario. El regreso a los mercados fue gradual: la primera colocación en dólares se realizó en diciembre de 2025, por USD 1.000 millones a una tasa de 9,26% anual y bajo legislación local. [VERIFICAR antes de entregar: si hubo emisión bajo ley de Nueva York en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0"/>
    <w:bookmarkStart w:id="11" w:name="planteamiento-del-problema"/>
    <w:p>
      <w:pPr>
        <w:pStyle w:val="Heading2"/>
      </w:pPr>
      <w:r>
        <w:t xml:space="preserve">1.2 Planteamiento del problema</w:t>
      </w:r>
    </w:p>
    <w:p>
      <w:pPr>
        <w:pStyle w:val="FirstParagraph"/>
      </w:pPr>
      <w:r>
        <w:t xml:space="preserve">Frente a esta coyuntura, surge la necesidad de evaluar si la consecución de un superávit fiscal primario y la voluntad política de pago bastan para asegurar la sostenibilidad de la deuda en el mediano plazo. La alternativa es que los determinantes estructurales de la economía argentina condicionen el resultado fiscal e incrementen la probabilidad de un nuevo default o reestructuración soberana.</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además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volatilidad de los spreads de riesgo país ante shocks financieros externos (Adler y Sosa, 2014) y la menor tolerancia a la deuda de las economías con historia de default (Reinhart et al., 2003). Por último, la incertidumbre macroeconómica reduce el nivel de deuda que un gobierno puede sostener (Mendoza y Oviedo, 2007), y existe un límite político e institucional a los superávits que una sociedad acepta de manera prolongada, conocido como fatiga fiscal (Ghosh et al., 2013).</w:t>
      </w:r>
    </w:p>
    <w:bookmarkEnd w:id="11"/>
    <w:bookmarkStart w:id="12" w:name="preguntas-de-investigación"/>
    <w:p>
      <w:pPr>
        <w:pStyle w:val="Heading2"/>
      </w:pPr>
      <w:r>
        <w:t xml:space="preserve">1.3 Preguntas de investigación</w:t>
      </w:r>
    </w:p>
    <w:p>
      <w:pPr>
        <w:pStyle w:val="FirstParagraph"/>
      </w:pPr>
      <w:r>
        <w:t xml:space="preserve">La pregunta principal es: ¿en qué medida el crecimiento, el tipo de cambio real, el riesgo país y el resultado primario de Argentina (1996-2025) condicionan la sostenibilidad de su deuda pública consolidada, que suma la del Sector Público No Financiero (SPNF) y la del Banco Central de la República Argentina (BCRA), en el horizonte 2026-2035, y cuál es la probabilidad de que esa trayectoria resulte insostenible?</w:t>
      </w:r>
    </w:p>
    <w:p>
      <w:pPr>
        <w:pStyle w:val="BodyText"/>
      </w:pPr>
      <w:r>
        <w:t xml:space="preserve">Como pregunta específica, se plantea: ¿cómo y en qué magnitud impactaría un endurecimiento de la política monetaria de la Reserva Federal de los Estados Unidos (FED) sobre la dinámica de la deuda pública consolidada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(Klemm et al., 2014). Desencadena una depreciación del tipo de cambio real, con efectos de valuación sobre los pasivos dolarizados (Adler y Sosa, 2014; Calvo et al., 2003). Deprime el crecimiento y, con ello, deteriora el diferencial entre la tasa de interés y el crecimiento (Blanchard, 2019; Neumeyer y Perri, 2005; Uribe y Yue, 2006). Por último, condiciona la transmisión de la política monetaria doméstica en las economías emergentes (Renzhi y Beirne, 2024). En Argentina, ese último canal operó durante buena parte del período histórico a través del costo de los pasivos remunerados del BCRA, cuyo stock llegó a 18,4% del PIB en 2023 y cayó a 2,2% en 2024, cuando la esterilización monetaria pasó al Tesoro (FMI, 2025, anexo II, cuadro 2).</w:t>
      </w:r>
    </w:p>
    <w:bookmarkEnd w:id="12"/>
    <w:bookmarkStart w:id="13" w:name="objetivos"/>
    <w:p>
      <w:pPr>
        <w:pStyle w:val="Heading2"/>
      </w:pPr>
      <w:r>
        <w:t xml:space="preserve">1.4 Objetivos</w:t>
      </w:r>
    </w:p>
    <w:p>
      <w:pPr>
        <w:pStyle w:val="FirstParagraph"/>
      </w:pPr>
      <w:r>
        <w:t xml:space="preserve">El objetivo general es evaluar la dinámica de la deuda pública consolidada argentina (SPNF y BCRA) a partir de sus determinantes macroeconómicos históricos (1996-2025), para proyectar su sostenibilidad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una serie trimestral de deuda pública consolidada (SPNF y pasivos remunerados del BCRA) para 1996-2025.</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consolidada interactúa con el crecimiento, el tipo de cambio real, el riesgo país y el resultado primario, y en el que la tasa de la FED y la volatilidad financiera global entran como variables exógenas.</w:t>
      </w:r>
    </w:p>
    <w:p>
      <w:pPr>
        <w:pStyle w:val="Compact"/>
        <w:numPr>
          <w:ilvl w:val="0"/>
          <w:numId w:val="1001"/>
        </w:numPr>
      </w:pPr>
      <w:r>
        <w:t xml:space="preserve">Medir la contribución de cada canal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consolidada en 2026-2035 bajo un escenario base.</w:t>
      </w:r>
    </w:p>
    <w:p>
      <w:pPr>
        <w:pStyle w:val="Compact"/>
        <w:numPr>
          <w:ilvl w:val="0"/>
          <w:numId w:val="1001"/>
        </w:numPr>
      </w:pPr>
      <w:r>
        <w:t xml:space="preserve">Estimar el impacto de un endurecimiento de la política monetaria de la FED sobre esa distribución.</w:t>
      </w:r>
    </w:p>
    <w:bookmarkEnd w:id="13"/>
    <w:bookmarkStart w:id="14" w:name="hipótesis"/>
    <w:p>
      <w:pPr>
        <w:pStyle w:val="Heading2"/>
      </w:pPr>
      <w:r>
        <w:t xml:space="preserve">1.5 Hipótesis</w:t>
      </w:r>
    </w:p>
    <w:p>
      <w:pPr>
        <w:pStyle w:val="FirstParagraph"/>
      </w:pPr>
      <w:r>
        <w:t xml:space="preserve">H1a. La dinámica de la deuda pública consolidada argentina (1996-2025) responde en mayor medida a los canales cambiario y de riesgo soberano que al resultado primario, cuya reacción ante el nivel de deuda no es estadísticamente significativa. En consecuencia, el superávit primario, por sí solo, no basta para estabilizar la deuda en 2026-2035.</w:t>
      </w:r>
    </w:p>
    <w:p>
      <w:pPr>
        <w:pStyle w:val="BodyText"/>
      </w:pPr>
      <w:r>
        <w:t xml:space="preserve">H1b. La probabilidad de que la deuda consolidada no se estabilice hacia el final del horizonte de proyección, estimada con shocks estructuralmente identificados, es mayor que la que el FMI reporta para la deuda federal bruta en su análisis de 2025, de alrededor de 3% (FMI, 2025, anexo II). Para que la comparación sea válida, el escenario base de la simulación reproduce los supuestos del escenario base del FMI.</w:t>
      </w:r>
    </w:p>
    <w:p>
      <w:pPr>
        <w:pStyle w:val="BodyText"/>
      </w:pPr>
      <w:r>
        <w:t xml:space="preserve">H2. Un endurecimiento de la política monetaria de la FED eleva la trayectoria esperada de la deuda consolidada y su probabilidad de no estabilizarse, a través del riesgo soberano, el tipo de cambio real y el crecimiento. [DECIDIR el tamaño del shock con criterio justificado: ver nota 2 al final del archivo.]</w:t>
      </w:r>
    </w:p>
    <w:bookmarkEnd w:id="14"/>
    <w:bookmarkStart w:id="16" w:name="estrategia-metodológica"/>
    <w:p>
      <w:pPr>
        <w:pStyle w:val="Heading2"/>
      </w:pPr>
      <w:r>
        <w:t xml:space="preserve">1.6 Estrategia metodológica</w:t>
      </w:r>
    </w:p>
    <w:p>
      <w:pPr>
        <w:pStyle w:val="FirstParagraph"/>
      </w:pPr>
      <w:r>
        <w:t xml:space="preserve">Para contrastar estas hipótesis se estima un SVARX con datos trimestrales de Argentina (1996-2025). La deuda consolidada entra como variable del sistema, de modo que los shocks se transmiten entre las variables en ambos sentidos: la deuda responde al riesgo país, al tipo de cambio y al resultado fiscal, y a la vez los afecta en los trimestres siguientes. La evolución de la deuda respeta la identidad contable de acumulación, que distingue el tramo en moneda local del tramo en moneda extranjera. Los resultados del modelo alimentan simulaciones de Monte Carlo que generan distribuciones de probabilidad sobre la trayectoria de la deuda en 2026-2035, cuyos resultados se resumen en gráficos de abanico (</w:t>
      </w:r>
      <w:r>
        <w:rPr>
          <w:i/>
          <w:iCs/>
        </w:rPr>
        <w:t xml:space="preserve">fan charts</w:t>
      </w:r>
      <w:r>
        <w:t xml:space="preserve">)</w:t>
      </w:r>
      <w:r>
        <w:rPr>
          <w:rStyle w:val="FootnoteReference"/>
        </w:rPr>
        <w:footnoteReference w:id="15"/>
      </w:r>
      <w:r>
        <w:t xml:space="preserve"> </w:t>
      </w:r>
      <w:r>
        <w:t xml:space="preserve">y en las métricas que utiliza el FMI para evaluar el riesgo soberano.</w:t>
      </w:r>
    </w:p>
    <w:bookmarkEnd w:id="16"/>
    <w:bookmarkStart w:id="17" w:name="justificación"/>
    <w:p>
      <w:pPr>
        <w:pStyle w:val="Heading2"/>
      </w:pPr>
      <w:r>
        <w:t xml:space="preserve">1.7 Justificación</w:t>
      </w:r>
    </w:p>
    <w:p>
      <w:pPr>
        <w:pStyle w:val="FirstParagraph"/>
      </w:pPr>
      <w:r>
        <w:t xml:space="preserve">La Ley 27.612 de Fortalecimiento de la Sostenibilidad de la Deuda Pública exige, desde 2021, que todo nuevo endeudamiento del Estado nacional se someta a un análisis de sostenibilidad. La literatura académica local, sin embargo, no dispone de un protocolo econométrico propio, replicable y contrastado que dé contenido empírico a esa exigencia.</w:t>
      </w:r>
    </w:p>
    <w:p>
      <w:pPr>
        <w:pStyle w:val="BodyText"/>
      </w:pPr>
      <w:r>
        <w:t xml:space="preserve">El precedente metodológico directo es Medeiros (2012), quien combinó un modelo VAR con una función de reacción fiscal para simular la trayectoria de la deuda y construir distribuciones de probabilidad en lugar de escenarios únicos. El FMI adoptó luego esa lógica en su Marco de Riesgo Soberano y Sostenibilidad de la Deuda (SRDSF), aplicado a Argentina en sus revisiones del programa (FMI, 2024, 2025). Esta tesis retoma esa arquitectura y la especifica para el caso argentino en dos direcciones. La primera es metodológica: identifica de manera explícita los canales de transmisión entre el resultado fiscal, el riesgo soberano, el tipo de cambio real y la actividad, e incorpora un shock externo de origen identificable, la política monetaria de la FED. La segunda es de cobertura: estima la dinámica histórica de la deuda incluyendo los pasivos remunerados del BCRA, que el propio FMI considera parte de la deuda pública cuando pueden financiar al Tesoro o representan un riesgo fiscal material (FMI, 2021).</w:t>
      </w:r>
    </w:p>
    <w:bookmarkEnd w:id="17"/>
    <w:bookmarkStart w:id="18"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 el escenario de shock de la FED. El Capítulo 7 los discute y el Capítulo 8 presenta las conclusiones y las limitaciones. [AJUSTAR cuando se cierre el índice.]</w:t>
      </w:r>
    </w:p>
    <w:bookmarkEnd w:id="18"/>
    <w:bookmarkEnd w:id="19"/>
    <w:bookmarkStart w:id="32" w:name="antecedentes"/>
    <w:p>
      <w:pPr>
        <w:pStyle w:val="Heading1"/>
      </w:pPr>
      <w:r>
        <w:t xml:space="preserve">2. Antecedentes</w:t>
      </w:r>
    </w:p>
    <w:p>
      <w:pPr>
        <w:pStyle w:val="FirstParagraph"/>
      </w:pPr>
      <w:r>
        <w:t xml:space="preserve">Este capítulo ordena la literatura relevante en ocho ejes. Los cuatro primeros provienen de la literatura argentina reciente: las limitaciones de los enfoques contables (Rodríguez, 2023; Sanches, 2019), la economía política del endeudamiento y de las reestructuraciones (Aruguete, 2021; Roldán, 2021), las consecuencias materiales del ciclo financiero (Bohoslavsky y Cantamutto, 2024; Cantamutto et al., 2024) y la literatura que relativiza la urgencia de la fatiga fiscal (Blanchard, 1990, 2019; Everaert y Jansen, 2018). Los cuatro restantes reúnen la literatura internacional de simulación estocástica de deuda y tres antecedentes específicos sobre Argentina: la tradición que combina modelos VAR con simulación (Medeiros, 2012; Adler y Sosa, 2014; Wijayanti y Rachmanira, 2020), las dos lecturas de la antesala de la crisis de 2001-2002 (Cetrángolo et al., 1997; Calvo et al., 2003), la controversia entre la ratio deuda/PIB y el balance patrimonial (Levy Yeyati y Sturzenegger, 2023) y el costo real del default (Hébert y Schreger, 2017). El capítulo cierra con el área de vacancia.</w:t>
      </w:r>
    </w:p>
    <w:bookmarkStart w:id="20" w:name="Xd30872c284e5b335f776e4fb8cf86880297864c"/>
    <w:p>
      <w:pPr>
        <w:pStyle w:val="Heading2"/>
      </w:pPr>
      <w:r>
        <w:t xml:space="preserve">2.1 Primer eje: las limitaciones de los enfoques contables</w:t>
      </w:r>
    </w:p>
    <w:p>
      <w:pPr>
        <w:pStyle w:val="FirstParagraph"/>
      </w:pPr>
      <w:r>
        <w:t xml:space="preserve">La literatura coincide en señalar las limitaciones de las metodologías deterministas clásicas para evaluar la solvencia en economías periféricas.</w:t>
      </w:r>
    </w:p>
    <w:p>
      <w:pPr>
        <w:pStyle w:val="BodyText"/>
      </w:pPr>
      <w:r>
        <w:t xml:space="preserve">Rodríguez (2023) analiza la evolución de la deuda pública argentina entre 2001 y 2022 desde el marco de la Nueva Economía Keynesiana. Construye un indicador de</w:t>
      </w:r>
      <w:r>
        <w:t xml:space="preserve"> </w:t>
      </w:r>
      <w:r>
        <w:t xml:space="preserve">“efectos sobre la deuda pública”</w:t>
      </w:r>
      <w:r>
        <w:t xml:space="preserve"> </w:t>
      </w:r>
      <w:r>
        <w:t xml:space="preserve">que descompone la dinámica de la ratio deuda/PIB en sus determinantes. Encuentra que el indicador se ubicó en terreno negativo durante el 68% del período, lo que señala insostenibilidad y falta de margen fiscal, y que la ratio deuda/PIB tomada de forma aislada no alcanza para concluir sobre la sostenibilidad.</w:t>
      </w:r>
    </w:p>
    <w:p>
      <w:pPr>
        <w:pStyle w:val="BodyText"/>
      </w:pPr>
      <w:r>
        <w:t xml:space="preserve">Sanches (2019), en su tesis de maestría, descompone la ratio deuda/PIB argentina para aislar el peso del tipo de cambio, dado un perfil de deuda con alta participación en moneda extranjera. Lo complementa con un panel de países emergentes sobre la sensibilidad del diferencial de rendimiento soberano a la composición por moneda de la deuda. Su hallazgo central es que, con un perfil como el argentino, una depreciación real afecta la ratio deuda/PIB tanto por el canal del capital como por el de los intereses.</w:t>
      </w:r>
    </w:p>
    <w:bookmarkEnd w:id="20"/>
    <w:bookmarkStart w:id="22"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la reestructuración de la deuda en moneda extranjera habilitada por la Ley 27.541 de emergencia pública. Su diagnóstico subraya que los modelos de sostenibilidad no pueden ignorar el uso macroeconómico de los fondos prestados ni la vulnerabilidad que genera un perfil de vencimientos concentrado en moneda extranjera.</w:t>
      </w:r>
    </w:p>
    <w:p>
      <w:pPr>
        <w:pStyle w:val="BodyText"/>
      </w:pPr>
      <w:r>
        <w:t xml:space="preserve">Roldán (2021), en su tesina de grado, analiza la renegociación de 2020 con los tenedores privados de títulos bajo legislación extranjera desde la teoría de juegos. Destaca el papel de las cláusulas de acción colectiva, incorporadas a los nuevos títulos tras los litigios de 2014, que obligan a los acreedores a aceptar el acuerdo una vez superado cierto umbral de adhesión y reducen el poder de negociación de los acreedores que no entran al canje (</w:t>
      </w:r>
      <w:r>
        <w:rPr>
          <w:i/>
          <w:iCs/>
        </w:rPr>
        <w:t xml:space="preserve">holdouts</w:t>
      </w:r>
      <w:r>
        <w:t xml:space="preserve">)</w:t>
      </w:r>
      <w:r>
        <w:rPr>
          <w:rStyle w:val="FootnoteReference"/>
        </w:rPr>
        <w:footnoteReference w:id="21"/>
      </w:r>
      <w:r>
        <w:t xml:space="preserve">.</w:t>
      </w:r>
    </w:p>
    <w:bookmarkEnd w:id="22"/>
    <w:bookmarkStart w:id="23" w:name="X581ad12eca82b5a398ca516d7f4a7b074d3c308"/>
    <w:p>
      <w:pPr>
        <w:pStyle w:val="Heading2"/>
      </w:pPr>
      <w:r>
        <w:t xml:space="preserve">2.3 Tercer eje: la tensión material y la restricción externa</w:t>
      </w:r>
    </w:p>
    <w:p>
      <w:pPr>
        <w:pStyle w:val="FirstParagraph"/>
      </w:pPr>
      <w:r>
        <w:t xml:space="preserve">Bohoslavsky y Cantamutto (2024) sostienen que el sobreendeudamiento argentino guarda una relación estructural con la especialización productiva extractiva del país. Un criterio de sostenibilidad restringido al balance fiscal corriente omite, por lo tanto, la dimensión estructural de largo plazo. En la misma línea, Cantamutto et al. (2024) proponen leer la sostenibilidad desde la</w:t>
      </w:r>
      <w:r>
        <w:t xml:space="preserve"> </w:t>
      </w:r>
      <w:r>
        <w:t xml:space="preserve">“sostenibilidad de la vida”</w:t>
      </w:r>
      <w:r>
        <w:t xml:space="preserve">: cuestionan que la capacidad de pago frente a los acreedores pueda evaluarse con independencia de sus efectos sobre la reproducción social. El planteo sistematiza un argumento previo de Cantamutto y Féliz (2021).</w:t>
      </w:r>
    </w:p>
    <w:bookmarkEnd w:id="23"/>
    <w:bookmarkStart w:id="24" w:name="X3ef49e8e200548a8b05dde81bcde92b615e749b"/>
    <w:p>
      <w:pPr>
        <w:pStyle w:val="Heading2"/>
      </w:pPr>
      <w:r>
        <w:t xml:space="preserve">2.4 Cuarto eje: la discusión sobre la fatiga fiscal</w:t>
      </w:r>
    </w:p>
    <w:p>
      <w:pPr>
        <w:pStyle w:val="FirstParagraph"/>
      </w:pPr>
      <w:r>
        <w:t xml:space="preserve">Junto a los ejes anteriores, que dan por plausible la fatiga fiscal, la literatura incluye trabajos que relativizan su urgencia. Blanchard (1990) ya propuso complementar la ratio deuda/PIB con otros indicadores fiscales en lugar de tratarla como un límite autosuficiente. Tres décadas después, Blanchard (2019) argumenta que, cuando la tasa de interés real se ubica sistemáticamente por debajo del crecimiento, el gobierno puede sostener déficits primarios moderados sin que la ratio diverja.</w:t>
      </w:r>
    </w:p>
    <w:p>
      <w:pPr>
        <w:pStyle w:val="BodyText"/>
      </w:pPr>
      <w:r>
        <w:t xml:space="preserve">Everaert y Jansen (2018) discuten la fatiga fiscal desde otro ángulo. Retoman el panel de países de la OCDE (1970-2014) en el que se apoya buena parte de esta literatura y testean si el patrón no lineal de Medeiros (2012) es una regularidad genuina o un efecto de agregar países heterogéneos en un solo panel. Usan el estimador de grupos medios de Pesaran y Smith, que permite una pendiente de reacción fiscal distinta para cada país, y encuentran heterogeneidad significativa: la fatiga fiscal no es un rasgo compartido por todos los países, sino el promedio de comportamientos muy distintos. La implicancia para un análisis de un solo país, y en particular de Argentina, es directa. Una función de reacción estimada sobre economías avanzadas no es transferible sin más, porque esos parámetros provienen de países con marcos de disciplina institucional (Pacto de Estabilidad, vigilancia de la Comisión Europea) que Argentina no tiene. Esta advertencia respalda el diseño de caso único de esta tesis.</w:t>
      </w:r>
    </w:p>
    <w:bookmarkEnd w:id="24"/>
    <w:bookmarkStart w:id="27" w:name="X4d733897fde12b7f0cf614c762e0f3fc43f0bab"/>
    <w:p>
      <w:pPr>
        <w:pStyle w:val="Heading2"/>
      </w:pPr>
      <w:r>
        <w:t xml:space="preserve">2.5 Quinto eje: simulación estocástica de deuda y marcos de riesgo soberano</w:t>
      </w:r>
    </w:p>
    <w:p>
      <w:pPr>
        <w:pStyle w:val="FirstParagraph"/>
      </w:pPr>
      <w:r>
        <w:t xml:space="preserve">La literatura empírica sobre sostenibilidad de deuda soberana se desplazó, en las últimas dos décadas, de las proyecciones deterministas de un único escenario hacia simulaciones estocásticas que generan distribuciones de probabilidad sobre la trayectoria de la deuda. El origen de este giro en los organismos multilaterales son los gráficos de abanico desarrollados en el FMI por Celasun et al. (2006) y el trabajo de Medeiros (2012) en la Comisión Europea. Medeiros combinó un modelo VAR con una función de reacción fiscal de panel para quince países de la Unión Europea y simuló miles de trayectorias de deuda/PIB. Su especificación recogió la hipótesis de fatiga fiscal, según la cual la respuesta del superávit primario se debilita cuando la deuda es elevada (Ghosh et al., 2013), una noción que luego absorbieron los marcos de evaluación de solvencia europeos (Bouabdallah et al., 2017). El FMI consolidó el enfoque probabilístico en su Marco de Riesgo Soberano y Sostenibilidad de la Deuda (SRDSF; FMI, 2021), que combina el gráfico de abanico con herramientas de realismo sobre el resultado primario y que aplicó a Argentina en sus revisiones del programa (FMI, 2024, 2025).</w:t>
      </w:r>
    </w:p>
    <w:p>
      <w:pPr>
        <w:pStyle w:val="BodyText"/>
      </w:pPr>
      <w:r>
        <w:t xml:space="preserve">Un segundo cuerpo de literatura llevó el problema a economías emergentes expuestas a shocks de términos de intercambio y a interrupciones del financiamiento. Adler y Sosa (2014) estimaron modelos VAR globales y de panel para países de América Latina, con un índice de precios netos de materias primas como variable externa (Adler y Magud, 2014). Encontraron que más de la mitad de la variabilidad de las entradas de capital de corto plazo responde a condiciones internacionales, como la tasa de la Reserva Federal y el índice VIX, y no a factores locales. Es decir, la sostenibilidad de la deuda en la región depende en buena medida de factores de empuje externos (</w:t>
      </w:r>
      <w:r>
        <w:rPr>
          <w:i/>
          <w:iCs/>
        </w:rPr>
        <w:t xml:space="preserve">push</w:t>
      </w:r>
      <w:r>
        <w:t xml:space="preserve">)</w:t>
      </w:r>
      <w:r>
        <w:rPr>
          <w:rStyle w:val="FootnoteReference"/>
        </w:rPr>
        <w:footnoteReference w:id="25"/>
      </w:r>
      <w:r>
        <w:t xml:space="preserve">. El mismo estudio documentó una asimetría argentina: en las crisis, el capital residente tiende a sumarse a la salida en lugar de repatriarse para amortiguarla.</w:t>
      </w:r>
    </w:p>
    <w:p>
      <w:pPr>
        <w:pStyle w:val="BodyText"/>
      </w:pPr>
      <w:r>
        <w:t xml:space="preserve">La literatura de sistemas de alerta temprana (</w:t>
      </w:r>
      <w:r>
        <w:rPr>
          <w:i/>
          <w:iCs/>
        </w:rPr>
        <w:t xml:space="preserve">early warning systems</w:t>
      </w:r>
      <w:r>
        <w:t xml:space="preserve">)</w:t>
      </w:r>
      <w:r>
        <w:rPr>
          <w:rStyle w:val="FootnoteReference"/>
        </w:rPr>
        <w:footnoteReference w:id="26"/>
      </w:r>
      <w:r>
        <w:t xml:space="preserve"> </w:t>
      </w:r>
      <w:r>
        <w:t xml:space="preserve">buscó anticipar crisis de deuda con otro objetivo: no explicar mecanismos, sino maximizar el poder predictivo. Wijayanti y Rachmanira (2020) aplicaron el enfoque de señales de Kaminsky, Lizondo y Reinhart y una regresión logística a un panel de 43 países en desarrollo entre 1960 y 2017. Predijeron el 61,5% de las crisis de deuda con dos años de anticipación, con un umbral de probabilidad del 30%. El resultado expone una tensión: estos sistemas maximizan el poder predictivo sobre un panel amplio, mientras que el gráfico de abanico del FMI busca representar la distribución de riesgo de un país en particular, y ambos enfoques pueden dar señales distintas frente a un mismo episodio.</w:t>
      </w:r>
    </w:p>
    <w:bookmarkEnd w:id="27"/>
    <w:bookmarkStart w:id="28" w:name="Xed9dfe865fa02d1c78e9c600386051147b065ff"/>
    <w:p>
      <w:pPr>
        <w:pStyle w:val="Heading2"/>
      </w:pPr>
      <w:r>
        <w:t xml:space="preserve">2.6 Sexto eje: dos lecturas convergentes de la crisis de 2001-2002</w:t>
      </w:r>
    </w:p>
    <w:p>
      <w:pPr>
        <w:pStyle w:val="FirstParagraph"/>
      </w:pPr>
      <w:r>
        <w:t xml:space="preserve">Dos trabajos centrados en Argentina, con instrumentos casi opuestos, llegaron a diagnósticos convergentes en la antesala de la crisis de 2001-2002. Cetrángolo et al. (1997) reconstruyeron el esquema de ahorro e inversión del Sector Público Nacional no Financiero para 1975-1996. Desagregaron el presupuesto en ocho rubros de ingresos y siete de gasto, vincularon cada uno a su variable macroeconómica con coeficientes fijos y aplicaron el filtro de Hodrick-Prescott para calcular un déficit ajustado por el ciclo y un impulso fiscal, siguiendo a Blanchard (1990). Su conclusión fiscal fue tranquilizadora: el riesgo fiscal cíclico bajo la Convertibilidad era pequeño (0,3-0,6% del PIB). Pero su propia proyección para 1997-2001 mostraba un déficit de cuenta corriente que superaba el 7% del PIB hacia 2001, y advertía así que el riesgo principal era externo, no fiscal.</w:t>
      </w:r>
    </w:p>
    <w:p>
      <w:pPr>
        <w:pStyle w:val="BodyText"/>
      </w:pPr>
      <w:r>
        <w:t xml:space="preserve">Calvo et al. (2003) llegaron a la misma advertencia con un instrumental distinto: contabilidad de balanza de pagos, calibración de elasticidades de demanda de bienes no transables y la identidad de dinámica de la deuda. Mostraron que, ante una interrupción súbita del financiamiento como la que siguió a la crisis rusa de 1998, el ajuste del tipo de cambio real necesario para restablecer el equilibrio externo dependía de la apertura comercial y del descalce de monedas de los pasivos. En ambos rasgos, Argentina se ubicaba en el peor extremo entre los casos comparados (Argentina, Brasil, Chile, Colombia y Ecuador). Uno de los trabajos detecta el problema por el lado del flujo (cuenta corriente) y el otro por el del stock (descalce patrimonial). Ambos coinciden en que el diagnóstico fiscal de corto plazo no bastaba para juzgar la sostenibilidad.</w:t>
      </w:r>
    </w:p>
    <w:bookmarkEnd w:id="28"/>
    <w:bookmarkStart w:id="29"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explica que el salto cambiario de fines de 2023 llevara la deuda federal bruta a más del 150% del PIB (FMI, 2025, anexo II). En el marco del FMI, ese salto ensanchó el gráfico de abanico y llevó la señal mecánica de riesgo a</w:t>
      </w:r>
      <w:r>
        <w:t xml:space="preserve"> </w:t>
      </w:r>
      <w:r>
        <w:t xml:space="preserve">“alto”</w:t>
      </w:r>
      <w:r>
        <w:t xml:space="preserve">. El propio FMI matizó esa lectura y, una vez que el efecto de la devaluación se disipó, la señal volvió a</w:t>
      </w:r>
      <w:r>
        <w:t xml:space="preserve"> </w:t>
      </w:r>
      <w:r>
        <w:t xml:space="preserve">“moderado”</w:t>
      </w:r>
      <w:r>
        <w:t xml:space="preserve"> </w:t>
      </w:r>
      <w:r>
        <w:t xml:space="preserve">(FMI, 2025, anexo II). [VERIFICAR en FMI (2024) las cifras de 156,7% del PIB y de 122,7 puntos de ancho del abanico que citaba la versión anterior.]</w:t>
      </w:r>
    </w:p>
    <w:p>
      <w:pPr>
        <w:pStyle w:val="BodyText"/>
      </w:pPr>
      <w:r>
        <w:t xml:space="preserve">Levy Yeyati y Sturzenegger (2023) llevaron la discusión un paso más allá: propusieron reemplazar la ratio deuda/PIB por el patrimonio neto del sector público, es decir, el valor presente de los ingresos menos el de los gastos y pasivos explícitos. Lo simularon con un</w:t>
      </w:r>
      <w:r>
        <w:t xml:space="preserve"> </w:t>
      </w:r>
      <w:r>
        <w:rPr>
          <w:i/>
          <w:iCs/>
        </w:rPr>
        <w:t xml:space="preserve">bootstrap</w:t>
      </w:r>
      <w:r>
        <w:t xml:space="preserve"> </w:t>
      </w:r>
      <w:r>
        <w:t xml:space="preserve">de un VAR de tres variables (PIB, tipo de cambio real y tasa internacional). Para Argentina obtuvieron un patrimonio neto medio de 2,2 veces el PIB, sin valores negativos en la distribución simulada. Además, una devaluación real del 20% apenas lo modifica (de 2,225 a 2,214 veces el PIB), porque el mayor costo en dólares de la deuda se compensa con más recaudación de bienes transables y con la licuación de gastos en pesos. El resultado choca con el cálculo tradicional que los mismos autores citan de Calvo et al. (2003): con el enfoque de descalce de monedas, una devaluación del 50% eleva la ratio deuda/PIB argentina de 36,5% a 50,8%. Los autores advierten que su resultado benigno depende de que Argentina redujo la dolarización de su deuda después de 2001. Con la estructura de deuda de 2001, el mismo shock habría producido un deterioro severo.</w:t>
      </w:r>
    </w:p>
    <w:bookmarkEnd w:id="29"/>
    <w:bookmarkStart w:id="30" w:name="octavo-eje-el-costo-real-del-default"/>
    <w:p>
      <w:pPr>
        <w:pStyle w:val="Heading2"/>
      </w:pPr>
      <w:r>
        <w:t xml:space="preserve">2.8 Octavo eje: el costo real del default</w:t>
      </w:r>
    </w:p>
    <w:p>
      <w:pPr>
        <w:pStyle w:val="FirstParagraph"/>
      </w:pPr>
      <w:r>
        <w:t xml:space="preserve">El último antecedente no discute la sostenibilidad</w:t>
      </w:r>
      <w:r>
        <w:t xml:space="preserve"> </w:t>
      </w:r>
      <w:r>
        <w:rPr>
          <w:i/>
          <w:iCs/>
        </w:rPr>
        <w:t xml:space="preserve">ex ante</w:t>
      </w:r>
      <w:r>
        <w:t xml:space="preserve">, sino el costo</w:t>
      </w:r>
      <w:r>
        <w:t xml:space="preserve"> </w:t>
      </w:r>
      <w:r>
        <w:rPr>
          <w:i/>
          <w:iCs/>
        </w:rPr>
        <w:t xml:space="preserve">ex post</w:t>
      </w:r>
      <w:r>
        <w:t xml:space="preserve"> </w:t>
      </w:r>
      <w:r>
        <w:t xml:space="preserve">del evento que estos marcos buscan evitar. Hébert y Schreger (2017) usaron el litigio de la República Argentina con NML Capital como experimento natural: los fallos judiciales alteraron la probabilidad de default percibida por el mercado con independencia de las noticias económicas del día. Con identificación por heterocedasticidad (Rigobon, 2003; Rigobon y Sack, 2004), estimaron que un aumento de 10 puntos porcentuales en la probabilidad de default, medida con los seguros de incumplimiento (CDS), redujo en alrededor de 6% el índice de acciones argentinas. El paso de una probabilidad de 40% a una de 100%, lo efectivamente ocurrido en 2014, implicó una pérdida de valor de mercado de las empresas cotizantes de entre 30% y 45%, concentrada en exportadoras y filiales de empresas extranjeras. Este trabajo cuantifica el costo del evento extremo que los marcos estocásticos (Medeiros, 2012; FMI, 2021) buscan mantener con baja probabilidad.</w:t>
      </w:r>
    </w:p>
    <w:bookmarkEnd w:id="30"/>
    <w:bookmarkStart w:id="31"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Pero no estima un sistema en el que los shocks se propaguen entre el resultado fiscal, el riesgo país, el tipo de cambio real y la actividad. La literatura internacional sí modela esa transmisión, aunque sobre paneles de países (Medeiros, 2012; Adler y Sosa, 2014). En la evaluación más reciente de funciones de reacción fiscal para América Latina y el Caribe, Argentina ni siquiera integra el grupo de países con series aptas para una estimación individual (González y Hernández, 2023). El gráfico de abanico del FMI, por su parte, aplica al escenario base shocks tomados de la historia de los determinantes de la deuda, sin identificar su origen (FMI, 2021, párr. 52), y por eso no permite atribuir el riesgo a una perturbación concreta.</w:t>
      </w:r>
    </w:p>
    <w:p>
      <w:pPr>
        <w:pStyle w:val="BodyText"/>
      </w:pPr>
      <w:r>
        <w:rPr>
          <w:b/>
          <w:bCs/>
        </w:rPr>
        <w:t xml:space="preserve">Un shock externo identificado.</w:t>
      </w:r>
      <w:r>
        <w:t xml:space="preserve"> </w:t>
      </w:r>
      <w:r>
        <w:t xml:space="preserve">Los efectos de la política monetaria de la Reserva Federal sobre América Latina se estudiaron en paneles regionales, sobre flujos de capital, spreads y actividad (Adler y Sosa, 2014; Klemm et al., 2014). No se tradujeron en un cambio en la probabilidad de que la deuda argentina no se estabilice. Levy Yeyati y Sturzenegger (2023) incluyen la tasa internacional en su VAR, pero su variable de interés es el patrimonio neto del sector público y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Las letras de liquidez se incluyen cuando pueden financiar al gobierno, cuando el gobierno responde de hecho por su servicio o cuando representan un riesgo fiscal material, y el propio documento menciona que en Argentina sumaban 5% del PIB a fines de 2018 (FMI, 2021, anexo II). Sin embargo, en su aplicación a Argentina, el FMI corre sus herramientas sobre la deuda bruta del gobierno federal. La deuda consolidada con el BCRA aparece solo como un cuadro complementario de stocks: 110,8% del PIB en 2023 y 51,5% en 2024, con pasivos del BCRA que pasaron de 18,4% a 2,2% del PIB (FMI, 2025, anexo II, cuadro 2). Ningún trabajo estima cómo evolucionó esa deuda consolidada junto con sus determinantes a lo largo del tiempo.</w:t>
      </w:r>
    </w:p>
    <w:p>
      <w:pPr>
        <w:pStyle w:val="BodyText"/>
      </w:pPr>
      <w:r>
        <w:t xml:space="preserve">Esa omisión importa por razones institucionales. El BCRA careció durante buena parte del período de independencia funcional frente al Tesoro. Tras la crisis de 2001-2002, la reaparición del déficit derivó en un uso creciente de su balance, mediante la cancelación de deuda con reservas y la transferencia de utilidades, y la reforma de su Carta Orgánica de 2012 amplió los márgenes legales de asistencia al Tesoro (Damill et al., 2015; Porto, 2020). La absorción de esa liquidez se hizo con pasivos remunerados: letras (LEBAC y NOBAC) hasta 2018, Leliq y pases entre 2018 y 2024, que respondieron a los mismos shocks cambiarios y de riesgo que la deuda del Tesoro. [VERIFICAR en Porto (2020) y Damill et al. (2015) el respaldo de cada afirmación de este párrafo; el texto de Santiago estaba cortado a mitad de oración y se completó con la cronología de los instrumentos.] Un modelo estimado solo sobre la deuda del Tesoro omite esa parte del endeudamiento y puede subestimar la sensibilidad de la deuda a esos shocks. Esto sigue siendo cierto aunque, desde 2024, los pasivos del BCRA se hayan reducido a niveles mínimos: la proyección parte de un BCRA casi sin pasivos, pero los parámetros que la gobiernan se estiman sobre tres décadas en las que no fue así.</w:t>
      </w:r>
    </w:p>
    <w:p>
      <w:pPr>
        <w:pStyle w:val="BodyText"/>
      </w:pPr>
      <w:r>
        <w:t xml:space="preserve">Esta tesis atiende las tres omisiones con un solo diseño: un SVARX de caso único para Argentina (1996-2025), estimado sobre la deuda consolidada del SPNF y el BCRA, con identificación estructural de los canales y la tasa de la FED como variable exógena. Sus resultados alimentan una simulación de Monte Carlo que expresa el riesgo con las métricas del propio FMI, lo que permite comparar directamente ambos resultados.</w:t>
      </w:r>
    </w:p>
    <w:bookmarkEnd w:id="31"/>
    <w:bookmarkEnd w:id="32"/>
    <w:bookmarkStart w:id="33" w:name="referencias"/>
    <w:p>
      <w:pPr>
        <w:pStyle w:val="Heading1"/>
      </w:pPr>
      <w:r>
        <w:t xml:space="preserve">Referencias</w:t>
      </w:r>
    </w:p>
    <w:p>
      <w:pPr>
        <w:pStyle w:val="Compact"/>
        <w:numPr>
          <w:ilvl w:val="0"/>
          <w:numId w:val="1002"/>
        </w:numPr>
      </w:pPr>
      <w:r>
        <w:t xml:space="preserve">Adler, G., y Magud, N. E. (2014). [VERIFICAR: en</w:t>
      </w:r>
      <w:r>
        <w:t xml:space="preserve"> </w:t>
      </w:r>
      <w:r>
        <w:rPr>
          <w:rStyle w:val="VerbatimChar"/>
        </w:rPr>
        <w:t xml:space="preserve">referencias.bib</w:t>
      </w:r>
      <w:r>
        <w:t xml:space="preserve"> </w:t>
      </w:r>
      <w:r>
        <w:t xml:space="preserve">figura</w:t>
      </w:r>
      <w:r>
        <w:t xml:space="preserve"> </w:t>
      </w:r>
      <w:r>
        <w:rPr>
          <w:i/>
          <w:iCs/>
        </w:rPr>
        <w:t xml:space="preserve">Four decades of terms-of-trade booms: A metric of income windfall</w:t>
      </w:r>
      <w:r>
        <w:t xml:space="preserve"> </w:t>
      </w:r>
      <w:r>
        <w:t xml:space="preserve">(IMF Working Paper WP/14/103), y Santiago cita</w:t>
      </w:r>
      <w:r>
        <w:t xml:space="preserve"> </w:t>
      </w:r>
      <w:r>
        <w:rPr>
          <w:i/>
          <w:iCs/>
        </w:rPr>
        <w:t xml:space="preserve">Terms-of-trade booms: Saving-investment patterns and a new metric of income windfall</w:t>
      </w:r>
      <w:r>
        <w:t xml:space="preserve"> </w:t>
      </w:r>
      <w:r>
        <w:t xml:space="preserve">(capítulo del libro del FMI editado por Iakova et al.). Son dos versiones distintas: elegir la que respalda lo que se afirma.]</w:t>
      </w:r>
    </w:p>
    <w:p>
      <w:pPr>
        <w:pStyle w:val="Compact"/>
        <w:numPr>
          <w:ilvl w:val="0"/>
          <w:numId w:val="1002"/>
        </w:numPr>
      </w:pPr>
      <w:r>
        <w:t xml:space="preserve">Adler, G., y Sosa, S. (2014). [VERIFICAR: en</w:t>
      </w:r>
      <w:r>
        <w:t xml:space="preserve"> </w:t>
      </w:r>
      <w:r>
        <w:rPr>
          <w:rStyle w:val="VerbatimChar"/>
        </w:rPr>
        <w:t xml:space="preserve">referencias.bib</w:t>
      </w:r>
      <w:r>
        <w:t xml:space="preserve"> </w:t>
      </w:r>
      <w:r>
        <w:t xml:space="preserve">figura</w:t>
      </w:r>
      <w:r>
        <w:t xml:space="preserve"> </w:t>
      </w:r>
      <w:r>
        <w:rPr>
          <w:i/>
          <w:iCs/>
        </w:rPr>
        <w:t xml:space="preserve">Global financial shocks and their transmission to emerging markets</w:t>
      </w:r>
      <w:r>
        <w:t xml:space="preserve"> </w:t>
      </w:r>
      <w:r>
        <w:t xml:space="preserve">(IMF Working Paper WP/14/72), y Santiago cita</w:t>
      </w:r>
      <w:r>
        <w:t xml:space="preserve"> </w:t>
      </w:r>
      <w:r>
        <w:rPr>
          <w:i/>
          <w:iCs/>
        </w:rPr>
        <w:t xml:space="preserve">External conditions and debt sustainability in Latin America</w:t>
      </w:r>
      <w:r>
        <w:t xml:space="preserve"> </w:t>
      </w:r>
      <w:r>
        <w:t xml:space="preserve">(capítulo del mismo libro del FMI). Son trabajos distintos. Hay que confirmar en cuál están el resultado de</w:t>
      </w:r>
      <w:r>
        <w:t xml:space="preserve"> </w:t>
      </w:r>
      <w:r>
        <w:t xml:space="preserve">“más de la mitad de la variabilidad de las entradas de capital”</w:t>
      </w:r>
      <w:r>
        <w:t xml:space="preserve"> </w:t>
      </w:r>
      <w:r>
        <w:t xml:space="preserve">y la asimetría argentina.]</w:t>
      </w:r>
    </w:p>
    <w:p>
      <w:pPr>
        <w:pStyle w:val="Compact"/>
        <w:numPr>
          <w:ilvl w:val="0"/>
          <w:numId w:val="1002"/>
        </w:numPr>
      </w:pPr>
      <w:r>
        <w:t xml:space="preserve">Ando, S., Mishra, P., Patel, N., Peralta-Alva, A., y Presbitero, A. F. (2025). Fiscal consolidation and public debt.</w:t>
      </w:r>
      <w:r>
        <w:t xml:space="preserve"> </w:t>
      </w:r>
      <w:r>
        <w:rPr>
          <w:i/>
          <w:iCs/>
        </w:rPr>
        <w:t xml:space="preserve">Journal of Economic Dynamics and Control</w:t>
      </w:r>
      <w:r>
        <w:t xml:space="preserve">, 170. [VERIFICAR número de artículo.]</w:t>
      </w:r>
    </w:p>
    <w:p>
      <w:pPr>
        <w:pStyle w:val="Compact"/>
        <w:numPr>
          <w:ilvl w:val="0"/>
          <w:numId w:val="1002"/>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02"/>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02"/>
        </w:numPr>
      </w:pPr>
      <w:r>
        <w:t xml:space="preserve">Blanchard, O. (2019). Public debt and low interest rates.</w:t>
      </w:r>
      <w:r>
        <w:t xml:space="preserve"> </w:t>
      </w:r>
      <w:r>
        <w:rPr>
          <w:i/>
          <w:iCs/>
        </w:rPr>
        <w:t xml:space="preserve">American Economic Review</w:t>
      </w:r>
      <w:r>
        <w:t xml:space="preserve">, 109(4), 1197-1229.</w:t>
      </w:r>
    </w:p>
    <w:p>
      <w:pPr>
        <w:pStyle w:val="Compact"/>
        <w:numPr>
          <w:ilvl w:val="0"/>
          <w:numId w:val="1002"/>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 30(62), 1-18.</w:t>
      </w:r>
    </w:p>
    <w:p>
      <w:pPr>
        <w:pStyle w:val="Compact"/>
        <w:numPr>
          <w:ilvl w:val="0"/>
          <w:numId w:val="1002"/>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 [VERIFICAR autores y que sostenga la absorción de la fatiga fiscal en los marcos europeos.]</w:t>
      </w:r>
    </w:p>
    <w:p>
      <w:pPr>
        <w:pStyle w:val="Compact"/>
        <w:numPr>
          <w:ilvl w:val="0"/>
          <w:numId w:val="1002"/>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w:t>
      </w:r>
    </w:p>
    <w:p>
      <w:pPr>
        <w:pStyle w:val="Compact"/>
        <w:numPr>
          <w:ilvl w:val="0"/>
          <w:numId w:val="1002"/>
        </w:numPr>
      </w:pPr>
      <w:r>
        <w:t xml:space="preserve">Cantamutto, F. J., y Féliz, M. (2021). Argentina entre la sostenibilidad de la deuda y la vida.</w:t>
      </w:r>
      <w:r>
        <w:t xml:space="preserve"> </w:t>
      </w:r>
      <w:r>
        <w:rPr>
          <w:i/>
          <w:iCs/>
        </w:rPr>
        <w:t xml:space="preserve">Revista Nuestramérica</w:t>
      </w:r>
      <w:r>
        <w:t xml:space="preserve">, 9(17), e6167845.</w:t>
      </w:r>
    </w:p>
    <w:p>
      <w:pPr>
        <w:pStyle w:val="Compact"/>
        <w:numPr>
          <w:ilvl w:val="0"/>
          <w:numId w:val="1002"/>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02"/>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WP/06/67).</w:t>
      </w:r>
    </w:p>
    <w:p>
      <w:pPr>
        <w:pStyle w:val="Compact"/>
        <w:numPr>
          <w:ilvl w:val="0"/>
          <w:numId w:val="1002"/>
        </w:numPr>
      </w:pPr>
      <w:r>
        <w:t xml:space="preserve">Cetrángolo, O., Damill, M., Frenkel, R., y Jiménez, J. P. (1997). [VERIFICAR: en</w:t>
      </w:r>
      <w:r>
        <w:t xml:space="preserve"> </w:t>
      </w:r>
      <w:r>
        <w:rPr>
          <w:rStyle w:val="VerbatimChar"/>
        </w:rPr>
        <w:t xml:space="preserve">referencias.bib</w:t>
      </w:r>
      <w:r>
        <w:t xml:space="preserve"> </w:t>
      </w:r>
      <w:r>
        <w:t xml:space="preserve">figura</w:t>
      </w:r>
      <w:r>
        <w:t xml:space="preserve"> </w:t>
      </w:r>
      <w:r>
        <w:rPr>
          <w:i/>
          <w:iCs/>
        </w:rPr>
        <w:t xml:space="preserve">Sector público argentino: Ahorro, inversión y financiamiento (1975-1996)</w:t>
      </w:r>
      <w:r>
        <w:t xml:space="preserve"> </w:t>
      </w:r>
      <w:r>
        <w:t xml:space="preserve">(CEPAL, Oficina en Buenos Aires), y Santiago cita</w:t>
      </w:r>
      <w:r>
        <w:t xml:space="preserve"> </w:t>
      </w:r>
      <w:r>
        <w:rPr>
          <w:i/>
          <w:iCs/>
        </w:rPr>
        <w:t xml:space="preserve">La sostenibilidad de la política fiscal en América Latina: El caso argentino</w:t>
      </w:r>
      <w:r>
        <w:t xml:space="preserve"> </w:t>
      </w:r>
      <w:r>
        <w:t xml:space="preserve">(CEDES). Confirmar cuál es el documento descripto.]</w:t>
      </w:r>
    </w:p>
    <w:p>
      <w:pPr>
        <w:pStyle w:val="Compact"/>
        <w:numPr>
          <w:ilvl w:val="0"/>
          <w:numId w:val="1002"/>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02"/>
        </w:numPr>
      </w:pPr>
      <w:r>
        <w:t xml:space="preserve">Damill, M., Frenkel, R., y Rapetti, M. (2015). Macroeconomic policy in Argentina during 2002-2013.</w:t>
      </w:r>
      <w:r>
        <w:t xml:space="preserve"> </w:t>
      </w:r>
      <w:r>
        <w:rPr>
          <w:i/>
          <w:iCs/>
        </w:rPr>
        <w:t xml:space="preserve">Comparative Economic Studies</w:t>
      </w:r>
      <w:r>
        <w:t xml:space="preserve">, 57(3), 369-400.</w:t>
      </w:r>
    </w:p>
    <w:p>
      <w:pPr>
        <w:pStyle w:val="Compact"/>
        <w:numPr>
          <w:ilvl w:val="0"/>
          <w:numId w:val="1002"/>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02"/>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02"/>
        </w:numPr>
      </w:pPr>
      <w:r>
        <w:t xml:space="preserve">Everaert, G., y Jansen, S. (2018). On the estimation of panel fiscal reaction functions: Heterogeneity or fiscal fatigue?</w:t>
      </w:r>
      <w:r>
        <w:t xml:space="preserve"> </w:t>
      </w:r>
      <w:r>
        <w:rPr>
          <w:i/>
          <w:iCs/>
        </w:rPr>
        <w:t xml:space="preserve">Economic Modelling</w:t>
      </w:r>
      <w:r>
        <w:t xml:space="preserve">, 70, 87-96.</w:t>
      </w:r>
    </w:p>
    <w:p>
      <w:pPr>
        <w:pStyle w:val="Compact"/>
        <w:numPr>
          <w:ilvl w:val="0"/>
          <w:numId w:val="1002"/>
        </w:numPr>
      </w:pPr>
      <w:r>
        <w:t xml:space="preserve">Fondo Monetario Internacional. (2021).</w:t>
      </w:r>
      <w:r>
        <w:t xml:space="preserve"> </w:t>
      </w:r>
      <w:r>
        <w:rPr>
          <w:i/>
          <w:iCs/>
        </w:rPr>
        <w:t xml:space="preserve">Review of the debt sustainability framework for market access countries</w:t>
      </w:r>
      <w:r>
        <w:t xml:space="preserve"> </w:t>
      </w:r>
      <w:r>
        <w:t xml:space="preserve">(IMF Policy Paper). Aprobado por el Directorio el 14 de enero de 2021.</w:t>
      </w:r>
    </w:p>
    <w:p>
      <w:pPr>
        <w:pStyle w:val="Compact"/>
        <w:numPr>
          <w:ilvl w:val="0"/>
          <w:numId w:val="1002"/>
        </w:numPr>
      </w:pPr>
      <w:r>
        <w:t xml:space="preserve">Fondo Monetario Internacional. (2024).</w:t>
      </w:r>
      <w:r>
        <w:t xml:space="preserve"> </w:t>
      </w:r>
      <w:r>
        <w:rPr>
          <w:i/>
          <w:iCs/>
        </w:rPr>
        <w:t xml:space="preserve">Argentina: Eighth review under the extended arrangement under the Extended Fund Facility</w:t>
      </w:r>
      <w:r>
        <w:t xml:space="preserve"> </w:t>
      </w:r>
      <w:r>
        <w:t xml:space="preserve">(IMF Country Report). [VERIFICAR número: Santiago cita 24/167;</w:t>
      </w:r>
      <w:r>
        <w:t xml:space="preserve"> </w:t>
      </w:r>
      <w:r>
        <w:rPr>
          <w:rStyle w:val="VerbatimChar"/>
        </w:rPr>
        <w:t xml:space="preserve">referencias.bib</w:t>
      </w:r>
      <w:r>
        <w:t xml:space="preserve"> </w:t>
      </w:r>
      <w:r>
        <w:t xml:space="preserve">dice</w:t>
      </w:r>
      <w:r>
        <w:t xml:space="preserve"> </w:t>
      </w:r>
      <w:r>
        <w:t xml:space="preserve">“Eighth and Ninth Reviews”</w:t>
      </w:r>
      <w:r>
        <w:t xml:space="preserve">.]</w:t>
      </w:r>
    </w:p>
    <w:p>
      <w:pPr>
        <w:pStyle w:val="Compact"/>
        <w:numPr>
          <w:ilvl w:val="0"/>
          <w:numId w:val="1002"/>
        </w:numPr>
      </w:pPr>
      <w:r>
        <w:t xml:space="preserve">Fondo Monetario Internacional. (2025).</w:t>
      </w:r>
      <w:r>
        <w:t xml:space="preserve"> </w:t>
      </w:r>
      <w:r>
        <w:rPr>
          <w:i/>
          <w:iCs/>
        </w:rPr>
        <w:t xml:space="preserve">Argentina: Request for an extended arrangement under the Extended Fund Facility</w:t>
      </w:r>
      <w:r>
        <w:t xml:space="preserve"> </w:t>
      </w:r>
      <w:r>
        <w:t xml:space="preserve">(IMF Country Report No. 25/95). Anexo II: Application of the Sovereign Risk and Debt Sustainability Framework.</w:t>
      </w:r>
    </w:p>
    <w:p>
      <w:pPr>
        <w:pStyle w:val="Compact"/>
        <w:numPr>
          <w:ilvl w:val="0"/>
          <w:numId w:val="1002"/>
        </w:numPr>
      </w:pPr>
      <w:r>
        <w:t xml:space="preserve">Fondo Monetario Internacional y Mecanismo Europeo de Estabilidad.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02"/>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 123(566), F4-F30.</w:t>
      </w:r>
    </w:p>
    <w:p>
      <w:pPr>
        <w:pStyle w:val="Compact"/>
        <w:numPr>
          <w:ilvl w:val="0"/>
          <w:numId w:val="1002"/>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w:t>
      </w:r>
    </w:p>
    <w:p>
      <w:pPr>
        <w:pStyle w:val="Compact"/>
        <w:numPr>
          <w:ilvl w:val="0"/>
          <w:numId w:val="1002"/>
        </w:numPr>
      </w:pPr>
      <w:r>
        <w:t xml:space="preserve">Hébert, B., y Schreger, J. (2017). The costs of sovereign default: Evidence from Argentina.</w:t>
      </w:r>
      <w:r>
        <w:t xml:space="preserve"> </w:t>
      </w:r>
      <w:r>
        <w:rPr>
          <w:i/>
          <w:iCs/>
        </w:rPr>
        <w:t xml:space="preserve">American Economic Review</w:t>
      </w:r>
      <w:r>
        <w:t xml:space="preserve">, 107(10), 3119-3145.</w:t>
      </w:r>
    </w:p>
    <w:p>
      <w:pPr>
        <w:pStyle w:val="Compact"/>
        <w:numPr>
          <w:ilvl w:val="0"/>
          <w:numId w:val="1002"/>
        </w:numPr>
      </w:pPr>
      <w:r>
        <w:t xml:space="preserve">Klemm, A., Meier, A., y Sosa, S. (2014). Spillovers to Latin America from the normalization of U.S. monetary policy. En D. Iakova, L. M. Cubeddu, G. Adler y S. Sosa (Eds.),</w:t>
      </w:r>
      <w:r>
        <w:t xml:space="preserve"> </w:t>
      </w:r>
      <w:r>
        <w:rPr>
          <w:i/>
          <w:iCs/>
        </w:rPr>
        <w:t xml:space="preserve">Latin America: New challenges to growth and stability</w:t>
      </w:r>
      <w:r>
        <w:t xml:space="preserve">. Fondo Monetario Internacional.</w:t>
      </w:r>
    </w:p>
    <w:p>
      <w:pPr>
        <w:pStyle w:val="Compact"/>
        <w:numPr>
          <w:ilvl w:val="0"/>
          <w:numId w:val="1002"/>
        </w:numPr>
      </w:pPr>
      <w:r>
        <w:t xml:space="preserve">Levy Yeyati, E., y Sturzenegger, F. (2023). A balance-sheet approach to fiscal sustainability.</w:t>
      </w:r>
      <w:r>
        <w:t xml:space="preserve"> </w:t>
      </w:r>
      <w:r>
        <w:rPr>
          <w:i/>
          <w:iCs/>
        </w:rPr>
        <w:t xml:space="preserve">Fiscal Studies</w:t>
      </w:r>
      <w:r>
        <w:t xml:space="preserve">, 44(1), 61-84.</w:t>
      </w:r>
    </w:p>
    <w:p>
      <w:pPr>
        <w:pStyle w:val="Compact"/>
        <w:numPr>
          <w:ilvl w:val="0"/>
          <w:numId w:val="1002"/>
        </w:numPr>
      </w:pPr>
      <w:r>
        <w:t xml:space="preserve">Ley 27.541 de Solidaridad Social y Reactivación Productiva en el Marco de la Emergencia Pública (2019). Boletín Oficial de la República Argentina, 23 de diciembre de 2019.</w:t>
      </w:r>
    </w:p>
    <w:p>
      <w:pPr>
        <w:pStyle w:val="Compact"/>
        <w:numPr>
          <w:ilvl w:val="0"/>
          <w:numId w:val="1002"/>
        </w:numPr>
      </w:pPr>
      <w:r>
        <w:t xml:space="preserve">Ley 27.612 de Fortalecimiento de la Sostenibilidad de la Deuda Pública (2021). Boletín Oficial de la República Argentina, 3 de marzo de 2021.</w:t>
      </w:r>
    </w:p>
    <w:p>
      <w:pPr>
        <w:pStyle w:val="Compact"/>
        <w:numPr>
          <w:ilvl w:val="0"/>
          <w:numId w:val="1002"/>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459). Comisión Europea.</w:t>
      </w:r>
    </w:p>
    <w:p>
      <w:pPr>
        <w:pStyle w:val="Compact"/>
        <w:numPr>
          <w:ilvl w:val="0"/>
          <w:numId w:val="1002"/>
        </w:numPr>
      </w:pPr>
      <w:r>
        <w:t xml:space="preserve">Mendoza, E. G., y Oviedo, P. M. (2007). Public debt, fiscal solvency and macroeconomic uncertainty in Latin America.</w:t>
      </w:r>
      <w:r>
        <w:t xml:space="preserve"> </w:t>
      </w:r>
      <w:r>
        <w:rPr>
          <w:i/>
          <w:iCs/>
        </w:rPr>
        <w:t xml:space="preserve">Economía</w:t>
      </w:r>
      <w:r>
        <w:t xml:space="preserve">. [COMPLETAR volumen y páginas.]</w:t>
      </w:r>
    </w:p>
    <w:p>
      <w:pPr>
        <w:pStyle w:val="Compact"/>
        <w:numPr>
          <w:ilvl w:val="0"/>
          <w:numId w:val="1002"/>
        </w:numPr>
      </w:pPr>
      <w:r>
        <w:t xml:space="preserve">Neumeyer, P. A., y Perri, F. (2005). Business cycles in emerging economies: The role of interest rates.</w:t>
      </w:r>
      <w:r>
        <w:t xml:space="preserve"> </w:t>
      </w:r>
      <w:r>
        <w:rPr>
          <w:i/>
          <w:iCs/>
        </w:rPr>
        <w:t xml:space="preserve">Journal of Monetary Economics</w:t>
      </w:r>
      <w:r>
        <w:t xml:space="preserve">, 52(2), 345-380.</w:t>
      </w:r>
    </w:p>
    <w:p>
      <w:pPr>
        <w:pStyle w:val="Compact"/>
        <w:numPr>
          <w:ilvl w:val="0"/>
          <w:numId w:val="1002"/>
        </w:numPr>
      </w:pPr>
      <w:r>
        <w:t xml:space="preserve">Oficina de Presupuesto del Congreso. (2026).</w:t>
      </w:r>
      <w:r>
        <w:t xml:space="preserve"> </w:t>
      </w:r>
      <w:r>
        <w:rPr>
          <w:i/>
          <w:iCs/>
        </w:rPr>
        <w:t xml:space="preserve">Operaciones de deuda pública, julio 2026</w:t>
      </w:r>
      <w:r>
        <w:t xml:space="preserve">.</w:t>
      </w:r>
    </w:p>
    <w:p>
      <w:pPr>
        <w:pStyle w:val="Compact"/>
        <w:numPr>
          <w:ilvl w:val="0"/>
          <w:numId w:val="1002"/>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w:t>
      </w:r>
    </w:p>
    <w:p>
      <w:pPr>
        <w:pStyle w:val="Compact"/>
        <w:numPr>
          <w:ilvl w:val="0"/>
          <w:numId w:val="1002"/>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02"/>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02"/>
        </w:numPr>
      </w:pPr>
      <w:r>
        <w:t xml:space="preserve">Reinhart, C. M., Rogoff, K. S., y Savastano, M. A. (2003). Debt intolerance.</w:t>
      </w:r>
      <w:r>
        <w:t xml:space="preserve"> </w:t>
      </w:r>
      <w:r>
        <w:rPr>
          <w:i/>
          <w:iCs/>
        </w:rPr>
        <w:t xml:space="preserve">Brookings Papers on Economic Activity</w:t>
      </w:r>
      <w:r>
        <w:t xml:space="preserve">, 2003(1), 1-74.</w:t>
      </w:r>
    </w:p>
    <w:p>
      <w:pPr>
        <w:pStyle w:val="Compact"/>
        <w:numPr>
          <w:ilvl w:val="0"/>
          <w:numId w:val="1002"/>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02"/>
        </w:numPr>
      </w:pPr>
      <w:r>
        <w:t xml:space="preserve">Rigobon, R. (2003). Identification through heteroskedasticity.</w:t>
      </w:r>
      <w:r>
        <w:t xml:space="preserve"> </w:t>
      </w:r>
      <w:r>
        <w:rPr>
          <w:i/>
          <w:iCs/>
        </w:rPr>
        <w:t xml:space="preserve">The Review of Economics and Statistics</w:t>
      </w:r>
      <w:r>
        <w:t xml:space="preserve">, 85(4), 777-792.</w:t>
      </w:r>
    </w:p>
    <w:p>
      <w:pPr>
        <w:pStyle w:val="Compact"/>
        <w:numPr>
          <w:ilvl w:val="0"/>
          <w:numId w:val="1002"/>
        </w:numPr>
      </w:pPr>
      <w:r>
        <w:t xml:space="preserve">Rigobon, R., y Sack, B. (2004). The impact of monetary policy on asset prices.</w:t>
      </w:r>
      <w:r>
        <w:t xml:space="preserve"> </w:t>
      </w:r>
      <w:r>
        <w:rPr>
          <w:i/>
          <w:iCs/>
        </w:rPr>
        <w:t xml:space="preserve">Journal of Monetary Economics</w:t>
      </w:r>
      <w:r>
        <w:t xml:space="preserve">, 51(8), 1553-1575.</w:t>
      </w:r>
    </w:p>
    <w:p>
      <w:pPr>
        <w:pStyle w:val="Compact"/>
        <w:numPr>
          <w:ilvl w:val="0"/>
          <w:numId w:val="1002"/>
        </w:numPr>
      </w:pPr>
      <w:r>
        <w:t xml:space="preserve">Rodríguez, A. (2023). Financiamiento y sostenibilidad de la deuda pública: El caso de la economía argentina (2001-2022).</w:t>
      </w:r>
      <w:r>
        <w:t xml:space="preserve"> </w:t>
      </w:r>
      <w:r>
        <w:rPr>
          <w:i/>
          <w:iCs/>
        </w:rPr>
        <w:t xml:space="preserve">Ciencias Económicas</w:t>
      </w:r>
      <w:r>
        <w:t xml:space="preserve">, 2(20).</w:t>
      </w:r>
    </w:p>
    <w:p>
      <w:pPr>
        <w:pStyle w:val="Compact"/>
        <w:numPr>
          <w:ilvl w:val="0"/>
          <w:numId w:val="1002"/>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02"/>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02"/>
        </w:numPr>
      </w:pPr>
      <w:r>
        <w:t xml:space="preserve">Uribe, M., y Yue, V. Z. (2006). Country spreads and emerging countries: Who drives whom?</w:t>
      </w:r>
      <w:r>
        <w:t xml:space="preserve"> </w:t>
      </w:r>
      <w:r>
        <w:rPr>
          <w:i/>
          <w:iCs/>
        </w:rPr>
        <w:t xml:space="preserve">Journal of International Economics</w:t>
      </w:r>
      <w:r>
        <w:t xml:space="preserve">, 69(1), 6-36.</w:t>
      </w:r>
    </w:p>
    <w:p>
      <w:pPr>
        <w:pStyle w:val="Compact"/>
        <w:numPr>
          <w:ilvl w:val="0"/>
          <w:numId w:val="1002"/>
        </w:numPr>
      </w:pPr>
      <w:r>
        <w:t xml:space="preserve">Wijayanti, R., y Rachmanira, S. (2020). [VERIFICAR: en</w:t>
      </w:r>
      <w:r>
        <w:t xml:space="preserve"> </w:t>
      </w:r>
      <w:r>
        <w:rPr>
          <w:rStyle w:val="VerbatimChar"/>
        </w:rPr>
        <w:t xml:space="preserve">referencias.bib</w:t>
      </w:r>
      <w:r>
        <w:t xml:space="preserve"> </w:t>
      </w:r>
      <w:r>
        <w:t xml:space="preserve">figura como ponencia (</w:t>
      </w:r>
      <w:r>
        <w:rPr>
          <w:i/>
          <w:iCs/>
        </w:rPr>
        <w:t xml:space="preserve">An early warning system for sovereign debt crisis in developing countries: A signal approach</w:t>
      </w:r>
      <w:r>
        <w:t xml:space="preserve">, International Conference on Business, Economics, Social Sciences, and Humanities), y Santiago la cita como artículo en</w:t>
      </w:r>
      <w:r>
        <w:t xml:space="preserve"> </w:t>
      </w:r>
      <w:r>
        <w:rPr>
          <w:i/>
          <w:iCs/>
        </w:rPr>
        <w:t xml:space="preserve">Journal of Central Banking Theory and Practice</w:t>
      </w:r>
      <w:r>
        <w:t xml:space="preserve">, 9 (número especial), 103-124. Confirmar cuál es.]</w:t>
      </w:r>
    </w:p>
    <w:p>
      <w:r>
        <w:pict>
          <v:rect style="width:0;height:1.5pt" o:hralign="center" o:hrstd="t" o:hr="t"/>
        </w:pict>
      </w:r>
    </w:p>
    <w:bookmarkEnd w:id="33"/>
    <w:bookmarkStart w:id="38" w:name="X94fa00cbba88d80644c76c995e4abd03512405e"/>
    <w:p>
      <w:pPr>
        <w:pStyle w:val="Heading1"/>
      </w:pPr>
      <w:r>
        <w:t xml:space="preserve">Notas para el grupo (no forman parte del texto de la tesis)</w:t>
      </w:r>
    </w:p>
    <w:bookmarkStart w:id="34" w:name="X28ba9501ac41b1fea27c299c39d93c8cc47c96f"/>
    <w:p>
      <w:pPr>
        <w:pStyle w:val="Heading2"/>
      </w:pPr>
      <w:r>
        <w:t xml:space="preserve">Nota 1. Criterio de H1b (decidido el 10/10/2026)</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al final del horizonte es menor que el necesario para estabilizar la deuda. Es la primera de las tres métricas del gráfico de abanico del FMI (FMI, 2021, párr. 53), y la no estabilización es uno de los tres conceptos centrales del marco (FMI, 2021, recuadro 2).</w:t>
      </w:r>
    </w:p>
    <w:p>
      <w:pPr>
        <w:pStyle w:val="BodyText"/>
      </w:pPr>
      <w:r>
        <w:rPr>
          <w:b/>
          <w:bCs/>
        </w:rPr>
        <w:t xml:space="preserve">El umbral: el propio resultado del FMI.</w:t>
      </w:r>
      <w:r>
        <w:t xml:space="preserve"> </w:t>
      </w:r>
      <w:r>
        <w:t xml:space="preserve">El FMI estimó para Argentina una probabilidad de estabilización de alrededor de 97% a mediano plazo y en su abanico a 2034 (FMI, 2025, anexo II, párrs. 6 y 8). La probabilidad de no estabilización es, entonces, de alrededor de 3%. H1b sostiene que nuestra estimación supera ese valor. El umbral no es una elección nuestra: es el diagnóstico oficial vigente. La hipótesis mide si las dos diferencias de esta tesis respecto del FMI (perímetro consolidado y shocks identificados con su dinámica) cambian ese diagnóstico, que es exactamente lo que plantea la vacancia.</w:t>
      </w:r>
    </w:p>
    <w:p>
      <w:pPr>
        <w:pStyle w:val="BodyText"/>
      </w:pPr>
      <w:r>
        <w:rPr>
          <w:b/>
          <w:bCs/>
        </w:rPr>
        <w:t xml:space="preserve">Cómo se contrasta.</w:t>
      </w:r>
      <w:r>
        <w:t xml:space="preserve"> </w:t>
      </w:r>
      <w:r>
        <w:t xml:space="preserve">La probabilidad estimada tiene incertidumbre, que viene del muestreo de las trayectorias y de los parámetros estimados del SVARX. Se calcula su intervalo de confianza con</w:t>
      </w:r>
      <w:r>
        <w:t xml:space="preserve"> </w:t>
      </w:r>
      <w:r>
        <w:rPr>
          <w:i/>
          <w:iCs/>
        </w:rPr>
        <w:t xml:space="preserve">bootstrap</w:t>
      </w:r>
      <w:r>
        <w:t xml:space="preserve"> </w:t>
      </w:r>
      <w:r>
        <w:t xml:space="preserve">de los parámetros. H1b se considera respaldada si el límite inferior del intervalo de 90% supera el 3%, lo que equivale a un contraste unilateral al 5%, la convención estándar de significatividad.</w:t>
      </w:r>
    </w:p>
    <w:p>
      <w:pPr>
        <w:pStyle w:val="BodyText"/>
      </w:pPr>
      <w:r>
        <w:rPr>
          <w:b/>
          <w:bCs/>
        </w:rPr>
        <w:t xml:space="preserve">Condiciones de comparabilidad.</w:t>
      </w:r>
      <w:r>
        <w:t xml:space="preserve"> </w:t>
      </w:r>
      <w:r>
        <w:t xml:space="preserve">El escenario base de la simulación reproduce los senderos del FMI: crecimiento, resultado primario y tasas, tomados de FMI (2025). Se reporta también el resultado con la deuda federal bruta, el perímetro del FMI, para separar cuánto de la diferencia viene del perímetro y cuánto de los shocks.</w:t>
      </w:r>
    </w:p>
    <w:p>
      <w:pPr>
        <w:pStyle w:val="BodyText"/>
      </w:pPr>
      <w:r>
        <w:rPr>
          <w:b/>
          <w:bCs/>
        </w:rPr>
        <w:t xml:space="preserve">Por qué no el 50%.</w:t>
      </w:r>
      <w:r>
        <w:t xml:space="preserve"> </w:t>
      </w:r>
      <w:r>
        <w:t xml:space="preserve">El corte del 50% (equivalente a que la trayectoria mediana no se estabilice) era defendible, pero con un 97% de estabilización estimado por el FMI el resultado quedaba prácticamente determinado de antemano y no informaba nada sobre la vacancia. Se lo conserva solo como dato descriptivo.</w:t>
      </w:r>
    </w:p>
    <w:bookmarkEnd w:id="34"/>
    <w:bookmarkStart w:id="35" w:name="X6e923efd645ab780f33626d97e87b3009ff5b88"/>
    <w:p>
      <w:pPr>
        <w:pStyle w:val="Heading2"/>
      </w:pPr>
      <w:r>
        <w:t xml:space="preserve">Nota 2. Tamaño del shock de la FED (pendiente)</w:t>
      </w:r>
    </w:p>
    <w:p>
      <w:pPr>
        <w:pStyle w:val="FirstParagraph"/>
      </w:pPr>
      <w:r>
        <w:t xml:space="preserve">Los +100 puntos básicos de la versión anterior no estaban justificados y se sacaron. Hay dos criterios defendibles: un desvío estándar de la variación trimestral de la tasa sombra de la FED en 1996-2025, que es la convención de la literatura de VAR, o un episodio histórico como el ciclo de subas de 2022-2023. Se decide con la serie construida.</w:t>
      </w:r>
    </w:p>
    <w:bookmarkEnd w:id="35"/>
    <w:bookmarkStart w:id="36" w:name="X73c46a59ea692b6fb8fe2ed0b01725fbf578251"/>
    <w:p>
      <w:pPr>
        <w:pStyle w:val="Heading2"/>
      </w:pPr>
      <w:r>
        <w:t xml:space="preserve">Nota 3. Cambios respecto del texto de Santiago</w:t>
      </w:r>
    </w:p>
    <w:p>
      <w:pPr>
        <w:pStyle w:val="FirstParagraph"/>
      </w:pPr>
      <w:r>
        <w:rPr>
          <w:b/>
          <w:bCs/>
        </w:rPr>
        <w:t xml:space="preserve">Introducción:</w:t>
      </w:r>
    </w:p>
    <w:p>
      <w:pPr>
        <w:pStyle w:val="Compact"/>
        <w:numPr>
          <w:ilvl w:val="0"/>
          <w:numId w:val="1003"/>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03"/>
        </w:numPr>
      </w:pPr>
      <w:r>
        <w:rPr>
          <w:b/>
          <w:bCs/>
        </w:rPr>
        <w:t xml:space="preserve">Citas corregidas:</w:t>
      </w:r>
    </w:p>
    <w:p>
      <w:pPr>
        <w:pStyle w:val="Compact"/>
        <w:numPr>
          <w:ilvl w:val="1"/>
          <w:numId w:val="1004"/>
        </w:numPr>
      </w:pPr>
      <w:r>
        <w:t xml:space="preserve">Reinhart et al. (2003) se usa ahora para la intolerancia a la deuda.</w:t>
      </w:r>
    </w:p>
    <w:p>
      <w:pPr>
        <w:pStyle w:val="Compact"/>
        <w:numPr>
          <w:ilvl w:val="1"/>
          <w:numId w:val="1004"/>
        </w:numPr>
      </w:pPr>
      <w:r>
        <w:t xml:space="preserve">Mendoza y Oviedo (2007), para la incertidumbre y el límite de deuda.</w:t>
      </w:r>
    </w:p>
    <w:p>
      <w:pPr>
        <w:pStyle w:val="Compact"/>
        <w:numPr>
          <w:ilvl w:val="1"/>
          <w:numId w:val="1004"/>
        </w:numPr>
      </w:pPr>
      <w:r>
        <w:t xml:space="preserve">La fatiga fiscal pasa a Ghosh et al. (2013).</w:t>
      </w:r>
    </w:p>
    <w:p>
      <w:pPr>
        <w:pStyle w:val="Compact"/>
        <w:numPr>
          <w:ilvl w:val="1"/>
          <w:numId w:val="1004"/>
        </w:numPr>
      </w:pPr>
      <w:r>
        <w:t xml:space="preserve">Ando et al. queda con año 2025.</w:t>
      </w:r>
    </w:p>
    <w:p>
      <w:pPr>
        <w:pStyle w:val="Compact"/>
        <w:numPr>
          <w:ilvl w:val="1"/>
          <w:numId w:val="1004"/>
        </w:numPr>
      </w:pPr>
      <w:r>
        <w:t xml:space="preserve">Se sacan Garud y la tesis propia.</w:t>
      </w:r>
    </w:p>
    <w:p>
      <w:pPr>
        <w:pStyle w:val="Compact"/>
        <w:numPr>
          <w:ilvl w:val="0"/>
          <w:numId w:val="1003"/>
        </w:numPr>
      </w:pPr>
      <w:r>
        <w:rPr>
          <w:b/>
          <w:bCs/>
        </w:rPr>
        <w:t xml:space="preserve">Canal cuasifiscal del shock de la FED:</w:t>
      </w:r>
      <w:r>
        <w:t xml:space="preserve"> </w:t>
      </w:r>
      <w:r>
        <w:t xml:space="preserve">se redacta en pasado.</w:t>
      </w:r>
    </w:p>
    <w:p>
      <w:pPr>
        <w:pStyle w:val="Compact"/>
        <w:numPr>
          <w:ilvl w:val="0"/>
          <w:numId w:val="1003"/>
        </w:numPr>
      </w:pPr>
      <w:r>
        <w:rPr>
          <w:b/>
          <w:bCs/>
        </w:rPr>
        <w:t xml:space="preserve">Pregunta e hipótesis:</w:t>
      </w:r>
      <w:r>
        <w:t xml:space="preserve"> </w:t>
      </w:r>
      <w:r>
        <w:t xml:space="preserve">se acorta la pregunta, se agregan seis objetivos específicos y H1a pasa a ser contrastable.</w:t>
      </w:r>
    </w:p>
    <w:p>
      <w:pPr>
        <w:pStyle w:val="Compact"/>
        <w:numPr>
          <w:ilvl w:val="0"/>
          <w:numId w:val="1003"/>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05"/>
        </w:numPr>
      </w:pPr>
      <w:r>
        <w:rPr>
          <w:b/>
          <w:bCs/>
        </w:rPr>
        <w:t xml:space="preserve">Fusión con el texto LaTeX:</w:t>
      </w:r>
      <w:r>
        <w:t xml:space="preserve"> </w:t>
      </w:r>
      <w:r>
        <w:t xml:space="preserve">se fusionaron los ocho ejes del LaTeX con la versión de Santiago, incluido su párrafo sobre Everaert y Jansen.</w:t>
      </w:r>
    </w:p>
    <w:p>
      <w:pPr>
        <w:pStyle w:val="Compact"/>
        <w:numPr>
          <w:ilvl w:val="0"/>
          <w:numId w:val="1005"/>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05"/>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06"/>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2025).</w:t>
      </w:r>
    </w:p>
    <w:p>
      <w:pPr>
        <w:pStyle w:val="Compact"/>
        <w:numPr>
          <w:ilvl w:val="0"/>
          <w:numId w:val="1006"/>
        </w:numPr>
      </w:pPr>
      <w:r>
        <w:rPr>
          <w:b/>
          <w:bCs/>
        </w:rPr>
        <w:t xml:space="preserve">Párrafo cortado:</w:t>
      </w:r>
      <w:r>
        <w:t xml:space="preserve"> </w:t>
      </w:r>
      <w:r>
        <w:t xml:space="preserve">el párrafo de Santiago sobre la subordinación del BCRA, que estaba cortado, se completó y quedó marcado para verificar.</w:t>
      </w:r>
    </w:p>
    <w:bookmarkEnd w:id="36"/>
    <w:bookmarkStart w:id="37" w:name="nota-4.-pendientes-de-verificación"/>
    <w:p>
      <w:pPr>
        <w:pStyle w:val="Heading2"/>
      </w:pPr>
      <w:r>
        <w:t xml:space="preserve">Nota 4. Pendientes de verificación</w:t>
      </w:r>
    </w:p>
    <w:p>
      <w:pPr>
        <w:pStyle w:val="Compact"/>
        <w:numPr>
          <w:ilvl w:val="0"/>
          <w:numId w:val="1007"/>
        </w:numPr>
      </w:pPr>
      <w:r>
        <w:t xml:space="preserve">Si hubo emisión bajo ley de Nueva York en 2026.</w:t>
      </w:r>
    </w:p>
    <w:p>
      <w:pPr>
        <w:pStyle w:val="Compact"/>
        <w:numPr>
          <w:ilvl w:val="0"/>
          <w:numId w:val="1007"/>
        </w:numPr>
      </w:pPr>
      <w:r>
        <w:t xml:space="preserve">La fuente oficial de la colocación de diciembre de 2025.</w:t>
      </w:r>
    </w:p>
    <w:p>
      <w:pPr>
        <w:pStyle w:val="Compact"/>
        <w:numPr>
          <w:ilvl w:val="0"/>
          <w:numId w:val="1007"/>
        </w:numPr>
      </w:pPr>
      <w:r>
        <w:t xml:space="preserve">El nivel de los pasivos del BCRA a fines de 2025 en nuestra serie.</w:t>
      </w:r>
    </w:p>
    <w:p>
      <w:pPr>
        <w:pStyle w:val="Compact"/>
        <w:numPr>
          <w:ilvl w:val="0"/>
          <w:numId w:val="1007"/>
        </w:numPr>
      </w:pPr>
      <w:r>
        <w:t xml:space="preserve">Las cuatro referencias con dos versiones distintas: Adler y Sosa, Adler y Magud, Cetrángolo et al., y Wijayanti y Rachmanira.</w:t>
      </w:r>
    </w:p>
    <w:p>
      <w:pPr>
        <w:pStyle w:val="Compact"/>
        <w:numPr>
          <w:ilvl w:val="0"/>
          <w:numId w:val="1007"/>
        </w:numPr>
      </w:pPr>
      <w:r>
        <w:t xml:space="preserve">Bouabdallah et al. (2017).</w:t>
      </w:r>
    </w:p>
    <w:p>
      <w:pPr>
        <w:pStyle w:val="Compact"/>
        <w:numPr>
          <w:ilvl w:val="0"/>
          <w:numId w:val="1007"/>
        </w:numPr>
      </w:pPr>
      <w:r>
        <w:t xml:space="preserve">Las cifras de FMI (2024).</w:t>
      </w:r>
    </w:p>
    <w:p>
      <w:pPr>
        <w:pStyle w:val="Compact"/>
        <w:numPr>
          <w:ilvl w:val="0"/>
          <w:numId w:val="1007"/>
        </w:numPr>
      </w:pPr>
      <w:r>
        <w:t xml:space="preserve">Porto (2020) y Damill et al. (2015) para el párrafo del BCRA.</w:t>
      </w:r>
    </w:p>
    <w:p>
      <w:pPr>
        <w:pStyle w:val="Compact"/>
        <w:numPr>
          <w:ilvl w:val="0"/>
          <w:numId w:val="1007"/>
        </w:numPr>
      </w:pPr>
      <w:r>
        <w:t xml:space="preserve">Klemm et al. (2014).</w:t>
      </w:r>
    </w:p>
    <w:p>
      <w:pPr>
        <w:pStyle w:val="Compact"/>
        <w:numPr>
          <w:ilvl w:val="0"/>
          <w:numId w:val="1007"/>
        </w:numPr>
      </w:pPr>
      <w:r>
        <w:t xml:space="preserve">Levy Yeyati y Sturzenegger: confirmar que su VAR no incluye riesgo soberano.</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Interrupción repentina de los flujos de capital.</w:t>
      </w:r>
    </w:p>
  </w:footnote>
  <w:footnote w:id="15">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1">
    <w:p>
      <w:pPr>
        <w:pStyle w:val="FootnoteText"/>
      </w:pPr>
      <w:r>
        <w:rPr>
          <w:rStyle w:val="FootnoteReference"/>
        </w:rPr>
        <w:footnoteRef/>
      </w:r>
      <w:r>
        <w:t xml:space="preserve"> </w:t>
      </w:r>
      <w:r>
        <w:t xml:space="preserve">Acreedores que rechazan una reestructuración y reclaman judicialmente el pago completo.</w:t>
      </w:r>
    </w:p>
  </w:footnote>
  <w:footnote w:id="25">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26">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Introducción y Antecedentes (versión 3, borrador para el grupo)</dc:title>
  <dc:creator/>
  <cp:keywords/>
  <dcterms:created xsi:type="dcterms:W3CDTF">2026-10-11T12:17:19Z</dcterms:created>
  <dcterms:modified xsi:type="dcterms:W3CDTF">2026-10-11T12:17:19Z</dcterms:modified>
</cp:coreProperties>
</file>

<file path=docProps/custom.xml><?xml version="1.0" encoding="utf-8"?>
<Properties xmlns="http://schemas.openxmlformats.org/officeDocument/2006/custom-properties" xmlns:vt="http://schemas.openxmlformats.org/officeDocument/2006/docPropsVTypes"/>
</file>