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plan-de-labor-de-la-tesis"/>
    <w:p>
      <w:pPr>
        <w:pStyle w:val="Heading1"/>
      </w:pPr>
      <w:r>
        <w:t xml:space="preserve">Plan de labor de la tesis</w:t>
      </w:r>
    </w:p>
    <w:p>
      <w:pPr>
        <w:pStyle w:val="FirstParagraph"/>
      </w:pPr>
      <w:r>
        <w:t xml:space="preserve">Documento de trabajo del grupo. Versión 2, del 10 de octubre de 2026.</w:t>
      </w:r>
    </w:p>
    <w:bookmarkStart w:id="9" w:name="para-qué-sirve-este-documento"/>
    <w:p>
      <w:pPr>
        <w:pStyle w:val="Heading2"/>
      </w:pPr>
      <w:r>
        <w:t xml:space="preserve">1. Para qué sirve este documento</w:t>
      </w:r>
    </w:p>
    <w:p>
      <w:pPr>
        <w:pStyle w:val="FirstParagraph"/>
      </w:pPr>
      <w:r>
        <w:t xml:space="preserve">Ordena qué está hecho, qué se decidió y qué falta, paso a paso, para que todos trabajemos sobre</w:t>
      </w:r>
      <w:r>
        <w:t xml:space="preserve"> </w:t>
      </w:r>
      <w:r>
        <w:t xml:space="preserve">la misma base. Cada decisión tiene su justificación. Cada número viene de un archivo del</w:t>
      </w:r>
      <w:r>
        <w:t xml:space="preserve"> </w:t>
      </w:r>
      <w:r>
        <w:t xml:space="preserve">repositorio o de una fuente citada. Lo que todavía no está verificado aparece marcado como</w:t>
      </w:r>
      <w:r>
        <w:t xml:space="preserve"> </w:t>
      </w:r>
      <w:r>
        <w:t xml:space="preserve">pendiente.</w:t>
      </w:r>
    </w:p>
    <w:bookmarkEnd w:id="9"/>
    <w:bookmarkStart w:id="10" w:name="de-dónde-partimos"/>
    <w:p>
      <w:pPr>
        <w:pStyle w:val="Heading2"/>
      </w:pPr>
      <w:r>
        <w:t xml:space="preserve">2. De dónde partimos</w:t>
      </w:r>
    </w:p>
    <w:p>
      <w:pPr>
        <w:pStyle w:val="FirstParagraph"/>
      </w:pPr>
      <w:r>
        <w:rPr>
          <w:b/>
          <w:bCs/>
        </w:rPr>
        <w:t xml:space="preserve">Lo que ya existe en el repositorio:</w:t>
      </w:r>
    </w:p>
    <w:p>
      <w:pPr>
        <w:pStyle w:val="Compact"/>
        <w:numPr>
          <w:ilvl w:val="0"/>
          <w:numId w:val="1001"/>
        </w:numPr>
      </w:pPr>
      <w:r>
        <w:t xml:space="preserve">Una base trimestral 1996-2025 (120 trimestres) con deuda/PIB, resultado primario/PIB, PIB</w:t>
      </w:r>
      <w:r>
        <w:t xml:space="preserve"> </w:t>
      </w:r>
      <w:r>
        <w:t xml:space="preserve">real, tipo de cambio real multilateral (TCRM), EMBI+ y VIX.</w:t>
      </w:r>
    </w:p>
    <w:p>
      <w:pPr>
        <w:pStyle w:val="Compact"/>
        <w:numPr>
          <w:ilvl w:val="0"/>
          <w:numId w:val="1001"/>
        </w:numPr>
      </w:pPr>
      <w:r>
        <w:t xml:space="preserve">Un modelo SVAR restringido estimado sobre esa base. Su descomposición de varianza a 20</w:t>
      </w:r>
      <w:r>
        <w:t xml:space="preserve"> </w:t>
      </w:r>
      <w:r>
        <w:t xml:space="preserve">trimestres atribuye la variabilidad de la deuda/PIB así: 54,2% a la inercia propia de la</w:t>
      </w:r>
      <w:r>
        <w:t xml:space="preserve"> </w:t>
      </w:r>
      <w:r>
        <w:t xml:space="preserve">deuda, 25,8% a los canales cambiario y de riesgo soberano y 20,0% a los canales fiscal y de</w:t>
      </w:r>
      <w:r>
        <w:t xml:space="preserve"> </w:t>
      </w:r>
      <w:r>
        <w:t xml:space="preserve">actividad.</w:t>
      </w:r>
    </w:p>
    <w:p>
      <w:pPr>
        <w:pStyle w:val="Compact"/>
        <w:numPr>
          <w:ilvl w:val="0"/>
          <w:numId w:val="1001"/>
        </w:numPr>
      </w:pPr>
      <w:r>
        <w:t xml:space="preserve">Un VECM que no encuentra reacción del resultado primario ante la deuda (p = 0,996).</w:t>
      </w:r>
    </w:p>
    <w:p>
      <w:pPr>
        <w:pStyle w:val="Compact"/>
        <w:numPr>
          <w:ilvl w:val="0"/>
          <w:numId w:val="1001"/>
        </w:numPr>
      </w:pPr>
      <w:r>
        <w:t xml:space="preserve">Una simulación de Monte Carlo de 1.000 trayectorias para 2026-2035, que ya separa la deuda en</w:t>
      </w:r>
      <w:r>
        <w:t xml:space="preserve"> </w:t>
      </w:r>
      <w:r>
        <w:t xml:space="preserve">pesos de la deuda en dólares.</w:t>
      </w:r>
    </w:p>
    <w:p>
      <w:pPr>
        <w:pStyle w:val="Compact"/>
        <w:numPr>
          <w:ilvl w:val="0"/>
          <w:numId w:val="1001"/>
        </w:numPr>
      </w:pPr>
      <w:r>
        <w:t xml:space="preserve">Una tesis en LaTeX de 81 páginas, que hay que reorganizar según las decisiones de este</w:t>
      </w:r>
      <w:r>
        <w:t xml:space="preserve"> </w:t>
      </w:r>
      <w:r>
        <w:t xml:space="preserve">documento.</w:t>
      </w:r>
    </w:p>
    <w:p>
      <w:pPr>
        <w:pStyle w:val="FirstParagraph"/>
      </w:pPr>
      <w:r>
        <w:rPr>
          <w:b/>
          <w:bCs/>
        </w:rPr>
        <w:t xml:space="preserve">Lo que aportó Santiago (archivos del 26 de septiembre y del 7 de octubre de 2026):</w:t>
      </w:r>
    </w:p>
    <w:p>
      <w:pPr>
        <w:pStyle w:val="Compact"/>
        <w:numPr>
          <w:ilvl w:val="0"/>
          <w:numId w:val="1002"/>
        </w:numPr>
      </w:pPr>
      <w:r>
        <w:t xml:space="preserve">Una Introducción con pregunta, objetivos e hipótesis nuevos.</w:t>
      </w:r>
    </w:p>
    <w:p>
      <w:pPr>
        <w:pStyle w:val="Compact"/>
        <w:numPr>
          <w:ilvl w:val="0"/>
          <w:numId w:val="1002"/>
        </w:numPr>
      </w:pPr>
      <w:r>
        <w:t xml:space="preserve">El shock de la tasa de la FED como pregunta específica.</w:t>
      </w:r>
    </w:p>
    <w:p>
      <w:pPr>
        <w:pStyle w:val="Compact"/>
        <w:numPr>
          <w:ilvl w:val="0"/>
          <w:numId w:val="1002"/>
        </w:numPr>
      </w:pPr>
      <w:r>
        <w:t xml:space="preserve">El perímetro consolidado SPNF y BCRA.</w:t>
      </w:r>
    </w:p>
    <w:p>
      <w:pPr>
        <w:pStyle w:val="Compact"/>
        <w:numPr>
          <w:ilvl w:val="0"/>
          <w:numId w:val="1002"/>
        </w:numPr>
      </w:pPr>
      <w:r>
        <w:t xml:space="preserve">Notas de metodología.</w:t>
      </w:r>
    </w:p>
    <w:bookmarkEnd w:id="10"/>
    <w:bookmarkStart w:id="14" w:name="Xd89659cf47934cd7c8c10f214dc174c1c6038dd"/>
    <w:p>
      <w:pPr>
        <w:pStyle w:val="Heading2"/>
      </w:pPr>
      <w:r>
        <w:t xml:space="preserve">2b. Inventario técnico: qué tenemos y qué se hace con cada cosa</w:t>
      </w:r>
    </w:p>
    <w:p>
      <w:pPr>
        <w:pStyle w:val="FirstParagraph"/>
      </w:pPr>
      <w:r>
        <w:t xml:space="preserve">Hay mucho hecho. La mayor parte se reutiliza; lo que falta son cuatro piezas.</w:t>
      </w:r>
    </w:p>
    <w:bookmarkStart w:id="11" w:name="datos"/>
    <w:p>
      <w:pPr>
        <w:pStyle w:val="Heading3"/>
      </w:pPr>
      <w:r>
        <w:t xml:space="preserve">Datos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Base 1996-2025 (120 trimestres): deuda/PIB del SPNF, resultado primario/PIB, PIB real, brecha del producto, TCRM, EMBI+, VIX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datos/dataset_consolidado_1996_2025.csv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Hay que sumarle la deuda consolidada y la tasa de la FED.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Empalmes pre-2004 (deuda, resultado primario y PIB real, por el método de Denton) y TCRM de 1996 extrapolado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codigo/ingesta_datos/empalme_*.py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construir_dataset_1996_2025.py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Pasivos remunerados del BCRA, 2004-2025, de la API del BCRA (LEBAC/NOBAC, Leliq/Notaliq, pases)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codigo/ingesta_datos/ingesta_bcra_pasivos.py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datos/procesados/bcra_pasivos_trimestral.csv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adapta: hay que llevarla a 1996 y revisar el denominador (ver abajo).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VIX y volatilidad del Bovespa, 1996-2025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ingesta_instrumentos_1996_2025.py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VIX se reutiliza como variable exógena.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Spread soberano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fase22_*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Problema detectado con los pasivos del BCRA.</w:t>
      </w:r>
      <w:r>
        <w:t xml:space="preserve"> </w:t>
      </w:r>
      <w:r>
        <w:t xml:space="preserve">Nuestra serie da 9,5% del PIB en 2022-2023.</w:t>
      </w:r>
      <w:r>
        <w:t xml:space="preserve"> </w:t>
      </w:r>
      <w:r>
        <w:t xml:space="preserve">El FMI da 18,4% en 2023 (16,2% solo en pesos) sobre el PIB promedio del año, y 11,0% sobre el PIB</w:t>
      </w:r>
      <w:r>
        <w:t xml:space="preserve"> </w:t>
      </w:r>
      <w:r>
        <w:t xml:space="preserve">anualizado del cuarto trimestre (FMI, 2025, anexo II). La diferencia viene del denominador, que</w:t>
      </w:r>
      <w:r>
        <w:t xml:space="preserve"> </w:t>
      </w:r>
      <w:r>
        <w:t xml:space="preserve">pesa mucho con inflación alta. Hay que elegir uno, justificarlo y usar el mismo para la deuda del</w:t>
      </w:r>
      <w:r>
        <w:t xml:space="preserve"> </w:t>
      </w:r>
      <w:r>
        <w:t xml:space="preserve">SPNF y para la del BCRA.</w:t>
      </w:r>
    </w:p>
    <w:bookmarkEnd w:id="11"/>
    <w:bookmarkStart w:id="12" w:name="modelos"/>
    <w:p>
      <w:pPr>
        <w:pStyle w:val="Heading3"/>
      </w:pPr>
      <w:r>
        <w:t xml:space="preserve">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hay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Archivo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Pruebas de raíz unitaria (ADF, KPSS, DF-GLS) y de quiebre único (Zivot-Andrews)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fase1_estacionariedad.py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y se corre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Quiebres múltiples de Bai-Perron, con implementación propia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fase9_bai_perron.py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bai_perron.py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 Los quiebres pasan a ser dummies del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Johansen y VECM: no encuentran reacción fiscal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fase3b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H1a (reacción fiscal), sobre la deuda consolidada.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SVAR restringido: brecha del producto, resultado primario, EMBI+, TCRM y deuda, con elasticidad cíclica de 0,25 citada y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de 1.000 réplicas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fase19_var_restringido_macro.py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fase23_reestimacion_1996_2025.py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núcleo. Se extiende a SVARX: el VAR de statsmodels ya admite variables exógenas, y la identificación se aplica igual sobre los residuos.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Selección de rezagos, multicolinealidad y diagnósticos de residuos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fase12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 para validar el SVARX.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Grados de libertad de la t de Student, estimados por momentos (nu = 4,8)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fase17_calibracion_nu_dsa.py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Se reutiliza.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Umbral de Hansen y TVECM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fase5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 como resultado complementario de H1a.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Simulación (DSA)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fase6_sostenibilidad_deuda.py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b/>
                <w:bCs/>
                <w:sz w:val="20"/>
              </w:rPr>
              <w:t xml:space="preserve">Se rehace en buena parte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(ver abajo). Se reutilizan la identidad con separación de monedas, la t de Student y los gráficos.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DOLS, variables instrumentales, CIR, DCC-GARCH, dependencia de colas, histórico 1983-2025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Calibri" w:hAnsi="Calibri"/>
                <w:sz w:val="20"/>
              </w:rPr>
              <w:t xml:space="preserve">fase3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fase11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fase14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fase20</w:t>
            </w:r>
            <w:r>
              <w:rPr>
                <w:rFonts w:ascii="Calibri" w:hAnsi="Calibri"/>
                <w:sz w:val="20"/>
              </w:rPr>
              <w:t xml:space="preserve">,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/>
                <w:sz w:val="20"/>
              </w:rPr>
              <w:t xml:space="preserve">fase22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Quedan fuera, como ya se había decidido.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hay que rehacer la simulación.</w:t>
      </w:r>
      <w:r>
        <w:t xml:space="preserve"> </w:t>
      </w:r>
      <w:r>
        <w:t xml:space="preserve">Revisada con el criterio de que todo número tiene que</w:t>
      </w:r>
      <w:r>
        <w:t xml:space="preserve"> </w:t>
      </w:r>
      <w:r>
        <w:t xml:space="preserve">estar justificado, tiene cuatro problemas:</w:t>
      </w:r>
    </w:p>
    <w:p>
      <w:pPr>
        <w:pStyle w:val="Compact"/>
        <w:numPr>
          <w:ilvl w:val="0"/>
          <w:numId w:val="1003"/>
        </w:numPr>
      </w:pPr>
      <w:r>
        <w:t xml:space="preserve">Los desvíos de los shocks (1,5%, 4%, 5%, 2% y 15%) están</w:t>
      </w:r>
      <w:r>
        <w:t xml:space="preserve"> </w:t>
      </w:r>
      <w:r>
        <w:t xml:space="preserve">“calibrados a mano”</w:t>
      </w:r>
      <w:r>
        <w:t xml:space="preserve">, según el propio</w:t>
      </w:r>
      <w:r>
        <w:t xml:space="preserve"> </w:t>
      </w:r>
      <w:r>
        <w:t xml:space="preserve">código.</w:t>
      </w:r>
    </w:p>
    <w:p>
      <w:pPr>
        <w:pStyle w:val="Compact"/>
        <w:numPr>
          <w:ilvl w:val="0"/>
          <w:numId w:val="1003"/>
        </w:numPr>
      </w:pPr>
      <w:r>
        <w:t xml:space="preserve">Los parámetros del escenario base (resultado primario 1,5%, crecimiento 3,5%, tasa en pesos 6%,</w:t>
      </w:r>
      <w:r>
        <w:t xml:space="preserve"> </w:t>
      </w:r>
      <w:r>
        <w:t xml:space="preserve">tasa en dólares 7,5%) no tienen fuente.</w:t>
      </w:r>
    </w:p>
    <w:p>
      <w:pPr>
        <w:pStyle w:val="Compact"/>
        <w:numPr>
          <w:ilvl w:val="0"/>
          <w:numId w:val="1003"/>
        </w:numPr>
      </w:pPr>
      <w:r>
        <w:t xml:space="preserve">Los shocks son independientes año a año: el SVAR solo aporta las correlaciones, no su</w:t>
      </w:r>
      <w:r>
        <w:t xml:space="preserve"> </w:t>
      </w:r>
      <w:r>
        <w:t xml:space="preserve">dinámica. Así no hay efectos conjuntos, que es lo que pide la pregunta.</w:t>
      </w:r>
    </w:p>
    <w:p>
      <w:pPr>
        <w:pStyle w:val="Compact"/>
        <w:numPr>
          <w:ilvl w:val="0"/>
          <w:numId w:val="1003"/>
        </w:numPr>
      </w:pPr>
      <w:r>
        <w:t xml:space="preserve">Usa el criterio de 100% del PIB, que salió de las hipótesis.</w:t>
      </w:r>
    </w:p>
    <w:p>
      <w:pPr>
        <w:pStyle w:val="FirstParagraph"/>
      </w:pPr>
      <w:r>
        <w:t xml:space="preserve">La versión nueva simula directamente desde el SVARX estimado (remuestreo de residuos, con sus</w:t>
      </w:r>
      <w:r>
        <w:t xml:space="preserve"> </w:t>
      </w:r>
      <w:r>
        <w:t xml:space="preserve">rezagos), acumula la deuda con la identidad y calcula las métricas del FMI. Para el escenario base</w:t>
      </w:r>
      <w:r>
        <w:t xml:space="preserve"> </w:t>
      </w:r>
      <w:r>
        <w:t xml:space="preserve">hay que adoptar un sendero con fuente, por ejemplo el del propio FMI (2025), lo que además permite</w:t>
      </w:r>
      <w:r>
        <w:t xml:space="preserve"> </w:t>
      </w:r>
      <w:r>
        <w:t xml:space="preserve">comparar con su resultado.</w:t>
      </w:r>
    </w:p>
    <w:bookmarkEnd w:id="12"/>
    <w:bookmarkStart w:id="13" w:name="las-cuatro-piezas-que-faltan"/>
    <w:p>
      <w:pPr>
        <w:pStyle w:val="Heading3"/>
      </w:pPr>
      <w:r>
        <w:t xml:space="preserve">Las cuatro piezas que faltan</w:t>
      </w:r>
    </w:p>
    <w:p>
      <w:pPr>
        <w:pStyle w:val="Compact"/>
        <w:numPr>
          <w:ilvl w:val="0"/>
          <w:numId w:val="1004"/>
        </w:numPr>
      </w:pPr>
      <w:r>
        <w:t xml:space="preserve">Deuda consolidada 1996-2025 con un denominador coherente.</w:t>
      </w:r>
    </w:p>
    <w:p>
      <w:pPr>
        <w:pStyle w:val="Compact"/>
        <w:numPr>
          <w:ilvl w:val="0"/>
          <w:numId w:val="1004"/>
        </w:numPr>
      </w:pPr>
      <w:r>
        <w:t xml:space="preserve">Tasa de la FED y tasa sombra (FRED).</w:t>
      </w:r>
    </w:p>
    <w:p>
      <w:pPr>
        <w:pStyle w:val="Compact"/>
        <w:numPr>
          <w:ilvl w:val="0"/>
          <w:numId w:val="1004"/>
        </w:numPr>
      </w:pPr>
      <w:r>
        <w:t xml:space="preserve">SVARX: extender</w:t>
      </w:r>
      <w:r>
        <w:t xml:space="preserve"> </w:t>
      </w:r>
      <w:r>
        <w:rPr>
          <w:rStyle w:val="VerbatimChar"/>
        </w:rPr>
        <w:t xml:space="preserve">fase19</w:t>
      </w:r>
      <w:r>
        <w:t xml:space="preserve"> </w:t>
      </w:r>
      <w:r>
        <w:t xml:space="preserve">con variables exógenas.</w:t>
      </w:r>
    </w:p>
    <w:p>
      <w:pPr>
        <w:pStyle w:val="Compact"/>
        <w:numPr>
          <w:ilvl w:val="0"/>
          <w:numId w:val="1004"/>
        </w:numPr>
      </w:pPr>
      <w:r>
        <w:t xml:space="preserve">Simulación nueva, desde el SVARX y con las métricas del FMI.</w:t>
      </w:r>
    </w:p>
    <w:bookmarkEnd w:id="13"/>
    <w:bookmarkEnd w:id="14"/>
    <w:bookmarkStart w:id="15" w:name="decisiones-tomadas"/>
    <w:p>
      <w:pPr>
        <w:pStyle w:val="Heading2"/>
      </w:pPr>
      <w:r>
        <w:t xml:space="preserve">3. Decisiones tomadas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N.°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Introducción de Santiago del 7/10 es la base, completada con la Justificación y los objetivos específicos del texto LaTeX.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versión más reciente y ya fue revisada.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el trabajo empírico (modelo y simulación) se hace sobre la deuda consolidada SPNF y BCRA.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el perímetro que plantea la pregunta de investigación, y el FMI considera deuda pública a los pasivos del banco central cuando pueden financiar al Tesoro o implican riesgo fiscal (FMI, 2021, anexo II).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modelo es un SVARX: la deuda consolidada es una variable más del sistema, con la tasa de la FED y la volatilidad global como variables exógenas.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Permite efectos conjuntos: la deuda responde a los shocks y a su vez los afecta. Es lo que hace falta para medir cómo un shock de la FED vuelve sobre la deuda a través del riesgo país y del tipo de cambio.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La identificación principal es el SVAR restringido por teoría que ya existe. El ordenamiento de Cholesky queda solo como prueba de robustez.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hay razón teórica para ordenar el EMBI+ y el TCRM entre sí, y esa justificación ya fue aprobada por el director.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H1b contrasta si nuestra probabilidad de no estabilización supera la del FMI (alrededor de 3%), con el escenario base del FMI.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Es la métrica del FMI (FMI, 2021, párr. 53) y el umbral es su propio diagnóstico (FMI, 2025, anexo II). Mide si el perímetro consolidado y los shocks identificados cambian ese diagnóstico, que es la vacancia. Se contrasta con el intervalo de 90% del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i/>
                <w:iCs/>
                <w:sz w:val="20"/>
              </w:rPr>
              <w:t xml:space="preserve">bootstrap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(unilateral al 5%).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criterio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“deuda mayor a 100% del PIB”</w:t>
            </w:r>
            <w:r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sale de las hipótesis.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tiene fuente que lo justifique.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área de vacancia se reformula.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marco del FMI sí admite incluir los pasivos del banco central (FMI, 2021, anexo II), pero en su análisis de Argentina corre las herramientas sobre la deuda federal bruta y muestra la consolidada solo como cuadro (FMI, 2025, anexo II, cuadro 2). La vacancia pasa a ser la combinación de tres aspectos: identificación estructural, un shock externo identificado y la estimación sobre el perímetro consolidado.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canal cuasifiscal del shock de la FED se redacta en pasado.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Los pasivos remunerados del BCRA se redujeron a niveles mínimos desde 2024.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El módulo de balanza de pagos (exportaciones, importaciones, inversión extranjera directa, fuga de capitales, renovación de vencimientos, necesidades de financiamiento) queda fuera y pasa a investigación futura.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No está especificado, y su tamaño es el de otra tesis.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Todo umbral, corte o tamaño de shock tiene que tener una justificación escrita, propia o citada.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Criterio del grupo.</w:t>
            </w:r>
          </w:p>
        </w:tc>
      </w:tr>
    </w:tbl>
    <w:bookmarkEnd w:id="15"/>
    <w:bookmarkStart w:id="24" w:name="etapas"/>
    <w:p>
      <w:pPr>
        <w:pStyle w:val="Heading2"/>
      </w:pPr>
      <w:r>
        <w:t xml:space="preserve">4. Etapas</w:t>
      </w:r>
    </w:p>
    <w:p>
      <w:pPr>
        <w:pStyle w:val="FirstParagraph"/>
      </w:pPr>
      <w:r>
        <w:t xml:space="preserve">Estado:</w:t>
      </w:r>
      <w:r>
        <w:t xml:space="preserve"> </w:t>
      </w:r>
      <w:r>
        <w:rPr>
          <w:b/>
          <w:bCs/>
        </w:rPr>
        <w:t xml:space="preserve">hecho</w:t>
      </w:r>
      <w:r>
        <w:t xml:space="preserve">,</w:t>
      </w:r>
      <w:r>
        <w:t xml:space="preserve"> </w:t>
      </w:r>
      <w:r>
        <w:rPr>
          <w:b/>
          <w:bCs/>
        </w:rPr>
        <w:t xml:space="preserve">en curso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pendiente</w:t>
      </w:r>
      <w:r>
        <w:t xml:space="preserve">.</w:t>
      </w:r>
    </w:p>
    <w:bookmarkStart w:id="16" w:name="X448d40dca89f9f9c4f6217ad26cdb620dc83252"/>
    <w:p>
      <w:pPr>
        <w:pStyle w:val="Heading3"/>
      </w:pPr>
      <w:r>
        <w:t xml:space="preserve">Etapa 1. Introducción (borrador listo para revisión del grupo)</w:t>
      </w:r>
    </w:p>
    <w:p>
      <w:pPr>
        <w:pStyle w:val="Compact"/>
        <w:numPr>
          <w:ilvl w:val="0"/>
          <w:numId w:val="1005"/>
        </w:numPr>
      </w:pPr>
      <w:r>
        <w:t xml:space="preserve">Hecho: borrador corregido (</w:t>
      </w:r>
      <w:r>
        <w:rPr>
          <w:rStyle w:val="VerbatimChar"/>
        </w:rPr>
        <w:t xml:space="preserve">introduccion_v3</w:t>
      </w:r>
      <w:r>
        <w:t xml:space="preserve">). Corrige citas mal usadas (Reinhart et al.,</w:t>
      </w:r>
      <w:r>
        <w:t xml:space="preserve"> </w:t>
      </w:r>
      <w:r>
        <w:t xml:space="preserve">2003; Mendoza y Oviedo, 2007), actualiza la coyuntura con datos de la OPC de julio de 2026,</w:t>
      </w:r>
      <w:r>
        <w:t xml:space="preserve"> </w:t>
      </w:r>
      <w:r>
        <w:t xml:space="preserve">reescribe la pregunta, los objetivos y las hipótesis, y suma la Justificación con la Ley</w:t>
      </w:r>
      <w:r>
        <w:t xml:space="preserve"> </w:t>
      </w:r>
      <w:r>
        <w:t xml:space="preserve">27.612.</w:t>
      </w:r>
    </w:p>
    <w:p>
      <w:pPr>
        <w:pStyle w:val="Compact"/>
        <w:numPr>
          <w:ilvl w:val="0"/>
          <w:numId w:val="1005"/>
        </w:numPr>
      </w:pPr>
      <w:r>
        <w:t xml:space="preserve">Pendiente: definir el tamaño del shock de la FED (ver punto 6) y verificar los datos marcados.</w:t>
      </w:r>
    </w:p>
    <w:bookmarkEnd w:id="16"/>
    <w:bookmarkStart w:id="17" w:name="X54a10ff3e6f155a28511cdc459424258071cfb3"/>
    <w:p>
      <w:pPr>
        <w:pStyle w:val="Heading3"/>
      </w:pPr>
      <w:r>
        <w:t xml:space="preserve">Etapa 2. Antecedentes y área de vacancia (borrador listo para revisión del grupo)</w:t>
      </w:r>
    </w:p>
    <w:p>
      <w:pPr>
        <w:pStyle w:val="Compact"/>
        <w:numPr>
          <w:ilvl w:val="0"/>
          <w:numId w:val="1006"/>
        </w:numPr>
      </w:pPr>
      <w:r>
        <w:t xml:space="preserve">Hecho:</w:t>
      </w:r>
    </w:p>
    <w:p>
      <w:pPr>
        <w:pStyle w:val="Compact"/>
        <w:numPr>
          <w:ilvl w:val="1"/>
          <w:numId w:val="1007"/>
        </w:numPr>
      </w:pPr>
      <w:r>
        <w:t xml:space="preserve">los antecedentes de Santiago y los del texto LaTeX quedaron fusionados en ocho ejes, más la</w:t>
      </w:r>
      <w:r>
        <w:t xml:space="preserve"> </w:t>
      </w:r>
      <w:r>
        <w:t xml:space="preserve">vacancia (</w:t>
      </w:r>
      <w:r>
        <w:rPr>
          <w:rStyle w:val="VerbatimChar"/>
        </w:rPr>
        <w:t xml:space="preserve">antecedentes_v3</w:t>
      </w:r>
      <w:r>
        <w:t xml:space="preserve">);</w:t>
      </w:r>
    </w:p>
    <w:p>
      <w:pPr>
        <w:pStyle w:val="Compact"/>
        <w:numPr>
          <w:ilvl w:val="1"/>
          <w:numId w:val="1007"/>
        </w:numPr>
      </w:pPr>
      <w:r>
        <w:t xml:space="preserve">se verificó en el informe del FMI de 2025 (Informe de País N.° 25/95, anexo II) el perímetro</w:t>
      </w:r>
      <w:r>
        <w:t xml:space="preserve"> </w:t>
      </w:r>
      <w:r>
        <w:t xml:space="preserve">que usa ese organismo;</w:t>
      </w:r>
    </w:p>
    <w:p>
      <w:pPr>
        <w:pStyle w:val="Compact"/>
        <w:numPr>
          <w:ilvl w:val="1"/>
          <w:numId w:val="1007"/>
        </w:numPr>
      </w:pPr>
      <w:r>
        <w:t xml:space="preserve">Introducción y Antecedentes quedaron en un solo Word.</w:t>
      </w:r>
    </w:p>
    <w:p>
      <w:pPr>
        <w:pStyle w:val="Compact"/>
        <w:numPr>
          <w:ilvl w:val="0"/>
          <w:numId w:val="1006"/>
        </w:numPr>
      </w:pPr>
      <w:r>
        <w:t xml:space="preserve">Pendiente:</w:t>
      </w:r>
    </w:p>
    <w:p>
      <w:pPr>
        <w:pStyle w:val="Compact"/>
        <w:numPr>
          <w:ilvl w:val="1"/>
          <w:numId w:val="1008"/>
        </w:numPr>
      </w:pPr>
      <w:r>
        <w:t xml:space="preserve">resolver cuatro referencias que aparecen con dos versiones distintas: Adler y Sosa, Adler y</w:t>
      </w:r>
      <w:r>
        <w:t xml:space="preserve"> </w:t>
      </w:r>
      <w:r>
        <w:t xml:space="preserve">Magud, Cetrángolo et al., y Wijayanti y Rachmanira;</w:t>
      </w:r>
    </w:p>
    <w:p>
      <w:pPr>
        <w:pStyle w:val="Compact"/>
        <w:numPr>
          <w:ilvl w:val="1"/>
          <w:numId w:val="1008"/>
        </w:numPr>
      </w:pPr>
      <w:r>
        <w:t xml:space="preserve">releer Levy Yeyati y Sturzenegger (2023), Klemm et al. (2014), Porto (2020) y Bouabdallah et</w:t>
      </w:r>
      <w:r>
        <w:t xml:space="preserve"> </w:t>
      </w:r>
      <w:r>
        <w:t xml:space="preserve">al. (2017).</w:t>
      </w:r>
    </w:p>
    <w:bookmarkEnd w:id="17"/>
    <w:bookmarkStart w:id="18" w:name="X7986390af5f7f4df758a01518b5d5b90eb0dffc"/>
    <w:p>
      <w:pPr>
        <w:pStyle w:val="Heading3"/>
      </w:pPr>
      <w:r>
        <w:t xml:space="preserve">Etapa 3. Datos (pendiente; es el siguiente paso técnico)</w:t>
      </w:r>
    </w:p>
    <w:p>
      <w:pPr>
        <w:pStyle w:val="Compact"/>
        <w:numPr>
          <w:ilvl w:val="0"/>
          <w:numId w:val="1009"/>
        </w:numPr>
      </w:pPr>
      <w:r>
        <w:t xml:space="preserve">Construir la deuda consolidada 1996-2025:</w:t>
      </w:r>
    </w:p>
    <w:p>
      <w:pPr>
        <w:pStyle w:val="Compact"/>
        <w:numPr>
          <w:ilvl w:val="1"/>
          <w:numId w:val="1010"/>
        </w:numPr>
      </w:pPr>
      <w:r>
        <w:t xml:space="preserve">bajar de la API del BCRA los pases (serie 1261) y las LEBAC (serie 1258) para 1996-2003;</w:t>
      </w:r>
      <w:r>
        <w:t xml:space="preserve"> </w:t>
      </w:r>
      <w:r>
        <w:t xml:space="preserve">las LEBAC empiezan en 2002, así que antes de ese año valen cero;</w:t>
      </w:r>
    </w:p>
    <w:p>
      <w:pPr>
        <w:pStyle w:val="Compact"/>
        <w:numPr>
          <w:ilvl w:val="1"/>
          <w:numId w:val="1010"/>
        </w:numPr>
      </w:pPr>
      <w:r>
        <w:t xml:space="preserve">empalmar el PIB nominal base 1993 con el base 2004;</w:t>
      </w:r>
    </w:p>
    <w:p>
      <w:pPr>
        <w:pStyle w:val="Compact"/>
        <w:numPr>
          <w:ilvl w:val="1"/>
          <w:numId w:val="1010"/>
        </w:numPr>
      </w:pPr>
      <w:r>
        <w:t xml:space="preserve">verificar que la deuda del SPNF y los pasivos del BCRA estén expresados sobre el mismo PIB</w:t>
      </w:r>
      <w:r>
        <w:t xml:space="preserve"> </w:t>
      </w:r>
      <w:r>
        <w:t xml:space="preserve">antes de sumarlos.</w:t>
      </w:r>
    </w:p>
    <w:p>
      <w:pPr>
        <w:pStyle w:val="Compact"/>
        <w:numPr>
          <w:ilvl w:val="0"/>
          <w:numId w:val="1009"/>
        </w:numPr>
      </w:pPr>
      <w:r>
        <w:t xml:space="preserve">Recalcular la proporción de deuda en pesos para el perímetro consolidado. Hoy el código usa</w:t>
      </w:r>
      <w:r>
        <w:t xml:space="preserve"> </w:t>
      </w:r>
      <w:r>
        <w:t xml:space="preserve">46,3% para el SPNF solo.</w:t>
      </w:r>
    </w:p>
    <w:p>
      <w:pPr>
        <w:pStyle w:val="Compact"/>
        <w:numPr>
          <w:ilvl w:val="0"/>
          <w:numId w:val="1009"/>
        </w:numPr>
      </w:pPr>
      <w:r>
        <w:t xml:space="preserve">Bajar la tasa de la FED y la tasa sombra de Wu y Xia (que cubre los años de tasa cero) desde</w:t>
      </w:r>
      <w:r>
        <w:t xml:space="preserve"> </w:t>
      </w:r>
      <w:r>
        <w:t xml:space="preserve">FRED, y pasarlas a frecuencia trimestral.</w:t>
      </w:r>
    </w:p>
    <w:p>
      <w:pPr>
        <w:pStyle w:val="Compact"/>
        <w:numPr>
          <w:ilvl w:val="0"/>
          <w:numId w:val="1009"/>
        </w:numPr>
      </w:pPr>
      <w:r>
        <w:t xml:space="preserve">Validación: gráfico y valores de control de cada serie, revisados por el grupo antes de</w:t>
      </w:r>
      <w:r>
        <w:t xml:space="preserve"> </w:t>
      </w:r>
      <w:r>
        <w:t xml:space="preserve">seguir.</w:t>
      </w:r>
    </w:p>
    <w:bookmarkEnd w:id="18"/>
    <w:bookmarkStart w:id="19" w:name="etapa-4.-metodología-pendiente"/>
    <w:p>
      <w:pPr>
        <w:pStyle w:val="Heading3"/>
      </w:pPr>
      <w:r>
        <w:t xml:space="preserve">Etapa 4. Metodología (pendiente)</w:t>
      </w:r>
    </w:p>
    <w:p>
      <w:pPr>
        <w:pStyle w:val="Compact"/>
        <w:numPr>
          <w:ilvl w:val="0"/>
          <w:numId w:val="1011"/>
        </w:numPr>
      </w:pPr>
      <w:r>
        <w:t xml:space="preserve">Reescribir el capítulo con el SVARX y la identificación.</w:t>
      </w:r>
    </w:p>
    <w:p>
      <w:pPr>
        <w:pStyle w:val="Compact"/>
        <w:numPr>
          <w:ilvl w:val="0"/>
          <w:numId w:val="1011"/>
        </w:numPr>
      </w:pPr>
      <w:r>
        <w:t xml:space="preserve">Definir el tamaño del shock de la FED con criterio justificado: un desvío estándar de la</w:t>
      </w:r>
      <w:r>
        <w:t xml:space="preserve"> </w:t>
      </w:r>
      <w:r>
        <w:t xml:space="preserve">serie, un episodio histórico como el de 2022-2023, o ambos.</w:t>
      </w:r>
    </w:p>
    <w:p>
      <w:pPr>
        <w:pStyle w:val="Compact"/>
        <w:numPr>
          <w:ilvl w:val="0"/>
          <w:numId w:val="1011"/>
        </w:numPr>
      </w:pPr>
      <w:r>
        <w:t xml:space="preserve">Escribir el criterio de H1b (contraste contra el FMI con intervalo de</w:t>
      </w:r>
      <w:r>
        <w:t xml:space="preserve"> </w:t>
      </w:r>
      <w:r>
        <w:rPr>
          <w:i/>
          <w:iCs/>
        </w:rPr>
        <w:t xml:space="preserve">bootstrap</w:t>
      </w:r>
      <w:r>
        <w:t xml:space="preserve">) en el capítulo.</w:t>
      </w:r>
    </w:p>
    <w:p>
      <w:pPr>
        <w:pStyle w:val="Compact"/>
        <w:numPr>
          <w:ilvl w:val="0"/>
          <w:numId w:val="1011"/>
        </w:numPr>
      </w:pPr>
      <w:r>
        <w:t xml:space="preserve">Agregar diagnósticos de residuos: autocorrelación, heterocedasticidad, normalidad y</w:t>
      </w:r>
      <w:r>
        <w:t xml:space="preserve"> </w:t>
      </w:r>
      <w:r>
        <w:t xml:space="preserve">estabilidad.</w:t>
      </w:r>
    </w:p>
    <w:bookmarkEnd w:id="19"/>
    <w:bookmarkStart w:id="20" w:name="etapa-5.-estimación-pendiente"/>
    <w:p>
      <w:pPr>
        <w:pStyle w:val="Heading3"/>
      </w:pPr>
      <w:r>
        <w:t xml:space="preserve">Etapa 5. Estimación (pendiente)</w:t>
      </w:r>
    </w:p>
    <w:p>
      <w:pPr>
        <w:pStyle w:val="Compact"/>
        <w:numPr>
          <w:ilvl w:val="0"/>
          <w:numId w:val="1012"/>
        </w:numPr>
      </w:pPr>
      <w:r>
        <w:t xml:space="preserve">Pruebas de raíz unitaria y de quiebres sobre la serie consolidada.</w:t>
      </w:r>
    </w:p>
    <w:p>
      <w:pPr>
        <w:pStyle w:val="Compact"/>
        <w:numPr>
          <w:ilvl w:val="0"/>
          <w:numId w:val="1012"/>
        </w:numPr>
      </w:pPr>
      <w:r>
        <w:t xml:space="preserve">SVARX con dummies en los quiebres que detecte el test de Bai-Perron.</w:t>
      </w:r>
    </w:p>
    <w:p>
      <w:pPr>
        <w:pStyle w:val="Compact"/>
        <w:numPr>
          <w:ilvl w:val="0"/>
          <w:numId w:val="1012"/>
        </w:numPr>
      </w:pPr>
      <w:r>
        <w:t xml:space="preserve">Respuestas al impulso ante un shock de la FED.</w:t>
      </w:r>
    </w:p>
    <w:p>
      <w:pPr>
        <w:pStyle w:val="Compact"/>
        <w:numPr>
          <w:ilvl w:val="0"/>
          <w:numId w:val="1012"/>
        </w:numPr>
      </w:pPr>
      <w:r>
        <w:t xml:space="preserve">Descomposición de varianza (H1a).</w:t>
      </w:r>
    </w:p>
    <w:bookmarkEnd w:id="20"/>
    <w:bookmarkStart w:id="21" w:name="etapa-6.-simulación-pendiente"/>
    <w:p>
      <w:pPr>
        <w:pStyle w:val="Heading3"/>
      </w:pPr>
      <w:r>
        <w:t xml:space="preserve">Etapa 6. Simulación (pendiente)</w:t>
      </w:r>
    </w:p>
    <w:p>
      <w:pPr>
        <w:pStyle w:val="Compact"/>
        <w:numPr>
          <w:ilvl w:val="0"/>
          <w:numId w:val="1013"/>
        </w:numPr>
      </w:pPr>
      <w:r>
        <w:t xml:space="preserve">Monte Carlo en el escenario base y con el shock de la FED.</w:t>
      </w:r>
    </w:p>
    <w:p>
      <w:pPr>
        <w:pStyle w:val="Compact"/>
        <w:numPr>
          <w:ilvl w:val="0"/>
          <w:numId w:val="1013"/>
        </w:numPr>
      </w:pPr>
      <w:r>
        <w:t xml:space="preserve">Métricas del FMI: probabilidad de no estabilización y ancho del abanico entre los</w:t>
      </w:r>
      <w:r>
        <w:t xml:space="preserve"> </w:t>
      </w:r>
      <w:r>
        <w:t xml:space="preserve">percentiles 5 y 95, medidos a cinco años y a 2035.</w:t>
      </w:r>
    </w:p>
    <w:p>
      <w:pPr>
        <w:pStyle w:val="Compact"/>
        <w:numPr>
          <w:ilvl w:val="0"/>
          <w:numId w:val="1013"/>
        </w:numPr>
      </w:pPr>
      <w:r>
        <w:t xml:space="preserve">Contraste de H1b y H2.</w:t>
      </w:r>
    </w:p>
    <w:bookmarkEnd w:id="21"/>
    <w:bookmarkStart w:id="22" w:name="X5b5e10ffb8ec09026463f48317a32f04e4fea2b"/>
    <w:p>
      <w:pPr>
        <w:pStyle w:val="Heading3"/>
      </w:pPr>
      <w:r>
        <w:t xml:space="preserve">Etapa 7. Resultados, discusión y conclusiones (pendiente)</w:t>
      </w:r>
    </w:p>
    <w:p>
      <w:pPr>
        <w:pStyle w:val="Compact"/>
        <w:numPr>
          <w:ilvl w:val="0"/>
          <w:numId w:val="1014"/>
        </w:numPr>
      </w:pPr>
      <w:r>
        <w:t xml:space="preserve">Si algún resultado contradice lo que hoy dice la tesis, se frena y se discute en el grupo</w:t>
      </w:r>
      <w:r>
        <w:t xml:space="preserve"> </w:t>
      </w:r>
      <w:r>
        <w:t xml:space="preserve">antes de escribirlo.</w:t>
      </w:r>
    </w:p>
    <w:bookmarkEnd w:id="22"/>
    <w:bookmarkStart w:id="23" w:name="etapa-8.-entrega-pendiente"/>
    <w:p>
      <w:pPr>
        <w:pStyle w:val="Heading3"/>
      </w:pPr>
      <w:r>
        <w:t xml:space="preserve">Etapa 8. Entrega (pendiente)</w:t>
      </w:r>
    </w:p>
    <w:p>
      <w:pPr>
        <w:pStyle w:val="Compact"/>
        <w:numPr>
          <w:ilvl w:val="0"/>
          <w:numId w:val="1015"/>
        </w:numPr>
      </w:pPr>
      <w:r>
        <w:t xml:space="preserve">Pasar todo al formato final, revisar las referencias y compilar.</w:t>
      </w:r>
    </w:p>
    <w:bookmarkEnd w:id="23"/>
    <w:bookmarkEnd w:id="24"/>
    <w:bookmarkStart w:id="25" w:name="pendientes-de-verificación"/>
    <w:p>
      <w:pPr>
        <w:pStyle w:val="Heading2"/>
      </w:pPr>
      <w:r>
        <w:t xml:space="preserve">5. Pendientes de verificación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Dónde se 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Si hubo emisión de deuda bajo ley de Nueva York en 2026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Fuente oficial de la colocación de diciembre de 2025 (USD 1.000 millones al 9,26%)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Introducción,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Nivel de los pasivos remunerados del BCRA a fines de 2025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Introducción y vacancia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Número de artículo de Ando et al. (2025) en el JEDC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Referencias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Volumen y páginas de Mendoza y Oviedo (2007)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Referencias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Número del Informe de País del FMI de 2024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Referencias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Cuatro referencias con dos versiones distintas (Adler y Sosa, Adler y Magud, Cetrángolo et al., Wijayanti y Rachmanira)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Antecedentes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Denominador de los pasivos del BCRA: 9,5% en nuestra serie frente a 18,4% del FMI en 2023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/>
                <w:sz w:val="20"/>
              </w:rPr>
              <w:t xml:space="preserve">Datos</w:t>
            </w:r>
          </w:p>
        </w:tc>
      </w:tr>
    </w:tbl>
    <w:bookmarkEnd w:id="25"/>
    <w:bookmarkStart w:id="26" w:name="decisiones-abiertas"/>
    <w:p>
      <w:pPr>
        <w:pStyle w:val="Heading2"/>
      </w:pPr>
      <w:r>
        <w:t xml:space="preserve">6. Decisiones abiertas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Tamaño del shock de la FED.</w:t>
      </w:r>
      <w:r>
        <w:t xml:space="preserve"> </w:t>
      </w:r>
      <w:r>
        <w:t xml:space="preserve">Hay dos criterios defendibles: un desvío estándar de la</w:t>
      </w:r>
      <w:r>
        <w:t xml:space="preserve"> </w:t>
      </w:r>
      <w:r>
        <w:t xml:space="preserve">serie o un episodio histórico. Se decide cuando esté la serie.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Horizonte de las métricas.</w:t>
      </w:r>
      <w:r>
        <w:t xml:space="preserve"> </w:t>
      </w:r>
      <w:r>
        <w:t xml:space="preserve">A cinco años, como el FMI, a 2035, o ambos. La propuesta es</w:t>
      </w:r>
      <w:r>
        <w:t xml:space="preserve"> </w:t>
      </w:r>
      <w:r>
        <w:t xml:space="preserve">reportar los dos.</w:t>
      </w:r>
    </w:p>
    <w:bookmarkEnd w:id="26"/>
    <w:bookmarkStart w:id="27" w:name="referencias-de-este-documento"/>
    <w:p>
      <w:pPr>
        <w:pStyle w:val="Heading2"/>
      </w:pPr>
      <w:r>
        <w:t xml:space="preserve">Referencias de este documento</w:t>
      </w:r>
    </w:p>
    <w:p>
      <w:pPr>
        <w:pStyle w:val="Compact"/>
        <w:numPr>
          <w:ilvl w:val="0"/>
          <w:numId w:val="1017"/>
        </w:numPr>
      </w:pPr>
      <w:r>
        <w:t xml:space="preserve">Fondo Monetario Internacional. (2021).</w:t>
      </w:r>
      <w:r>
        <w:t xml:space="preserve"> </w:t>
      </w:r>
      <w:r>
        <w:rPr>
          <w:i/>
          <w:iCs/>
        </w:rPr>
        <w:t xml:space="preserve">Review of the debt sustainability framework for</w:t>
      </w:r>
      <w:r>
        <w:rPr>
          <w:i/>
          <w:iCs/>
        </w:rPr>
        <w:t xml:space="preserve"> </w:t>
      </w:r>
      <w:r>
        <w:rPr>
          <w:i/>
          <w:iCs/>
        </w:rPr>
        <w:t xml:space="preserve">market access countries</w:t>
      </w:r>
      <w:r>
        <w:t xml:space="preserve"> </w:t>
      </w:r>
      <w:r>
        <w:t xml:space="preserve">(IMF Policy Paper).</w:t>
      </w:r>
    </w:p>
    <w:p>
      <w:pPr>
        <w:pStyle w:val="Compact"/>
        <w:numPr>
          <w:ilvl w:val="0"/>
          <w:numId w:val="1017"/>
        </w:numPr>
      </w:pPr>
      <w:r>
        <w:t xml:space="preserve">Fondo Monetario Internacional y Mecanismo Europeo de Estabilidad. (2023).</w:t>
      </w:r>
      <w:r>
        <w:t xml:space="preserve"> </w:t>
      </w:r>
      <w:r>
        <w:rPr>
          <w:i/>
          <w:iCs/>
        </w:rPr>
        <w:t xml:space="preserve">The stochastic</w:t>
      </w:r>
      <w:r>
        <w:rPr>
          <w:i/>
          <w:iCs/>
        </w:rPr>
        <w:t xml:space="preserve"> </w:t>
      </w:r>
      <w:r>
        <w:rPr>
          <w:i/>
          <w:iCs/>
        </w:rPr>
        <w:t xml:space="preserve">debt fanchart in the IMF’s Sovereign Risk and Debt Sustainability Framework for MACs</w:t>
      </w:r>
      <w:r>
        <w:t xml:space="preserve"> </w:t>
      </w:r>
      <w:r>
        <w:t xml:space="preserve">(presentación, 30 de noviembre de 2023).</w:t>
      </w:r>
    </w:p>
    <w:p>
      <w:pPr>
        <w:pStyle w:val="Compact"/>
        <w:numPr>
          <w:ilvl w:val="0"/>
          <w:numId w:val="1017"/>
        </w:numPr>
      </w:pPr>
      <w:r>
        <w:t xml:space="preserve">Fondo Monetario Internacional. (2025).</w:t>
      </w:r>
      <w:r>
        <w:t xml:space="preserve"> </w:t>
      </w:r>
      <w:r>
        <w:rPr>
          <w:i/>
          <w:iCs/>
        </w:rPr>
        <w:t xml:space="preserve">Argentina: Request for an extended arrangement under</w:t>
      </w:r>
      <w:r>
        <w:rPr>
          <w:i/>
          <w:iCs/>
        </w:rPr>
        <w:t xml:space="preserve"> </w:t>
      </w:r>
      <w:r>
        <w:rPr>
          <w:i/>
          <w:iCs/>
        </w:rPr>
        <w:t xml:space="preserve">the Extended Fund Facility</w:t>
      </w:r>
      <w:r>
        <w:t xml:space="preserve"> </w:t>
      </w:r>
      <w:r>
        <w:t xml:space="preserve">(IMF Country Report No. 25/95).</w:t>
      </w:r>
    </w:p>
    <w:p>
      <w:pPr>
        <w:pStyle w:val="Compact"/>
        <w:numPr>
          <w:ilvl w:val="0"/>
          <w:numId w:val="1017"/>
        </w:numPr>
      </w:pPr>
      <w:r>
        <w:t xml:space="preserve">Oficina de Presupuesto del Congreso. (2026).</w:t>
      </w:r>
      <w:r>
        <w:t xml:space="preserve"> </w:t>
      </w:r>
      <w:r>
        <w:rPr>
          <w:i/>
          <w:iCs/>
        </w:rPr>
        <w:t xml:space="preserve">Operaciones de deuda pública, julio 2026</w:t>
      </w:r>
      <w: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Calibri" w:cs="Calibri" w:eastAsia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Calibri" w:cs="Calibri" w:eastAsia="Calibri" w:hAnsi="Calibri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pageBreakBefore w:val="0"/>
      <w:spacing w:after="80" w:line="240" w:lineRule="auto"/>
      <w:contextualSpacing/>
      <w:jc w:val="center"/>
    </w:pPr>
    <w:rPr>
      <w:rFonts w:ascii="Calibri" w:cs="Calibri" w:eastAsia="Calibri" w:hAnsi="Calibri"/>
      <w:b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 w:val="0"/>
      <w:spacing w:after="80" w:before="360"/>
      <w:outlineLvl w:val="0"/>
    </w:pPr>
    <w:rPr>
      <w:rFonts w:ascii="Calibri" w:cs="Calibri" w:eastAsia="Calibri" w:hAnsi="Calibr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1"/>
    </w:pPr>
    <w:rPr>
      <w:rFonts w:ascii="Calibri" w:cs="Calibri" w:eastAsia="Calibri" w:hAnsi="Calibr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80" w:before="160"/>
      <w:outlineLvl w:val="2"/>
    </w:pPr>
    <w:rPr>
      <w:rFonts w:ascii="Calibri" w:cs="Calibri" w:eastAsia="Calibri" w:hAnsi="Calibri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40" w:before="80"/>
      <w:outlineLvl w:val="3"/>
    </w:pPr>
    <w:rPr>
      <w:rFonts w:ascii="Calibri" w:cs="Calibri" w:eastAsia="Calibri" w:hAnsi="Calibri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00000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color w:val="000000"/>
      <w:sz w:val="22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Calibri" w:cs="Calibri" w:eastAsia="Calibri" w:hAnsi="Calibri"/>
      <w:color w:val="000000"/>
      <w:sz w:val="2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2026-10-11T12:17:19Z</dcterms:created>
  <dcterms:modified xsi:type="dcterms:W3CDTF">2026-10-11T12:17:19Z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