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b w:val="1"/>
          <w:bCs w:val="1"/>
          <w:smallCaps w:val="1"/>
          <w:sz w:val="24"/>
          <w:szCs w:val="24"/>
          <w:rtl w:val="0"/>
        </w:rPr>
        <w:t xml:space="preserve">UNIVERSIDAD NACIONAL DE CUYO</w:t>
      </w:r>
      <w:r w:rsidDel="00000000" w:rsidR="00000000" w:rsidRPr="00000000">
        <w:rPr>
          <w:sz w:val="24"/>
          <w:szCs w:val="24"/>
          <w:rtl w:val="0"/>
        </w:rPr>
        <w:t xml:space="preserve"> </w:t>
      </w:r>
      <w:r w:rsidDel="00000000" w:rsidR="00000000" w:rsidRPr="00000000">
        <w:rPr>
          <w:b w:val="1"/>
          <w:bCs w:val="1"/>
          <w:smallCaps w:val="1"/>
          <w:sz w:val="24"/>
          <w:szCs w:val="24"/>
          <w:rtl w:val="0"/>
        </w:rPr>
        <w:t xml:space="preserve">FACULTAD DE CIENCIAS ECONÓMICAS</w:t>
      </w:r>
      <w:r w:rsidDel="00000000" w:rsidR="00000000" w:rsidRPr="00000000">
        <w:rPr>
          <w:rtl w:val="0"/>
        </w:rPr>
      </w:r>
    </w:p>
    <w:p w:rsidR="00000000" w:rsidDel="00000000" w:rsidP="00000000" w:rsidRDefault="00000000" w:rsidRPr="00000000" w14:paraId="00000002">
      <w:pPr>
        <w:spacing w:before="100" w:line="360" w:lineRule="auto"/>
        <w:jc w:val="center"/>
        <w:rPr>
          <w:b w:val="1"/>
          <w:bCs w:val="1"/>
          <w:i w:val="1"/>
          <w:iCs w:val="1"/>
        </w:rPr>
      </w:pPr>
      <w:r w:rsidDel="00000000" w:rsidR="00000000" w:rsidRPr="00000000">
        <w:rPr>
          <w:b w:val="1"/>
          <w:bCs w:val="1"/>
          <w:i w:val="1"/>
          <w:iCs w:val="1"/>
          <w:rtl w:val="0"/>
        </w:rPr>
        <w:t xml:space="preserve">METODOLOGÍA DE LA INVESTIGACIÓN</w:t>
      </w:r>
    </w:p>
    <w:p w:rsidR="00000000" w:rsidDel="00000000" w:rsidP="00000000" w:rsidRDefault="00000000" w:rsidRPr="00000000" w14:paraId="00000003">
      <w:pPr>
        <w:spacing w:before="100" w:line="360" w:lineRule="auto"/>
        <w:jc w:val="center"/>
        <w:rPr>
          <w:sz w:val="20"/>
          <w:szCs w:val="20"/>
        </w:rPr>
      </w:pPr>
      <w:r w:rsidDel="00000000" w:rsidR="00000000" w:rsidRPr="00000000">
        <w:rPr>
          <w:b w:val="1"/>
          <w:bCs w:val="1"/>
          <w:i w:val="1"/>
          <w:iCs w:val="1"/>
          <w:sz w:val="20"/>
          <w:szCs w:val="20"/>
          <w:rtl w:val="0"/>
        </w:rPr>
        <w:t xml:space="preserve">PROYECTO DE INVESTIGACIÓN</w:t>
      </w: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rPr>
          <w:b w:val="1"/>
          <w:bCs w:val="1"/>
          <w:rtl w:val="0"/>
        </w:rPr>
        <w:t xml:space="preserve">1- IDENTIFICACIÓN DEL PROYECTO</w:t>
      </w:r>
    </w:p>
    <w:p w:rsidR="00000000" w:rsidDel="00000000" w:rsidP="00000000" w:rsidRDefault="00000000" w:rsidRPr="00000000" w14:paraId="00000005">
      <w:pPr>
        <w:spacing w:line="360" w:lineRule="auto"/>
        <w:jc w:val="both"/>
        <w:rPr/>
      </w:pPr>
      <w:r w:rsidDel="00000000" w:rsidR="00000000" w:rsidRPr="00000000">
        <w:rPr>
          <w:b w:val="1"/>
          <w:bCs w:val="1"/>
          <w:rtl w:val="0"/>
        </w:rPr>
        <w:t xml:space="preserve">1.1. Director o responsable</w:t>
      </w:r>
      <w:r w:rsidDel="00000000" w:rsidR="00000000" w:rsidRPr="00000000">
        <w:rPr>
          <w:rtl w:val="0"/>
        </w:rPr>
        <w:t xml:space="preserve">: Pablo Mahnic</w:t>
      </w:r>
    </w:p>
    <w:p w:rsidR="00000000" w:rsidDel="00000000" w:rsidP="00000000" w:rsidRDefault="00000000" w:rsidRPr="00000000" w14:paraId="00000006">
      <w:pPr>
        <w:spacing w:line="360" w:lineRule="auto"/>
        <w:jc w:val="both"/>
        <w:rPr>
          <w:b w:val="1"/>
          <w:bCs w:val="1"/>
        </w:rPr>
      </w:pPr>
      <w:r w:rsidDel="00000000" w:rsidR="00000000" w:rsidRPr="00000000">
        <w:rPr>
          <w:b w:val="1"/>
          <w:bCs w:val="1"/>
          <w:rtl w:val="0"/>
        </w:rPr>
        <w:t xml:space="preserve">1.2 Nombres y apellidos de los estudiantes:</w:t>
      </w:r>
    </w:p>
    <w:p w:rsidR="00000000" w:rsidDel="00000000" w:rsidP="00000000" w:rsidRDefault="00000000" w:rsidRPr="00000000" w14:paraId="00000007">
      <w:pPr>
        <w:spacing w:line="360" w:lineRule="auto"/>
        <w:ind w:firstLine="720"/>
        <w:jc w:val="both"/>
        <w:rPr/>
      </w:pPr>
      <w:r w:rsidDel="00000000" w:rsidR="00000000" w:rsidRPr="00000000">
        <w:rPr>
          <w:rtl w:val="0"/>
        </w:rPr>
        <w:t xml:space="preserve">Paez, Santiago — Legajo: 34110</w:t>
      </w:r>
    </w:p>
    <w:p w:rsidR="00000000" w:rsidDel="00000000" w:rsidP="00000000" w:rsidRDefault="00000000" w:rsidRPr="00000000" w14:paraId="00000008">
      <w:pPr>
        <w:spacing w:line="360" w:lineRule="auto"/>
        <w:ind w:firstLine="720"/>
        <w:jc w:val="both"/>
        <w:rPr/>
      </w:pPr>
      <w:bookmarkStart w:colFirst="0" w:colLast="0" w:name="_heading=h.4lebb84xilm2" w:id="0"/>
      <w:bookmarkEnd w:id="0"/>
      <w:r w:rsidDel="00000000" w:rsidR="00000000" w:rsidRPr="00000000">
        <w:rPr>
          <w:rtl w:val="0"/>
        </w:rPr>
        <w:t xml:space="preserve">Chillón, Federico — Legajo: 34394</w:t>
      </w:r>
    </w:p>
    <w:p w:rsidR="00000000" w:rsidDel="00000000" w:rsidP="00000000" w:rsidRDefault="00000000" w:rsidRPr="00000000" w14:paraId="00000009">
      <w:pPr>
        <w:spacing w:line="360" w:lineRule="auto"/>
        <w:ind w:firstLine="720"/>
        <w:jc w:val="both"/>
        <w:rPr/>
      </w:pPr>
      <w:r w:rsidDel="00000000" w:rsidR="00000000" w:rsidRPr="00000000">
        <w:rPr>
          <w:rtl w:val="0"/>
        </w:rPr>
        <w:t xml:space="preserve">Carricondo, Emiliano — Legajo: 33396</w:t>
      </w:r>
    </w:p>
    <w:p w:rsidR="00000000" w:rsidDel="00000000" w:rsidP="00000000" w:rsidRDefault="00000000" w:rsidRPr="00000000" w14:paraId="0000000A">
      <w:pPr>
        <w:spacing w:line="360" w:lineRule="auto"/>
        <w:ind w:firstLine="720"/>
        <w:jc w:val="both"/>
        <w:rPr/>
      </w:pPr>
      <w:r w:rsidDel="00000000" w:rsidR="00000000" w:rsidRPr="00000000">
        <w:rPr>
          <w:rtl w:val="0"/>
        </w:rPr>
        <w:t xml:space="preserve">Mes y año de presentación: Junio, 2026.</w:t>
      </w:r>
    </w:p>
    <w:p w:rsidR="00000000" w:rsidDel="00000000" w:rsidP="00000000" w:rsidRDefault="00000000" w:rsidRPr="00000000" w14:paraId="0000000B">
      <w:pPr>
        <w:spacing w:line="360" w:lineRule="auto"/>
        <w:jc w:val="both"/>
        <w:rPr/>
      </w:pPr>
      <w:r w:rsidDel="00000000" w:rsidR="00000000" w:rsidRPr="00000000">
        <w:rPr>
          <w:b w:val="1"/>
          <w:bCs w:val="1"/>
          <w:rtl w:val="0"/>
        </w:rPr>
        <w:t xml:space="preserve">1.3. Ubicación académica:</w:t>
      </w:r>
      <w:r w:rsidDel="00000000" w:rsidR="00000000" w:rsidRPr="00000000">
        <w:rPr>
          <w:rtl w:val="0"/>
        </w:rPr>
        <w:t xml:space="preserve"> FCE UNCuyo</w:t>
      </w:r>
    </w:p>
    <w:p w:rsidR="00000000" w:rsidDel="00000000" w:rsidP="00000000" w:rsidRDefault="00000000" w:rsidRPr="00000000" w14:paraId="0000000C">
      <w:pPr>
        <w:spacing w:line="360" w:lineRule="auto"/>
        <w:jc w:val="both"/>
        <w:rPr/>
      </w:pPr>
      <w:r w:rsidDel="00000000" w:rsidR="00000000" w:rsidRPr="00000000">
        <w:rPr>
          <w:b w:val="1"/>
          <w:bCs w:val="1"/>
          <w:rtl w:val="0"/>
        </w:rPr>
        <w:t xml:space="preserve">1.4. Denominación del proyecto</w:t>
      </w:r>
      <w:r w:rsidDel="00000000" w:rsidR="00000000" w:rsidRPr="00000000">
        <w:rPr>
          <w:b w:val="1"/>
          <w:bCs w:val="1"/>
          <w:highlight w:val="yellow"/>
          <w:rtl w:val="0"/>
        </w:rPr>
        <w:t xml:space="preserve">:</w:t>
      </w:r>
      <w:r w:rsidDel="00000000" w:rsidR="00000000" w:rsidRPr="00000000">
        <w:rPr>
          <w:highlight w:val="yellow"/>
          <w:rtl w:val="0"/>
        </w:rPr>
        <w:t xml:space="preserve"> La solvencia inte</w:t>
      </w:r>
      <w:r w:rsidDel="00000000" w:rsidR="00000000" w:rsidRPr="00000000">
        <w:rPr>
          <w:rtl w:val="0"/>
        </w:rPr>
        <w:t xml:space="preserve">rtemporal de la deuda consolidada argentina post-2025: proyecciones a partir de sus determinantes macroeconómicos (2004-2025) </w:t>
      </w:r>
    </w:p>
    <w:p w:rsidR="00000000" w:rsidDel="00000000" w:rsidP="00000000" w:rsidRDefault="00000000" w:rsidRPr="00000000" w14:paraId="0000000D">
      <w:pPr>
        <w:spacing w:line="360" w:lineRule="auto"/>
        <w:jc w:val="both"/>
        <w:rPr/>
      </w:pPr>
      <w:r w:rsidDel="00000000" w:rsidR="00000000" w:rsidRPr="00000000">
        <w:rPr>
          <w:b w:val="1"/>
          <w:bCs w:val="1"/>
          <w:rtl w:val="0"/>
        </w:rPr>
        <w:t xml:space="preserve">1.5. Palabras claves:</w:t>
      </w:r>
      <w:r w:rsidDel="00000000" w:rsidR="00000000" w:rsidRPr="00000000">
        <w:rPr>
          <w:rtl w:val="0"/>
        </w:rPr>
        <w:t xml:space="preserve"> de 3 a 5 palabras claves</w:t>
      </w:r>
    </w:p>
    <w:p w:rsidR="00000000" w:rsidDel="00000000" w:rsidP="00000000" w:rsidRDefault="00000000" w:rsidRPr="00000000" w14:paraId="0000000E">
      <w:pPr>
        <w:spacing w:line="360" w:lineRule="auto"/>
        <w:jc w:val="both"/>
        <w:rPr/>
      </w:pPr>
      <w:r w:rsidDel="00000000" w:rsidR="00000000" w:rsidRPr="00000000">
        <w:rPr>
          <w:rtl w:val="0"/>
        </w:rPr>
        <w:t xml:space="preserve">Deuda pública consolidada, Sostenibilidad fiscal, Indicadores macroeconómicos, </w:t>
      </w:r>
      <w:r w:rsidDel="00000000" w:rsidR="00000000" w:rsidRPr="00000000">
        <w:rPr>
          <w:highlight w:val="yellow"/>
          <w:rtl w:val="0"/>
        </w:rPr>
        <w:t xml:space="preserve">Solvencia estata</w:t>
      </w:r>
      <w:r w:rsidDel="00000000" w:rsidR="00000000" w:rsidRPr="00000000">
        <w:rPr>
          <w:rtl w:val="0"/>
        </w:rPr>
        <w:t xml:space="preserve">l.</w:t>
      </w:r>
    </w:p>
    <w:p w:rsidR="00000000" w:rsidDel="00000000" w:rsidP="00000000" w:rsidRDefault="00000000" w:rsidRPr="00000000" w14:paraId="0000000F">
      <w:pPr>
        <w:spacing w:line="360" w:lineRule="auto"/>
        <w:jc w:val="both"/>
        <w:rPr/>
      </w:pPr>
      <w:r w:rsidDel="00000000" w:rsidR="00000000" w:rsidRPr="00000000">
        <w:rPr>
          <w:b w:val="1"/>
          <w:bCs w:val="1"/>
          <w:rtl w:val="0"/>
        </w:rPr>
        <w:t xml:space="preserve">1.6. Resumen técnico:</w:t>
      </w:r>
      <w:r w:rsidDel="00000000" w:rsidR="00000000" w:rsidRPr="00000000">
        <w:rPr>
          <w:rtl w:val="0"/>
        </w:rPr>
        <w:t xml:space="preserve"> El presente proyecto de investigación se centra en evaluar la sostenibilidad de la deuda pública consolidada en Argentina, con especial foco en los vencimientos fijados para después del año 2025. Este estudio resulta de gran relevancia debido a la inestabilidad económica estructural del país y a sus constantes crisis financieras, fenómenos que exigen revisar las metodologías tradicionales para comprender la verdadera capacidad de pago y la resiliencia del Estado. El objetivo principal es proyectar el comportamiento de esta deuda en el mediano y largo plazo, tomando como base el análisis histórico de sus principales factores económicos durante el período 2004-2025. La metodología propuesta tendrá un enfoque netamente cuantitativo y un alcance descriptivo-explicativo. Para cumplir con los objetivos, se utilizarán bases de datos oficiales y se diseñará un modelo econométrico orientado a identificar las variables macroeconómicas que más influyen en las finanzas públicas nacionales y que ayuden a prevenir nuevos escenarios de default. Se espera que los resultados proporcionen un diagnóstico predictivo que sirva como herramienta de consulta para el diseño de políticas públicas y la toma de decisiones estratégicas. Finalmente, este trabajo aspira a enriquecer el debate académico sobre la administración de las finanzas estatales en economías en desarrollo, aportando una mayor claridad analítica sobre la compleja realidad económica de la República Argentina. </w:t>
      </w:r>
    </w:p>
    <w:p w:rsidR="00000000" w:rsidDel="00000000" w:rsidP="00000000" w:rsidRDefault="00000000" w:rsidRPr="00000000" w14:paraId="00000010">
      <w:pPr>
        <w:spacing w:before="680" w:line="360" w:lineRule="auto"/>
        <w:jc w:val="both"/>
        <w:rPr>
          <w:b w:val="1"/>
          <w:bCs w:val="1"/>
        </w:rPr>
      </w:pPr>
      <w:r w:rsidDel="00000000" w:rsidR="00000000" w:rsidRPr="00000000">
        <w:rPr>
          <w:b w:val="1"/>
          <w:bCs w:val="1"/>
          <w:rtl w:val="0"/>
        </w:rPr>
        <w:t xml:space="preserve">2- DESCRIPCIÓN DEL PROYECTO</w:t>
      </w:r>
    </w:p>
    <w:p w:rsidR="00000000" w:rsidDel="00000000" w:rsidP="00000000" w:rsidRDefault="00000000" w:rsidRPr="00000000" w14:paraId="00000011">
      <w:pPr>
        <w:spacing w:before="680" w:line="360" w:lineRule="auto"/>
        <w:jc w:val="both"/>
        <w:rPr/>
      </w:pPr>
      <w:r w:rsidDel="00000000" w:rsidR="00000000" w:rsidRPr="00000000">
        <w:rPr>
          <w:b w:val="1"/>
          <w:bCs w:val="1"/>
          <w:rtl w:val="0"/>
        </w:rPr>
        <w:t xml:space="preserve">2.1. Tema: </w:t>
      </w:r>
      <w:r w:rsidDel="00000000" w:rsidR="00000000" w:rsidRPr="00000000">
        <w:rPr>
          <w:rtl w:val="0"/>
        </w:rPr>
        <w:t xml:space="preserve">La sostenibilidad de la deuda pública consolidada argentina y sus determinantes macroeconómicos.</w:t>
      </w:r>
    </w:p>
    <w:p w:rsidR="00000000" w:rsidDel="00000000" w:rsidP="00000000" w:rsidRDefault="00000000" w:rsidRPr="00000000" w14:paraId="00000012">
      <w:pPr>
        <w:spacing w:before="680" w:line="360" w:lineRule="auto"/>
        <w:jc w:val="both"/>
        <w:rPr>
          <w:b w:val="1"/>
          <w:bCs w:val="1"/>
        </w:rPr>
      </w:pPr>
      <w:r w:rsidDel="00000000" w:rsidR="00000000" w:rsidRPr="00000000">
        <w:rPr>
          <w:b w:val="1"/>
          <w:bCs w:val="1"/>
          <w:rtl w:val="0"/>
        </w:rPr>
        <w:t xml:space="preserve">2.2. Estado actual del conocimiento sobre el tema (antecedentes):</w:t>
      </w:r>
    </w:p>
    <w:p w:rsidR="00000000" w:rsidDel="00000000" w:rsidP="00000000" w:rsidRDefault="00000000" w:rsidRPr="00000000" w14:paraId="00000013">
      <w:pPr>
        <w:spacing w:line="360" w:lineRule="auto"/>
        <w:ind w:firstLine="709"/>
        <w:jc w:val="both"/>
        <w:rPr/>
      </w:pPr>
      <w:r w:rsidDel="00000000" w:rsidR="00000000" w:rsidRPr="00000000">
        <w:rPr>
          <w:rtl w:val="0"/>
        </w:rPr>
        <w:t xml:space="preserve">El análisis de la sostenibilidad de la deuda pública argentina ha concentrado una amplia producción académica entre 2019 y 2024, impulsada por las recurrentes crisis de cesación de pagos y la inestabilidad macroeconómica estructural del país. La literatura transitó desde evaluaciones contables del cociente deuda/PIB hacia abordajes multidisciplinarios que incorporan restricciones del sector externo, lógicas de negociación con acreedores e impactos sobre la vida material de la población.</w:t>
      </w:r>
    </w:p>
    <w:p w:rsidR="00000000" w:rsidDel="00000000" w:rsidP="00000000" w:rsidRDefault="00000000" w:rsidRPr="00000000" w14:paraId="00000014">
      <w:pPr>
        <w:spacing w:line="360" w:lineRule="auto"/>
        <w:ind w:firstLine="709"/>
        <w:jc w:val="both"/>
        <w:rPr/>
      </w:pPr>
      <w:r w:rsidDel="00000000" w:rsidR="00000000" w:rsidRPr="00000000">
        <w:rPr>
          <w:rtl w:val="0"/>
        </w:rPr>
        <w:t xml:space="preserve">Un primer grupo de estudios examina las variables que determinan la dinámica de la deuda y la necesidad de renovar los métodos de evaluación. Rodríguez (2023) argumenta que el indicador clásico de deuda/PBI resulta insuficiente sin contemplar tasas de interés y ciclos económicos, y propone un indicador basado en los efectos de las distintas variables macroeconómicas sobre la deuda pública para una comprensión más acabada de la solvencia gubernamental. </w:t>
      </w:r>
      <w:r w:rsidDel="00000000" w:rsidR="00000000" w:rsidRPr="00000000">
        <w:rPr>
          <w:highlight w:val="white"/>
          <w:rtl w:val="0"/>
        </w:rPr>
        <w:t xml:space="preserve">En la misma línea, Libman, De la Vega y Zack (2024), investigadores de Fundar, desarrollan un a</w:t>
      </w:r>
      <w:r w:rsidDel="00000000" w:rsidR="00000000" w:rsidRPr="00000000">
        <w:rPr>
          <w:rtl w:val="0"/>
        </w:rPr>
        <w:t xml:space="preserve">nálisis de sostenibilidad de la deuda (DSA) que proyecta las necesidades brutas de financiamiento a mediano plazo; advierten que "un nivel de deuda sostenible implica un bajo riesgo de reestructuración o default" (Libman et al., 2024, p. 20), aunque reconocen que "una deuda cuyo peso crece no es necesariamente algo malo, ya que puede reflejar decisiones de política macroeconómica" (Libman et al., 2024, p. 10). Desde una perspectiva econométrica, Sanches (2019) aplica en su tesis de maestría modelos de datos de panel y descomposiciones contables, verificando que "el análisis de sostenibilidad de la deuda se concentra, principalmente, en la descomposición del ratio deuda-producto en sus diferentes componentes" (Sanches, 2019, p. 8), y comprueba la extrema sensibilidad de los bonos soberanos emergentes ante shocks externos, agudizada cuando los pasivos se denominan mayoritariamente en moneda extranjera.</w:t>
      </w:r>
    </w:p>
    <w:p w:rsidR="00000000" w:rsidDel="00000000" w:rsidP="00000000" w:rsidRDefault="00000000" w:rsidRPr="00000000" w14:paraId="00000015">
      <w:pPr>
        <w:spacing w:after="240" w:before="240" w:line="360" w:lineRule="auto"/>
        <w:ind w:firstLine="708"/>
        <w:jc w:val="both"/>
        <w:rPr/>
      </w:pPr>
      <w:r w:rsidDel="00000000" w:rsidR="00000000" w:rsidRPr="00000000">
        <w:rPr>
          <w:rtl w:val="0"/>
        </w:rPr>
        <w:t xml:space="preserve">Un segundo eje evalúa los procesos de reestructuración y el comportamiento de los acreedores internacionales. Aruguete (2021) examina el ciclo de sobreendeudamiento iniciado en 2016 y el </w:t>
      </w:r>
      <w:r w:rsidDel="00000000" w:rsidR="00000000" w:rsidRPr="00000000">
        <w:rPr>
          <w:i w:val="1"/>
          <w:iCs w:val="1"/>
          <w:rtl w:val="0"/>
        </w:rPr>
        <w:t xml:space="preserve">sudden stop</w:t>
      </w:r>
      <w:r w:rsidDel="00000000" w:rsidR="00000000" w:rsidRPr="00000000">
        <w:rPr>
          <w:rtl w:val="0"/>
        </w:rPr>
        <w:t xml:space="preserve"> que derivó en la negociación de 2020, señalando que "el ingreso de capitales a una economía alimenta una fase expansiva mientras crece su vulnerabilidad externa y financiera" (Aruguete, 2021, p. 103). Roldán (2021) aplica la teoría de juegos de doble nivel de Putnam y destaca que las Cláusulas de Acción Colectiva son "un compromiso contractual [...] que le generan la obligación de entrar en un acuerdo o canje al 100% de los acreedores" (Roldán, 2021, p. 20). Lagorio (2021) advierte que los condicionantes del FMI pueden volverse contraproducentes: "el problema aparece cuando estos condicionantes generan el efecto contrario" (Lagorio, 2021, p. 5), restringiendo el margen estatal. Sacco (2021) documenta la insuficiencia de las medidas del G20 para países de renta media durante la pandemia, mientras que Cusumano (2021) alerta que incorporar estándares medioambientales en las revisiones del FMI podría encarecer futuros acuerdos para naciones extractivistas.</w:t>
      </w:r>
    </w:p>
    <w:p w:rsidR="00000000" w:rsidDel="00000000" w:rsidP="00000000" w:rsidRDefault="00000000" w:rsidRPr="00000000" w14:paraId="00000016">
      <w:pPr>
        <w:spacing w:after="240" w:before="240" w:line="360" w:lineRule="auto"/>
        <w:ind w:firstLine="708"/>
        <w:jc w:val="both"/>
        <w:rPr/>
      </w:pPr>
      <w:r w:rsidDel="00000000" w:rsidR="00000000" w:rsidRPr="00000000">
        <w:rPr>
          <w:rtl w:val="0"/>
        </w:rPr>
        <w:t xml:space="preserve">Un tercer eje tensiona la sustentabilidad financiera ortodoxa con las bases materiales de la vida cotidiana. Cantamutto y Féliz (2021) sostienen, desde la teoría de la dependencia, que el endeudamiento subordina la estructura productiva al capital internacional, dado que "la valorización del capital —y, por lo tanto, el crecimiento económico y del empleo— se encuentra directamente limitada por la disponibilidad de divisas internacionales" (Cantamutto y Féliz, 2021, p. 4). Cantamutto et al. (2024), articulando teoría feminista y jurisprudencia del Sistema Interamericano de Derechos Humanos, proponen reemplazar la sostenibilidad financiera por la primacía de la sostenibilidad de la vida, argumentando que los programas de ajuste vulneran los derechos económicos, sociales, culturales y ambientales (DESCA); postulan que "hablar de sostenibilidad de la vida es hablar de garantizar las condiciones de posibilidad de todas las vidas que son deseadas de ser vividas" (Cantamutto et al., 2024, p. 176).</w:t>
      </w:r>
    </w:p>
    <w:p w:rsidR="00000000" w:rsidDel="00000000" w:rsidP="00000000" w:rsidRDefault="00000000" w:rsidRPr="00000000" w14:paraId="00000017">
      <w:pPr>
        <w:spacing w:line="360" w:lineRule="auto"/>
        <w:ind w:firstLine="709"/>
        <w:jc w:val="both"/>
        <w:rPr/>
      </w:pPr>
      <w:r w:rsidDel="00000000" w:rsidR="00000000" w:rsidRPr="00000000">
        <w:rPr>
          <w:b w:val="1"/>
          <w:bCs w:val="1"/>
          <w:rtl w:val="0"/>
        </w:rPr>
        <w:t xml:space="preserve">Área de vacancia.</w:t>
      </w:r>
      <w:r w:rsidDel="00000000" w:rsidR="00000000" w:rsidRPr="00000000">
        <w:rPr>
          <w:rtl w:val="0"/>
        </w:rPr>
        <w:t xml:space="preserve"> La literatura revisada ha demostrado que la deuda consolidada argentina es un fenómeno multidimensional, analizando tanto sus determinantes macroeconómicos (Aruguete, 2021; Libman et al., 2024; Rodríguez, 2023) como sus costos sociolaborales (Cantamutto et al., 2024). Sin embargo, existe una carencia significativa a la hora de separar el esfuerzo fiscal genuino del Estado frente a los impactos patrimoniales exógenos; específicamente, </w:t>
      </w:r>
      <w:r w:rsidDel="00000000" w:rsidR="00000000" w:rsidRPr="00000000">
        <w:rPr>
          <w:highlight w:val="yellow"/>
          <w:rtl w:val="0"/>
        </w:rPr>
        <w:t xml:space="preserve">falta una modelización que descomponga con precisión el "efecto de valoración cambiaria" que producen los saltos del tipo de cambio sobre la deuda denominada en moneda extranjera</w:t>
      </w:r>
      <w:r w:rsidDel="00000000" w:rsidR="00000000" w:rsidRPr="00000000">
        <w:rPr>
          <w:rtl w:val="0"/>
        </w:rPr>
        <w:t xml:space="preserve">. En respuesta a la necesidad de renovar los métodos de evaluación planteada por el primer grupo de estudios, la presente investigación llenará este vacío estimando una Función de Reacción Fiscal extendida. Mediante estos métodos econométricos se aislará el impacto cambiario para calcular los umbrales de "fatiga fiscal" en Argentina (2004-2025), aportando así una nueva herramienta a la discusión sobre la dinámica y sostenibilidad de la deuda pública. </w:t>
      </w:r>
    </w:p>
    <w:p w:rsidR="00000000" w:rsidDel="00000000" w:rsidP="00000000" w:rsidRDefault="00000000" w:rsidRPr="00000000" w14:paraId="00000018">
      <w:pPr>
        <w:spacing w:before="680" w:line="360" w:lineRule="auto"/>
        <w:jc w:val="both"/>
        <w:rPr/>
      </w:pPr>
      <w:r w:rsidDel="00000000" w:rsidR="00000000" w:rsidRPr="00000000">
        <w:rPr>
          <w:b w:val="1"/>
          <w:bCs w:val="1"/>
          <w:rtl w:val="0"/>
        </w:rPr>
        <w:t xml:space="preserve">2.3. Planteamiento del problema de investigación</w:t>
      </w:r>
      <w:r w:rsidDel="00000000" w:rsidR="00000000" w:rsidRPr="00000000">
        <w:rPr>
          <w:rtl w:val="0"/>
        </w:rPr>
      </w:r>
    </w:p>
    <w:p w:rsidR="00000000" w:rsidDel="00000000" w:rsidP="00000000" w:rsidRDefault="00000000" w:rsidRPr="00000000" w14:paraId="00000019">
      <w:pPr>
        <w:spacing w:after="240" w:before="240" w:line="360" w:lineRule="auto"/>
        <w:ind w:firstLine="708"/>
        <w:jc w:val="both"/>
        <w:rPr/>
      </w:pPr>
      <w:r w:rsidDel="00000000" w:rsidR="00000000" w:rsidRPr="00000000">
        <w:rPr>
          <w:rtl w:val="0"/>
        </w:rPr>
        <w:t xml:space="preserve">La literatura reciente superó los enfoques que evaluaban la sostenibilidad exclusivamente a través del ratio Deuda/PBI, incorporando modelos que distinguen solvencia de largo plazo de liquidez de corto plazo y reconociendo la "intolerancia a la deuda" —el castigo reputacional que eleva estructuralmente los costos de financiamiento de países con historial de cesaciones de pagos— (Libman et al., 2024; Aruguete, 2021; Rodríguez, 2023). </w:t>
      </w:r>
      <w:r w:rsidDel="00000000" w:rsidR="00000000" w:rsidRPr="00000000">
        <w:rPr>
          <w:highlight w:val="yellow"/>
          <w:rtl w:val="0"/>
        </w:rPr>
        <w:t xml:space="preserve">Sin embargo, los modelos aplicados al caso argentino tratan el riesgo país y la tasa de interés real como parámetros exógenos, subestimando el bucle de retroalimentación entre comportamiento fiscal y encarecimiento del crédito, y confunden el esfuerzo fiscal genuino con los impactos patrimoniales de shocks cambiarios.</w:t>
      </w:r>
      <w:r w:rsidDel="00000000" w:rsidR="00000000" w:rsidRPr="00000000">
        <w:rPr>
          <w:rtl w:val="0"/>
        </w:rPr>
        <w:t xml:space="preserve"> Esta investigación complementa los consensos existentes (Libman et al., 2024; Aruguete, 2021; Rodríguez, 2023) modelizando el riesgo país de forma endógena junto a las principales variables macroeconómicas, para evaluar la eficacia real del ajuste fiscal en Argentina.</w:t>
      </w:r>
    </w:p>
    <w:p w:rsidR="00000000" w:rsidDel="00000000" w:rsidP="00000000" w:rsidRDefault="00000000" w:rsidRPr="00000000" w14:paraId="0000001A">
      <w:pPr>
        <w:spacing w:after="240" w:before="240" w:line="360" w:lineRule="auto"/>
        <w:ind w:firstLine="708"/>
        <w:jc w:val="both"/>
        <w:rPr/>
      </w:pPr>
      <w:r w:rsidDel="00000000" w:rsidR="00000000" w:rsidRPr="00000000">
        <w:rPr>
          <w:rtl w:val="0"/>
        </w:rPr>
        <w:t xml:space="preserve">El problema se inscribe en un proceso histórico de larga data, marcado por vulnerabilidad externa estructural y ciclos recurrentes de endeudamiento-crisis-default. Sus raíces se remontan a la dictadura cívico-militar (1976–1983), cuando la liberalización financiera multiplicó velozmente la deuda externa, modelo que se profundizó durante la Convertibilidad y desembocó en el default de 2001. El período estudiado (2004–2025) atraviesa los sucesivos intentos de resolver esa herencia: la reestructuración con quitas de capital (2005–2010), el litigio con fondos buitre y el default técnico de 2014, el ciclo de sobreendeudamiento en moneda extranjera desde 2016, el sudden stop de 2018, el acuerdo histórico con el FMI y la reestructuración con acreedores privados en plena pandemia (2020). A lo largo de estos ciclos, la carga de la deuda operó como un mecanismo de dependencia que tensionó las bases materiales de la población, contraponiendo sustentabilidad financiera con sostenibilidad de la vida. El derrotero de incumplimientos seriales —1890, 2001, 2014, 2020— consolida el fenómeno de la "intolerancia a la deuda": un riesgo país estructuralmente alto que opera como causa autónoma de crisis, haciendo que el actual superávit primario (2024) choque contra un costo de financiamiento prohibitivo heredado de la propia historia.</w:t>
      </w:r>
    </w:p>
    <w:p w:rsidR="00000000" w:rsidDel="00000000" w:rsidP="00000000" w:rsidRDefault="00000000" w:rsidRPr="00000000" w14:paraId="0000001B">
      <w:pPr>
        <w:spacing w:line="360" w:lineRule="auto"/>
        <w:ind w:firstLine="709"/>
        <w:jc w:val="both"/>
        <w:rPr/>
      </w:pPr>
      <w:r w:rsidDel="00000000" w:rsidR="00000000" w:rsidRPr="00000000">
        <w:rPr>
          <w:rtl w:val="0"/>
        </w:rPr>
        <w:t xml:space="preserve">La pregunta general que orienta esta investigación es la siguiente: ¿qué condiciones de política fiscal y macroeconómica requiere Argentina para garantizar la sostenibilidad intertemporal frente a sus vencimientos post-2025? De ella se desprenden tres preguntas específicas: primera, ¿en qué medida el ajuste fiscal en Argentina (2004–2025) fue suficiente para satisfacer la restricción presupuestaria intertemporal?; segunda, ¿qué impacto tuvieron las devaluaciones y las variaciones en las tasas de interés sobre el peso real de la deuda en el período estudiado?; y tercera, ¿qué niveles de crecimiento económico, acumulación de reservas y resultado fiscal —primario y cuasifiscal— necesita Argentina para garantizar la sostenibilidad de su deuda consolidada y afrontar sus vencimientos futuros sin incurrir en un nuevo default?</w:t>
      </w:r>
    </w:p>
    <w:p w:rsidR="00000000" w:rsidDel="00000000" w:rsidP="00000000" w:rsidRDefault="00000000" w:rsidRPr="00000000" w14:paraId="0000001C">
      <w:pPr>
        <w:spacing w:line="360" w:lineRule="auto"/>
        <w:ind w:firstLine="709"/>
        <w:jc w:val="both"/>
        <w:rPr/>
      </w:pPr>
      <w:r w:rsidDel="00000000" w:rsidR="00000000" w:rsidRPr="00000000">
        <w:rPr>
          <w:rtl w:val="0"/>
        </w:rPr>
        <w:t xml:space="preserve">El objetivo general consiste en</w:t>
      </w:r>
      <w:sdt>
        <w:sdtPr>
          <w:id w:val="1250556101"/>
          <w:tag w:val="goog_rdk_0"/>
        </w:sdtPr>
        <w:sdtContent>
          <w:commentRangeStart w:id="0"/>
        </w:sdtContent>
      </w:sdt>
      <w:r w:rsidDel="00000000" w:rsidR="00000000" w:rsidRPr="00000000">
        <w:rPr>
          <w:rtl w:val="0"/>
        </w:rPr>
        <w:t xml:space="preserve"> establecer </w:t>
      </w:r>
      <w:commentRangeEnd w:id="0"/>
      <w:r w:rsidDel="00000000" w:rsidR="00000000" w:rsidRPr="00000000">
        <w:commentReference w:id="0"/>
      </w:r>
      <w:r w:rsidDel="00000000" w:rsidR="00000000" w:rsidRPr="00000000">
        <w:rPr>
          <w:rtl w:val="0"/>
        </w:rPr>
        <w:t xml:space="preserve">las condiciones de política fiscal y macroeconómica que requiere Argentina para garantizar la sostenibilidad de su deuda consolidada y afrontar sus vencimientos post-2025, a partir del análisis de la dinámica de las principales variables macroeconómicas en el período 2004–2025. En ese marco, el primer objetivo específico es analizar en qué medida el ajuste fiscal en Argentina (2004–2025) fue suficiente para satisfacer la restricción presupuestaria intertemporal; el segundo objetivo específico es medir el efecto de las devaluaciones y las variaciones en las tasas de interés sobre el volumen total de la deuda, aislando el “efecto de valoración cambiaria” del esfuerzo fiscal genuino; finalmente, el tercer objetivo específico es determinar los niveles de crecimiento económico, acumulación de reservas y resultado fiscal —primario y cuasifiscal— necesarios para garantizar la sostenibilidad de la deuda consolidada y el pago de vencimientos futuros bajo distintos escenarios de riesgo país.</w:t>
      </w:r>
    </w:p>
    <w:p w:rsidR="00000000" w:rsidDel="00000000" w:rsidP="00000000" w:rsidRDefault="00000000" w:rsidRPr="00000000" w14:paraId="0000001D">
      <w:pPr>
        <w:spacing w:line="360" w:lineRule="auto"/>
        <w:ind w:firstLine="709"/>
        <w:jc w:val="both"/>
        <w:rPr/>
      </w:pPr>
      <w:r w:rsidDel="00000000" w:rsidR="00000000" w:rsidRPr="00000000">
        <w:rPr>
          <w:rtl w:val="0"/>
        </w:rPr>
        <w:t xml:space="preserve">Esta investigación se justifica por múltiples razones. En cuanto a su conveniencia, permite comprender la dinámica del endeudamiento público —el problema macroeconómico más crónico de la Argentina—, trazando un puente explicativo entre los ciclos del período 2004–2025 y los desafíos presentes desde 2026. Su relevancia social es inmediata: una crisis de deuda y un eventual default tienen impacto devastador sobre el poder adquisitivo, los niveles de pobreza y el crédito disponible para empresas y familias; investigar cómo prevenir ese escenario protege directamente el bienestar de la población. Desde el punto de vista de las implicaciones prácticas, al identificar metas claras de acumulación de reservas, crecimiento del PBI y trayectoria del déficit fiscal —primario y cuasifiscal—, los resultados pueden funcionar como hoja de ruta y sistema de alerta temprana para los tomadores de decisiones del Ministerio de Economía y el Banco Central. El valor teórico radica en que el análisis de dos décadas que incluyen fases muy distintas —desendeudamiento, sobreendeudamiento acelerado y reestructuraciones— permite contrastar empíricamente las teorías clásicas de sostenibilidad fiscal en un país emergente con historial de "intolerancia a la deuda". Finalmente, su utilidad metodológica consiste en sistematizar múltiples variables macroeconómicas en un modelo replicable mediante métodos econométricos, que podrá ser utilizado por futuros investigadores para analizar períodos posteriores o realizar comparaciones con otros países de la región.</w:t>
      </w:r>
    </w:p>
    <w:p w:rsidR="00000000" w:rsidDel="00000000" w:rsidP="00000000" w:rsidRDefault="00000000" w:rsidRPr="00000000" w14:paraId="0000001E">
      <w:pPr>
        <w:spacing w:line="360" w:lineRule="auto"/>
        <w:ind w:firstLine="709"/>
        <w:jc w:val="both"/>
        <w:rPr/>
      </w:pPr>
      <w:r w:rsidDel="00000000" w:rsidR="00000000" w:rsidRPr="00000000">
        <w:rPr>
          <w:rtl w:val="0"/>
        </w:rPr>
        <w:t xml:space="preserve">La propuesta es plenamente viable: no requiere presupuesto para trabajo de campo. Las variables se obtienen de fuentes públicas y gratuitas: Ministerio de Economía (stock de deuda por moneda, acreedor y plazo), BCRA (reservas, tasas de interés y tipo de cambio real Multilateral), INDEC (PBI real e IPC), y organismos internacionales —FMI, Banco Mundial, CEPAL y FRED— para las series históricas del riesgo país. El acceso irrestricto a estas bases garantiza la factibilidad plena de la investigación.</w:t>
      </w:r>
    </w:p>
    <w:p w:rsidR="00000000" w:rsidDel="00000000" w:rsidP="00000000" w:rsidRDefault="00000000" w:rsidRPr="00000000" w14:paraId="0000001F">
      <w:pPr>
        <w:pStyle w:val="Heading1"/>
        <w:spacing w:after="120" w:line="360" w:lineRule="auto"/>
        <w:jc w:val="both"/>
        <w:rPr>
          <w:b w:val="1"/>
          <w:bCs w:val="1"/>
          <w:color w:val="000000"/>
          <w:sz w:val="22"/>
          <w:szCs w:val="22"/>
        </w:rPr>
      </w:pPr>
      <w:bookmarkStart w:colFirst="0" w:colLast="0" w:name="_heading=h.c06jcxtl2fkc" w:id="1"/>
      <w:bookmarkEnd w:id="1"/>
      <w:r w:rsidDel="00000000" w:rsidR="00000000" w:rsidRPr="00000000">
        <w:rPr>
          <w:b w:val="1"/>
          <w:bCs w:val="1"/>
          <w:color w:val="000000"/>
          <w:sz w:val="22"/>
          <w:szCs w:val="22"/>
          <w:rtl w:val="0"/>
        </w:rPr>
        <w:t xml:space="preserve">2.4. Marco teórico</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El punto de partida es la teoría de la Restricción Presupuestaria Intertemporal (RPI). Aunque originalmente este concepto fue formulado desde la microeconomía (Fisher, 1930) para explicar las decisiones de consumo y ahorro de los individuos a lo largo de su ciclo de vida, la macroeconomía contemporánea lo ha trasladado al análisis del sector público. Autores clásicos como Domar (1944) y, fundamentalmente, Bohn (1998), aplicaron la RPI al Estado para postular que la sostenibilidad de la deuda pública no se mide por el stock acumulado, sino por la capacidad del gobierno para generar flujos futuros que compensen sus pasivos presentes. Matemáticamente, la RPI aplicada al sector público exige que el valor presente de los resultados fiscales primarios futuros sea, al menos, igual al stock de deuda actual. En el contexto argentino, Rodríguez (2023) retoma este enfoque dinámico y sostiene que el indicador clásico de deuda/PBI resulta insuficiente para evaluar la solvencia gubernamental si no se incorporan las tasas de interés y los ciclos económicos.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En este marco, es fundamental distinguir liquidez —capacidad de corto plazo para acceder a mercados y cancelar vencimientos— de solvencia, propiedad estructural de largo plazo que implica que la economía puede generar excedentes genuinos suficientes para honrar sus deudas aun ante iliquidez temporal. El problema de investigación se centra en esta última: la solvencia estructural de la República Argentina.</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El análisis adopta una perspectiva de Deuda Pública Consolidada Neta, definida como la suma de los pasivos brutos del Tesoro Nacional más los pasivos monetarios y no monetarios del BCRA, descontando activos cruzados entre ambos organismos. Esta definición es pertinente porque, en la historia argentina, Tesoro y BCRA han operado como vasos comunicantes: ignorar la deuda del BCRA —LELIQs o sus sucesores— u omitir que gran parte de la deuda del Tesoro está en manos de agencias públicas, lo que distorsiona la carga financiera real sobre los contribuyentes.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La evolución del ratio Deuda/PBI responde a la interacción de tres variables. La tasa de crecimiento del PBI(g) actúa como el principal licuador de la deuda: si la economía crece por encima del costo de financiamiento, el ratio se reduce sin ajustes drásticos. La tasa de interés real (r) representa el costo real del servicio de la deuda; la literatura (Domar, 1944) establece que si r &gt; g, la dinámica se vuelve intrínsecamente inestable. El Riesgo País (EMBI+) refleja la percepción de los mercados sobre la probabilidad de default: un spread elevado incrementa r, cierra el acceso al crédito y precipita crisis de liquidez que afectan la solvencia.</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Para analizar el comportamiento fiscal entre 2004 y 2025, se recurre a la Función de Reacción Fiscal (FRF) de Bohn (1998). Esta herramienta de análisis se centra en el Superávit Primario —diferencia entre ingresos totales y gastos excluyendo intereses— y postula que un gobierno exhibe sostenibilidad si existe una relación positiva entre stock de deuda y superávit primario. Es importante distinguir este plano analítico del plano de las políticas macroeconómicas: mientras la FRF evalúa el comportamiento fiscal observado históricamente, las condiciones de política —ajuste fiscal, manejo cambiario, acumulación de reservas— son el conjunto de instrumentos cuya combinación óptima busca identificar esta investigación. No obstante, en el contexto bimonetario argentino, el Tipo de Cambio Real opera como factor distorsivo en el análisis: una depreciación infla la deuda dolarizada sin mediar decisión de gasto, lo que justifica el uso de métodos econométricos para aislar ese impacto y medir la reacción fiscal "pura" del Estado.</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Para determinar los límites del ajuste, se incorpora la teoría de la fatiga fiscal (Ghosh et al., 2013), que establece que existe un techo natural al superávit primario con dos dimensiones: un límite económico, vinculado a la Curva de Laffer</w:t>
      </w:r>
      <w:r w:rsidDel="00000000" w:rsidR="00000000" w:rsidRPr="00000000">
        <w:rPr>
          <w:highlight w:val="yellow"/>
          <w:rtl w:val="0"/>
        </w:rPr>
        <w:t xml:space="preserve">, </w:t>
      </w:r>
      <w:sdt>
        <w:sdtPr>
          <w:id w:val="-879528616"/>
          <w:tag w:val="goog_rdk_1"/>
        </w:sdtPr>
        <w:sdtContent>
          <w:commentRangeStart w:id="1"/>
        </w:sdtContent>
      </w:sdt>
      <w:r w:rsidDel="00000000" w:rsidR="00000000" w:rsidRPr="00000000">
        <w:rPr>
          <w:highlight w:val="yellow"/>
          <w:rtl w:val="0"/>
        </w:rPr>
        <w:t xml:space="preserve">dond</w:t>
      </w:r>
      <w:commentRangeEnd w:id="1"/>
      <w:r w:rsidDel="00000000" w:rsidR="00000000" w:rsidRPr="00000000">
        <w:commentReference w:id="1"/>
      </w:r>
      <w:r w:rsidDel="00000000" w:rsidR="00000000" w:rsidRPr="00000000">
        <w:rPr>
          <w:highlight w:val="yellow"/>
          <w:rtl w:val="0"/>
        </w:rPr>
        <w:t xml:space="preserve">e</w:t>
      </w:r>
      <w:r w:rsidDel="00000000" w:rsidR="00000000" w:rsidRPr="00000000">
        <w:rPr>
          <w:rtl w:val="0"/>
        </w:rPr>
        <w:t xml:space="preserve"> impuestos excesivos destruyen la base imponible y contraen g; y un límite político-social, dado por la imposibilidad democrática de recortar gasto en educación, salud o jubilaciones sin comprometer la gobernabilidad. Llegados a ese punto, los mercados comprenden que el ajuste necesario es inviable, lo que dispara la probabilidad de default.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El marco se cierra con el Análisis de Sostenibilidad de la Deuda (DSA), modelización estocástica que proyecta la deuda consolidada neta bajo distintos escenarios. El DSA integra el comportamiento fiscal histórico (FRF), aísla el efecto de valoración cambiaria y somete la economía a pruebas de estrés en r, g y tipo de cambio, con el objetivo de determinar si la trayectoria de la deuda hacia 2030 es convergente o explosiva.</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La arquitectura del marco es así secuencial: la RPI establece la meta; la Deuda Consolidada Neta define el objeto de medición; PBI, tasa de interés y riesgo país son las variables que mueven el sistema; el superávit primario es la herramienta de control; la FRF evalúa su uso histórico; y el DSA, combinado con la fatiga fiscal, permite proyectar si el Estado argentino alcanzará la solvencia o se encamina hacia un nuevo ciclo de insostenibilidad.</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jc w:val="both"/>
        <w:rPr>
          <w:b w:val="1"/>
          <w:bCs w:val="1"/>
        </w:rPr>
      </w:pPr>
      <w:r w:rsidDel="00000000" w:rsidR="00000000" w:rsidRPr="00000000">
        <w:rPr>
          <w:b w:val="1"/>
          <w:bCs w:val="1"/>
          <w:rtl w:val="0"/>
        </w:rPr>
        <w:t xml:space="preserve">2.5. Hipótesis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jc w:val="both"/>
        <w:rPr/>
      </w:pPr>
      <w:r w:rsidDel="00000000" w:rsidR="00000000" w:rsidRPr="00000000">
        <w:rPr>
          <w:b w:val="1"/>
          <w:bCs w:val="1"/>
          <w:rtl w:val="0"/>
        </w:rPr>
        <w:t xml:space="preserve">Hipótesis sustantivas:</w:t>
      </w:r>
      <w:r w:rsidDel="00000000" w:rsidR="00000000" w:rsidRPr="00000000">
        <w:rPr>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El ajuste fiscal primario realizado en Argentina durante el período de análisis ha sido insuficiente para garantizar la solvencia intertemporal, debido a que el crecimiento del gasto en intereses superó sistemáticamente la capacidad de generación de excedentes genuinos.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Los shocks en el tipo de cambio real generan un "efecto de valoración" negativo que predomina sobre el esfuerzo fiscal, haciendo que devaluaciones superiores al 10% anual incrementen el ratio Deuda/PIB de forma endógena e independiente del superávit.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firstLine="709"/>
        <w:jc w:val="both"/>
        <w:rPr/>
      </w:pPr>
      <w:r w:rsidDel="00000000" w:rsidR="00000000" w:rsidRPr="00000000">
        <w:rPr>
          <w:rtl w:val="0"/>
        </w:rPr>
        <w:t xml:space="preserve">La sostenibilidad post-2025 requiere un sendero de crecimiento del PIB (g) superior al 3% anual y un superávit primario estructural de al menos 2% del PIB para compensar el costo del riesgo país (r) y evitar la fatiga fiscal.</w:t>
      </w:r>
    </w:p>
    <w:p w:rsidR="00000000" w:rsidDel="00000000" w:rsidP="00000000" w:rsidRDefault="00000000" w:rsidRPr="00000000" w14:paraId="0000002D">
      <w:pPr>
        <w:pStyle w:val="Heading3"/>
        <w:spacing w:after="80" w:before="280" w:line="360" w:lineRule="auto"/>
        <w:jc w:val="both"/>
        <w:rPr>
          <w:b w:val="1"/>
          <w:bCs w:val="1"/>
          <w:color w:val="000000"/>
          <w:sz w:val="26"/>
          <w:szCs w:val="26"/>
        </w:rPr>
      </w:pPr>
      <w:bookmarkStart w:colFirst="0" w:colLast="0" w:name="_heading=h.py2gzitut1c9" w:id="2"/>
      <w:bookmarkEnd w:id="2"/>
      <w:r w:rsidDel="00000000" w:rsidR="00000000" w:rsidRPr="00000000">
        <w:rPr>
          <w:b w:val="1"/>
          <w:bCs w:val="1"/>
          <w:color w:val="000000"/>
          <w:sz w:val="22"/>
          <w:szCs w:val="22"/>
          <w:rtl w:val="0"/>
        </w:rPr>
        <w:t xml:space="preserve">2.6 Estrategia Metodológica</w:t>
      </w:r>
      <w:r w:rsidDel="00000000" w:rsidR="00000000" w:rsidRPr="00000000">
        <w:rPr>
          <w:rtl w:val="0"/>
        </w:rPr>
      </w:r>
    </w:p>
    <w:p w:rsidR="00000000" w:rsidDel="00000000" w:rsidP="00000000" w:rsidRDefault="00000000" w:rsidRPr="00000000" w14:paraId="0000002E">
      <w:pPr>
        <w:spacing w:after="240" w:before="240" w:line="360" w:lineRule="auto"/>
        <w:jc w:val="both"/>
        <w:rPr>
          <w:b w:val="1"/>
          <w:bCs w:val="1"/>
        </w:rPr>
      </w:pPr>
      <w:r w:rsidDel="00000000" w:rsidR="00000000" w:rsidRPr="00000000">
        <w:rPr>
          <w:b w:val="1"/>
          <w:bCs w:val="1"/>
          <w:rtl w:val="0"/>
        </w:rPr>
        <w:t xml:space="preserve">2.6.1 Tipo de estudio</w:t>
      </w:r>
    </w:p>
    <w:p w:rsidR="00000000" w:rsidDel="00000000" w:rsidP="00000000" w:rsidRDefault="00000000" w:rsidRPr="00000000" w14:paraId="0000002F">
      <w:pPr>
        <w:spacing w:after="240" w:before="240" w:line="360" w:lineRule="auto"/>
        <w:ind w:firstLine="709"/>
        <w:jc w:val="both"/>
        <w:rPr/>
      </w:pPr>
      <w:r w:rsidDel="00000000" w:rsidR="00000000" w:rsidRPr="00000000">
        <w:rPr>
          <w:rtl w:val="0"/>
        </w:rPr>
        <w:t xml:space="preserve">La investigación se enmarca en un enfoque cuantitativo, con un alcance descriptivo-explicativo. Es descriptivo dado que sistematiza la evolución histórica de la deuda pública consolidada argentina y sus factores macroeconómicos asociados. Es explicativo al buscar determinar la incidencia de las variables macroeconómicas seleccionadas sobre la sostenibilidad fiscal. El diseño es longitudinal, retrospectivo y prospectivo, analizando la serie temporal 2004-2025 para proyectar la dinámica de la deuda en el periodo post-2025.</w:t>
      </w:r>
    </w:p>
    <w:p w:rsidR="00000000" w:rsidDel="00000000" w:rsidP="00000000" w:rsidRDefault="00000000" w:rsidRPr="00000000" w14:paraId="00000030">
      <w:pPr>
        <w:spacing w:after="240" w:before="240" w:line="360" w:lineRule="auto"/>
        <w:jc w:val="both"/>
        <w:rPr/>
      </w:pPr>
      <w:r w:rsidDel="00000000" w:rsidR="00000000" w:rsidRPr="00000000">
        <w:rPr>
          <w:b w:val="1"/>
          <w:bCs w:val="1"/>
          <w:rtl w:val="0"/>
        </w:rPr>
        <w:t xml:space="preserve">2.6.2 Unidad de análisis, población y muestra</w:t>
      </w:r>
      <w:r w:rsidDel="00000000" w:rsidR="00000000" w:rsidRPr="00000000">
        <w:rPr>
          <w:rtl w:val="0"/>
        </w:rPr>
      </w:r>
    </w:p>
    <w:p w:rsidR="00000000" w:rsidDel="00000000" w:rsidP="00000000" w:rsidRDefault="00000000" w:rsidRPr="00000000" w14:paraId="00000031">
      <w:pPr>
        <w:spacing w:after="240" w:before="240" w:line="360" w:lineRule="auto"/>
        <w:ind w:firstLine="709"/>
        <w:jc w:val="both"/>
        <w:rPr/>
      </w:pPr>
      <w:r w:rsidDel="00000000" w:rsidR="00000000" w:rsidRPr="00000000">
        <w:rPr>
          <w:rtl w:val="0"/>
        </w:rPr>
        <w:t xml:space="preserve">La unidad de análisis está constituida por los períodos anuales de la economía argentina. La población de estudio comprende la totalidad de los años en los que el Estado Nacional ha gestionado sus finanzas públicas. La muestra es no probabilística e intencional, delimitada por las observaciones anuales consolidadas de la República Argentina en el bloque temporal 2004-2025, seleccionado por la disponibilidad de datos homogéneos y la relevancia del ciclo fiscal.</w:t>
      </w:r>
    </w:p>
    <w:p w:rsidR="00000000" w:rsidDel="00000000" w:rsidP="00000000" w:rsidRDefault="00000000" w:rsidRPr="00000000" w14:paraId="00000032">
      <w:pPr>
        <w:spacing w:after="240" w:before="240" w:line="360" w:lineRule="auto"/>
        <w:jc w:val="both"/>
        <w:rPr/>
      </w:pPr>
      <w:r w:rsidDel="00000000" w:rsidR="00000000" w:rsidRPr="00000000">
        <w:rPr>
          <w:b w:val="1"/>
          <w:bCs w:val="1"/>
          <w:rtl w:val="0"/>
        </w:rPr>
        <w:t xml:space="preserve">2.6.3 Técnicas de obtención y evaluación de datos</w:t>
      </w:r>
      <w:r w:rsidDel="00000000" w:rsidR="00000000" w:rsidRPr="00000000">
        <w:rPr>
          <w:rtl w:val="0"/>
        </w:rPr>
        <w:t xml:space="preserve"> </w:t>
      </w:r>
    </w:p>
    <w:p w:rsidR="00000000" w:rsidDel="00000000" w:rsidP="00000000" w:rsidRDefault="00000000" w:rsidRPr="00000000" w14:paraId="00000033">
      <w:pPr>
        <w:spacing w:after="240" w:before="240" w:line="360" w:lineRule="auto"/>
        <w:ind w:firstLine="709"/>
        <w:jc w:val="both"/>
        <w:rPr/>
      </w:pPr>
      <w:r w:rsidDel="00000000" w:rsidR="00000000" w:rsidRPr="00000000">
        <w:rPr>
          <w:rtl w:val="0"/>
        </w:rPr>
        <w:t xml:space="preserve">Se utilizarán exclusivamente fuentes secundarias oficiales. La recopilación de datos cuantitativos se realizará mediante series estadísticas del Ministerio de Economía de la Nación (Secretaría de Hacienda y Finanzas), el Banco Central de la República Argentina (BCRA), el Instituto Nacional de Estadística y Censos (INDEC) y organismos internacionales (FMI, Banco Mundial). El proceso de evaluación consistirá en la unificación de series temporales y la validación de consistencia metodológica ante posibles cambios en los criterios de medición oficial durante el periodo analizado.</w:t>
      </w:r>
    </w:p>
    <w:p w:rsidR="00000000" w:rsidDel="00000000" w:rsidP="00000000" w:rsidRDefault="00000000" w:rsidRPr="00000000" w14:paraId="00000034">
      <w:pPr>
        <w:spacing w:after="240" w:before="240" w:line="360" w:lineRule="auto"/>
        <w:jc w:val="both"/>
        <w:rPr>
          <w:b w:val="1"/>
          <w:bCs w:val="1"/>
        </w:rPr>
      </w:pPr>
      <w:r w:rsidDel="00000000" w:rsidR="00000000" w:rsidRPr="00000000">
        <w:rPr>
          <w:b w:val="1"/>
          <w:bCs w:val="1"/>
          <w:rtl w:val="0"/>
        </w:rPr>
        <w:t xml:space="preserve">2.6.4 Variables, dimensiones e indicadores</w:t>
      </w:r>
    </w:p>
    <w:p w:rsidR="00000000" w:rsidDel="00000000" w:rsidP="00000000" w:rsidRDefault="00000000" w:rsidRPr="00000000" w14:paraId="00000035">
      <w:pPr>
        <w:numPr>
          <w:ilvl w:val="0"/>
          <w:numId w:val="1"/>
        </w:numPr>
        <w:spacing w:before="240" w:line="360" w:lineRule="auto"/>
        <w:ind w:left="720" w:hanging="360"/>
        <w:rPr/>
      </w:pPr>
      <w:r w:rsidDel="00000000" w:rsidR="00000000" w:rsidRPr="00000000">
        <w:rPr>
          <w:b w:val="1"/>
          <w:bCs w:val="1"/>
          <w:rtl w:val="0"/>
        </w:rPr>
        <w:t xml:space="preserve">Variable dependiente:</w:t>
      </w:r>
      <w:r w:rsidDel="00000000" w:rsidR="00000000" w:rsidRPr="00000000">
        <w:rPr>
          <w:rtl w:val="0"/>
        </w:rPr>
        <w:t xml:space="preserve"> </w:t>
      </w:r>
    </w:p>
    <w:p w:rsidR="00000000" w:rsidDel="00000000" w:rsidP="00000000" w:rsidRDefault="00000000" w:rsidRPr="00000000" w14:paraId="00000036">
      <w:pPr>
        <w:numPr>
          <w:ilvl w:val="1"/>
          <w:numId w:val="1"/>
        </w:numPr>
        <w:pBdr>
          <w:top w:space="0" w:sz="0" w:val="nil"/>
          <w:left w:space="0" w:sz="0" w:val="nil"/>
          <w:bottom w:space="0" w:sz="0" w:val="nil"/>
          <w:right w:space="0" w:sz="0" w:val="nil"/>
          <w:between w:space="0" w:sz="0" w:val="nil"/>
        </w:pBdr>
        <w:spacing w:line="360" w:lineRule="auto"/>
        <w:ind w:left="1440" w:hanging="360"/>
        <w:rPr/>
      </w:pPr>
      <w:r w:rsidDel="00000000" w:rsidR="00000000" w:rsidRPr="00000000">
        <w:rPr>
          <w:i w:val="1"/>
          <w:iCs w:val="1"/>
          <w:rtl w:val="0"/>
        </w:rPr>
        <w:t xml:space="preserve">Sostenibilidad</w:t>
      </w:r>
      <w:r w:rsidDel="00000000" w:rsidR="00000000" w:rsidRPr="00000000">
        <w:rPr>
          <w:rtl w:val="0"/>
        </w:rPr>
        <w:t xml:space="preserve"> de la deuda.</w:t>
      </w:r>
    </w:p>
    <w:p w:rsidR="00000000" w:rsidDel="00000000" w:rsidP="00000000" w:rsidRDefault="00000000" w:rsidRPr="00000000" w14:paraId="00000037">
      <w:pPr>
        <w:numPr>
          <w:ilvl w:val="1"/>
          <w:numId w:val="1"/>
        </w:numPr>
        <w:spacing w:line="360" w:lineRule="auto"/>
        <w:ind w:left="1440" w:hanging="360"/>
        <w:rPr/>
      </w:pPr>
      <w:r w:rsidDel="00000000" w:rsidR="00000000" w:rsidRPr="00000000">
        <w:rPr>
          <w:i w:val="1"/>
          <w:iCs w:val="1"/>
          <w:rtl w:val="0"/>
        </w:rPr>
        <w:t xml:space="preserve">Dimensión:</w:t>
      </w:r>
      <w:r w:rsidDel="00000000" w:rsidR="00000000" w:rsidRPr="00000000">
        <w:rPr>
          <w:rtl w:val="0"/>
        </w:rPr>
        <w:t xml:space="preserve"> Solvencia estatal.</w:t>
      </w:r>
    </w:p>
    <w:p w:rsidR="00000000" w:rsidDel="00000000" w:rsidP="00000000" w:rsidRDefault="00000000" w:rsidRPr="00000000" w14:paraId="00000038">
      <w:pPr>
        <w:numPr>
          <w:ilvl w:val="1"/>
          <w:numId w:val="1"/>
        </w:numPr>
        <w:spacing w:line="360" w:lineRule="auto"/>
        <w:ind w:left="1440" w:hanging="360"/>
        <w:rPr/>
      </w:pPr>
      <w:r w:rsidDel="00000000" w:rsidR="00000000" w:rsidRPr="00000000">
        <w:rPr>
          <w:i w:val="1"/>
          <w:iCs w:val="1"/>
          <w:rtl w:val="0"/>
        </w:rPr>
        <w:t xml:space="preserve">Indicador:</w:t>
      </w:r>
      <w:r w:rsidDel="00000000" w:rsidR="00000000" w:rsidRPr="00000000">
        <w:rPr>
          <w:rtl w:val="0"/>
        </w:rPr>
        <w:t xml:space="preserve"> Ratio Deuda Pública Consolidada / PBI.</w:t>
      </w:r>
    </w:p>
    <w:p w:rsidR="00000000" w:rsidDel="00000000" w:rsidP="00000000" w:rsidRDefault="00000000" w:rsidRPr="00000000" w14:paraId="00000039">
      <w:pPr>
        <w:numPr>
          <w:ilvl w:val="0"/>
          <w:numId w:val="1"/>
        </w:numPr>
        <w:spacing w:line="360" w:lineRule="auto"/>
        <w:ind w:left="720" w:hanging="360"/>
        <w:rPr/>
      </w:pPr>
      <w:r w:rsidDel="00000000" w:rsidR="00000000" w:rsidRPr="00000000">
        <w:rPr>
          <w:b w:val="1"/>
          <w:bCs w:val="1"/>
          <w:rtl w:val="0"/>
        </w:rPr>
        <w:t xml:space="preserve">Variables independientes:</w:t>
      </w:r>
      <w:r w:rsidDel="00000000" w:rsidR="00000000" w:rsidRPr="00000000">
        <w:rPr>
          <w:rtl w:val="0"/>
        </w:rPr>
      </w:r>
    </w:p>
    <w:p w:rsidR="00000000" w:rsidDel="00000000" w:rsidP="00000000" w:rsidRDefault="00000000" w:rsidRPr="00000000" w14:paraId="0000003A">
      <w:pPr>
        <w:numPr>
          <w:ilvl w:val="1"/>
          <w:numId w:val="1"/>
        </w:numPr>
        <w:spacing w:line="360" w:lineRule="auto"/>
        <w:ind w:left="1440" w:hanging="360"/>
        <w:rPr/>
      </w:pPr>
      <w:r w:rsidDel="00000000" w:rsidR="00000000" w:rsidRPr="00000000">
        <w:rPr>
          <w:i w:val="1"/>
          <w:iCs w:val="1"/>
          <w:rtl w:val="0"/>
        </w:rPr>
        <w:t xml:space="preserve">Actividad macroeconómica:</w:t>
      </w:r>
      <w:r w:rsidDel="00000000" w:rsidR="00000000" w:rsidRPr="00000000">
        <w:rPr>
          <w:rtl w:val="0"/>
        </w:rPr>
        <w:t xml:space="preserve"> Crecimiento Económico (variación anual del PBI real).</w:t>
      </w:r>
    </w:p>
    <w:p w:rsidR="00000000" w:rsidDel="00000000" w:rsidP="00000000" w:rsidRDefault="00000000" w:rsidRPr="00000000" w14:paraId="0000003B">
      <w:pPr>
        <w:numPr>
          <w:ilvl w:val="1"/>
          <w:numId w:val="1"/>
        </w:numPr>
        <w:spacing w:line="360" w:lineRule="auto"/>
        <w:ind w:left="1440" w:hanging="360"/>
        <w:rPr/>
      </w:pPr>
      <w:r w:rsidDel="00000000" w:rsidR="00000000" w:rsidRPr="00000000">
        <w:rPr>
          <w:i w:val="1"/>
          <w:iCs w:val="1"/>
          <w:rtl w:val="0"/>
        </w:rPr>
        <w:t xml:space="preserve">Política fiscal:</w:t>
      </w:r>
      <w:r w:rsidDel="00000000" w:rsidR="00000000" w:rsidRPr="00000000">
        <w:rPr>
          <w:rtl w:val="0"/>
        </w:rPr>
        <w:t xml:space="preserve"> Desempeño Fiscal (resultado primario como porcentaje del PBI).</w:t>
      </w:r>
    </w:p>
    <w:p w:rsidR="00000000" w:rsidDel="00000000" w:rsidP="00000000" w:rsidRDefault="00000000" w:rsidRPr="00000000" w14:paraId="0000003C">
      <w:pPr>
        <w:numPr>
          <w:ilvl w:val="1"/>
          <w:numId w:val="1"/>
        </w:numPr>
        <w:spacing w:after="240" w:line="360" w:lineRule="auto"/>
        <w:ind w:left="1440" w:hanging="360"/>
        <w:rPr/>
      </w:pPr>
      <w:r w:rsidDel="00000000" w:rsidR="00000000" w:rsidRPr="00000000">
        <w:rPr>
          <w:i w:val="1"/>
          <w:iCs w:val="1"/>
          <w:rtl w:val="0"/>
        </w:rPr>
        <w:t xml:space="preserve">Contexto externo:</w:t>
      </w:r>
      <w:r w:rsidDel="00000000" w:rsidR="00000000" w:rsidRPr="00000000">
        <w:rPr>
          <w:rtl w:val="0"/>
        </w:rPr>
        <w:t xml:space="preserve"> Tipo de Cambio Real y porcentaje de deuda en moneda extranjera.</w:t>
      </w:r>
    </w:p>
    <w:p w:rsidR="00000000" w:rsidDel="00000000" w:rsidP="00000000" w:rsidRDefault="00000000" w:rsidRPr="00000000" w14:paraId="0000003D">
      <w:pPr>
        <w:pStyle w:val="Heading3"/>
        <w:spacing w:after="80" w:before="280" w:line="360" w:lineRule="auto"/>
        <w:jc w:val="both"/>
        <w:rPr>
          <w:b w:val="1"/>
          <w:bCs w:val="1"/>
          <w:color w:val="000000"/>
          <w:sz w:val="22"/>
          <w:szCs w:val="22"/>
        </w:rPr>
      </w:pPr>
      <w:bookmarkStart w:colFirst="0" w:colLast="0" w:name="_heading=h.8x1olqjxssvv" w:id="3"/>
      <w:bookmarkEnd w:id="3"/>
      <w:r w:rsidDel="00000000" w:rsidR="00000000" w:rsidRPr="00000000">
        <w:rPr>
          <w:b w:val="1"/>
          <w:bCs w:val="1"/>
          <w:color w:val="000000"/>
          <w:sz w:val="22"/>
          <w:szCs w:val="22"/>
          <w:rtl w:val="0"/>
        </w:rPr>
        <w:t xml:space="preserve">3. Transferencia y beneficios esperados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left="720" w:firstLine="709"/>
        <w:jc w:val="both"/>
        <w:rPr/>
      </w:pPr>
      <w:r w:rsidDel="00000000" w:rsidR="00000000" w:rsidRPr="00000000">
        <w:rPr>
          <w:rtl w:val="0"/>
        </w:rPr>
        <w:t xml:space="preserve">El conocimiento generado aporta al debate económico bajo tres dimensiones:</w:t>
      </w:r>
    </w:p>
    <w:p w:rsidR="00000000" w:rsidDel="00000000" w:rsidP="00000000" w:rsidRDefault="00000000" w:rsidRPr="00000000" w14:paraId="0000003F">
      <w:pPr>
        <w:numPr>
          <w:ilvl w:val="0"/>
          <w:numId w:val="2"/>
        </w:numPr>
        <w:spacing w:before="240" w:line="360" w:lineRule="auto"/>
        <w:ind w:left="720" w:hanging="360"/>
        <w:rPr/>
      </w:pPr>
      <w:r w:rsidDel="00000000" w:rsidR="00000000" w:rsidRPr="00000000">
        <w:rPr>
          <w:b w:val="1"/>
          <w:bCs w:val="1"/>
          <w:rtl w:val="0"/>
        </w:rPr>
        <w:t xml:space="preserve">Sector Público:</w:t>
      </w:r>
      <w:r w:rsidDel="00000000" w:rsidR="00000000" w:rsidRPr="00000000">
        <w:rPr>
          <w:rtl w:val="0"/>
        </w:rPr>
        <w:t xml:space="preserve"> Proporciona un diagnóstico independiente sobre la capacidad de repago estatal, sirviendo como insumo para el diseño de políticas fiscales que mitiguen riesgos de sostenibilidad post-2025.</w:t>
      </w:r>
    </w:p>
    <w:p w:rsidR="00000000" w:rsidDel="00000000" w:rsidP="00000000" w:rsidRDefault="00000000" w:rsidRPr="00000000" w14:paraId="00000040">
      <w:pPr>
        <w:numPr>
          <w:ilvl w:val="0"/>
          <w:numId w:val="2"/>
        </w:numPr>
        <w:spacing w:line="360" w:lineRule="auto"/>
        <w:ind w:left="720" w:hanging="360"/>
        <w:rPr/>
      </w:pPr>
      <w:r w:rsidDel="00000000" w:rsidR="00000000" w:rsidRPr="00000000">
        <w:rPr>
          <w:b w:val="1"/>
          <w:bCs w:val="1"/>
          <w:rtl w:val="0"/>
        </w:rPr>
        <w:t xml:space="preserve">Sector Financiero y Académico:</w:t>
      </w:r>
      <w:r w:rsidDel="00000000" w:rsidR="00000000" w:rsidRPr="00000000">
        <w:rPr>
          <w:rtl w:val="0"/>
        </w:rPr>
        <w:t xml:space="preserve"> Facilita a analistas e inversores una sistematización histórica (2004-2025) que integra el impacto del riesgo soberano y las dinámicas cambiarias en la trayectoria de la deuda.</w:t>
      </w:r>
    </w:p>
    <w:p w:rsidR="00000000" w:rsidDel="00000000" w:rsidP="00000000" w:rsidRDefault="00000000" w:rsidRPr="00000000" w14:paraId="00000041">
      <w:pPr>
        <w:numPr>
          <w:ilvl w:val="0"/>
          <w:numId w:val="2"/>
        </w:numPr>
        <w:spacing w:after="240" w:line="360" w:lineRule="auto"/>
        <w:ind w:left="720" w:hanging="360"/>
        <w:rPr/>
      </w:pPr>
      <w:r w:rsidDel="00000000" w:rsidR="00000000" w:rsidRPr="00000000">
        <w:rPr>
          <w:b w:val="1"/>
          <w:bCs w:val="1"/>
          <w:rtl w:val="0"/>
        </w:rPr>
        <w:t xml:space="preserve">Debate Social:</w:t>
      </w:r>
      <w:r w:rsidDel="00000000" w:rsidR="00000000" w:rsidRPr="00000000">
        <w:rPr>
          <w:rtl w:val="0"/>
        </w:rPr>
        <w:t xml:space="preserve"> Aporta claridad analítica sobre los componentes de la solvencia pública, transformando datos técnicos en información accesible para la comprensión de las restricciones presupuestarias del Estado.</w:t>
      </w:r>
    </w:p>
    <w:p w:rsidR="00000000" w:rsidDel="00000000" w:rsidP="00000000" w:rsidRDefault="00000000" w:rsidRPr="00000000" w14:paraId="00000042">
      <w:pPr>
        <w:pStyle w:val="Heading3"/>
        <w:spacing w:after="80" w:before="280" w:line="360" w:lineRule="auto"/>
        <w:jc w:val="both"/>
        <w:rPr>
          <w:rFonts w:ascii="Arial" w:cs="Arial" w:eastAsia="Arial" w:hAnsi="Arial"/>
          <w:b w:val="1"/>
          <w:bCs w:val="1"/>
          <w:color w:val="000000"/>
          <w:sz w:val="22"/>
          <w:szCs w:val="22"/>
        </w:rPr>
      </w:pPr>
      <w:bookmarkStart w:colFirst="0" w:colLast="0" w:name="_heading=h.c847bkw5etny" w:id="4"/>
      <w:bookmarkEnd w:id="4"/>
      <w:r w:rsidDel="00000000" w:rsidR="00000000" w:rsidRPr="00000000">
        <w:rPr>
          <w:rFonts w:ascii="Arial" w:cs="Arial" w:eastAsia="Arial" w:hAnsi="Arial"/>
          <w:b w:val="1"/>
          <w:bCs w:val="1"/>
          <w:color w:val="000000"/>
          <w:sz w:val="22"/>
          <w:szCs w:val="22"/>
          <w:rtl w:val="0"/>
        </w:rPr>
        <w:t xml:space="preserve">4. </w:t>
      </w:r>
      <w:r w:rsidDel="00000000" w:rsidR="00000000" w:rsidRPr="00000000">
        <w:rPr>
          <w:b w:val="1"/>
          <w:bCs w:val="1"/>
          <w:color w:val="000000"/>
          <w:sz w:val="22"/>
          <w:szCs w:val="22"/>
          <w:rtl w:val="0"/>
        </w:rPr>
        <w:t xml:space="preserve">Cronograma</w:t>
      </w:r>
      <w:r w:rsidDel="00000000" w:rsidR="00000000" w:rsidRPr="00000000">
        <w:rPr>
          <w:rFonts w:ascii="Arial" w:cs="Arial" w:eastAsia="Arial" w:hAnsi="Arial"/>
          <w:b w:val="1"/>
          <w:bCs w:val="1"/>
          <w:color w:val="000000"/>
          <w:sz w:val="22"/>
          <w:szCs w:val="22"/>
          <w:rtl w:val="0"/>
        </w:rPr>
        <w:t xml:space="preserve"> de actividades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W w:w="906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5"/>
        <w:gridCol w:w="669"/>
        <w:gridCol w:w="678"/>
        <w:gridCol w:w="628"/>
        <w:gridCol w:w="808"/>
        <w:gridCol w:w="808"/>
        <w:gridCol w:w="808"/>
        <w:gridCol w:w="808"/>
        <w:gridCol w:w="808"/>
        <w:tblGridChange w:id="0">
          <w:tblGrid>
            <w:gridCol w:w="3055"/>
            <w:gridCol w:w="669"/>
            <w:gridCol w:w="678"/>
            <w:gridCol w:w="628"/>
            <w:gridCol w:w="808"/>
            <w:gridCol w:w="808"/>
            <w:gridCol w:w="808"/>
            <w:gridCol w:w="808"/>
            <w:gridCol w:w="808"/>
          </w:tblGrid>
        </w:tblGridChange>
      </w:tblGrid>
      <w:tr>
        <w:trPr>
          <w:cantSplit w:val="0"/>
          <w:trHeight w:val="11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7">
            <w:pPr>
              <w:pStyle w:val="Heading3"/>
              <w:spacing w:after="80" w:before="280" w:line="360" w:lineRule="auto"/>
              <w:jc w:val="both"/>
              <w:rPr>
                <w:b w:val="1"/>
                <w:bCs w:val="1"/>
                <w:color w:val="000000"/>
                <w:sz w:val="26"/>
                <w:szCs w:val="26"/>
              </w:rPr>
            </w:pPr>
            <w:bookmarkStart w:colFirst="0" w:colLast="0" w:name="_heading=h.qdcnbbqhshb3" w:id="5"/>
            <w:bookmarkEnd w:id="5"/>
            <w:r w:rsidDel="00000000" w:rsidR="00000000" w:rsidRPr="00000000">
              <w:rPr>
                <w:b w:val="1"/>
                <w:bCs w:val="1"/>
                <w:color w:val="000000"/>
                <w:sz w:val="26"/>
                <w:szCs w:val="26"/>
                <w:rtl w:val="0"/>
              </w:rPr>
              <w:t xml:space="preserve">Etapa / Actividad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8">
            <w:pPr>
              <w:pStyle w:val="Heading3"/>
              <w:spacing w:after="80" w:before="280" w:line="360" w:lineRule="auto"/>
              <w:jc w:val="both"/>
              <w:rPr>
                <w:b w:val="1"/>
                <w:bCs w:val="1"/>
                <w:color w:val="000000"/>
                <w:sz w:val="26"/>
                <w:szCs w:val="26"/>
              </w:rPr>
            </w:pPr>
            <w:bookmarkStart w:colFirst="0" w:colLast="0" w:name="_heading=h.yn0qtdd8wrg4" w:id="6"/>
            <w:bookmarkEnd w:id="6"/>
            <w:r w:rsidDel="00000000" w:rsidR="00000000" w:rsidRPr="00000000">
              <w:rPr>
                <w:b w:val="1"/>
                <w:bCs w:val="1"/>
                <w:color w:val="000000"/>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9">
            <w:pPr>
              <w:pStyle w:val="Heading3"/>
              <w:spacing w:after="80" w:before="280" w:line="360" w:lineRule="auto"/>
              <w:jc w:val="both"/>
              <w:rPr>
                <w:b w:val="1"/>
                <w:bCs w:val="1"/>
                <w:color w:val="000000"/>
                <w:sz w:val="26"/>
                <w:szCs w:val="26"/>
              </w:rPr>
            </w:pPr>
            <w:bookmarkStart w:colFirst="0" w:colLast="0" w:name="_heading=h.qvf5whvmujf9" w:id="7"/>
            <w:bookmarkEnd w:id="7"/>
            <w:r w:rsidDel="00000000" w:rsidR="00000000" w:rsidRPr="00000000">
              <w:rPr>
                <w:b w:val="1"/>
                <w:bCs w:val="1"/>
                <w:color w:val="000000"/>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A">
            <w:pPr>
              <w:pStyle w:val="Heading3"/>
              <w:spacing w:after="80" w:before="280" w:line="360" w:lineRule="auto"/>
              <w:jc w:val="both"/>
              <w:rPr>
                <w:b w:val="1"/>
                <w:bCs w:val="1"/>
                <w:color w:val="000000"/>
                <w:sz w:val="26"/>
                <w:szCs w:val="26"/>
              </w:rPr>
            </w:pPr>
            <w:bookmarkStart w:colFirst="0" w:colLast="0" w:name="_heading=h.5ckddrbvogzh" w:id="8"/>
            <w:bookmarkEnd w:id="8"/>
            <w:r w:rsidDel="00000000" w:rsidR="00000000" w:rsidRPr="00000000">
              <w:rPr>
                <w:b w:val="1"/>
                <w:bCs w:val="1"/>
                <w:color w:val="000000"/>
                <w:sz w:val="26"/>
                <w:szCs w:val="26"/>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B">
            <w:pPr>
              <w:pStyle w:val="Heading3"/>
              <w:spacing w:after="80" w:before="280" w:line="360" w:lineRule="auto"/>
              <w:jc w:val="both"/>
              <w:rPr>
                <w:b w:val="1"/>
                <w:bCs w:val="1"/>
                <w:color w:val="000000"/>
                <w:sz w:val="26"/>
                <w:szCs w:val="26"/>
              </w:rPr>
            </w:pPr>
            <w:bookmarkStart w:colFirst="0" w:colLast="0" w:name="_heading=h.6f8xbxrww94z" w:id="9"/>
            <w:bookmarkEnd w:id="9"/>
            <w:r w:rsidDel="00000000" w:rsidR="00000000" w:rsidRPr="00000000">
              <w:rPr>
                <w:b w:val="1"/>
                <w:bCs w:val="1"/>
                <w:color w:val="000000"/>
                <w:sz w:val="26"/>
                <w:szCs w:val="26"/>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C">
            <w:pPr>
              <w:pStyle w:val="Heading3"/>
              <w:spacing w:after="80" w:before="280" w:line="360" w:lineRule="auto"/>
              <w:jc w:val="both"/>
              <w:rPr>
                <w:b w:val="1"/>
                <w:bCs w:val="1"/>
                <w:color w:val="000000"/>
                <w:sz w:val="26"/>
                <w:szCs w:val="26"/>
              </w:rPr>
            </w:pPr>
            <w:bookmarkStart w:colFirst="0" w:colLast="0" w:name="_heading=h.dup12" w:id="10"/>
            <w:bookmarkEnd w:id="10"/>
            <w:r w:rsidDel="00000000" w:rsidR="00000000" w:rsidRPr="00000000">
              <w:rPr>
                <w:b w:val="1"/>
                <w:bCs w:val="1"/>
                <w:color w:val="000000"/>
                <w:sz w:val="26"/>
                <w:szCs w:val="26"/>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D">
            <w:pPr>
              <w:pStyle w:val="Heading3"/>
              <w:spacing w:after="80" w:before="280" w:line="360" w:lineRule="auto"/>
              <w:jc w:val="both"/>
              <w:rPr>
                <w:b w:val="1"/>
                <w:bCs w:val="1"/>
                <w:color w:val="000000"/>
                <w:sz w:val="26"/>
                <w:szCs w:val="26"/>
              </w:rPr>
            </w:pPr>
            <w:bookmarkStart w:colFirst="0" w:colLast="0" w:name="_heading=h.dup13" w:id="11"/>
            <w:bookmarkEnd w:id="11"/>
            <w:r w:rsidDel="00000000" w:rsidR="00000000" w:rsidRPr="00000000">
              <w:rPr>
                <w:b w:val="1"/>
                <w:bCs w:val="1"/>
                <w:color w:val="000000"/>
                <w:sz w:val="26"/>
                <w:szCs w:val="26"/>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E">
            <w:pPr>
              <w:pStyle w:val="Heading3"/>
              <w:spacing w:after="80" w:before="280" w:line="360" w:lineRule="auto"/>
              <w:jc w:val="both"/>
              <w:rPr>
                <w:b w:val="1"/>
                <w:bCs w:val="1"/>
                <w:color w:val="000000"/>
                <w:sz w:val="26"/>
                <w:szCs w:val="26"/>
              </w:rPr>
            </w:pPr>
            <w:bookmarkStart w:colFirst="0" w:colLast="0" w:name="_heading=h.dup14" w:id="12"/>
            <w:bookmarkEnd w:id="12"/>
            <w:r w:rsidDel="00000000" w:rsidR="00000000" w:rsidRPr="00000000">
              <w:rPr>
                <w:b w:val="1"/>
                <w:bCs w:val="1"/>
                <w:color w:val="000000"/>
                <w:sz w:val="26"/>
                <w:szCs w:val="26"/>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F">
            <w:pPr>
              <w:pStyle w:val="Heading3"/>
              <w:spacing w:after="80" w:before="280" w:line="360" w:lineRule="auto"/>
              <w:jc w:val="both"/>
              <w:rPr>
                <w:b w:val="1"/>
                <w:bCs w:val="1"/>
                <w:color w:val="000000"/>
                <w:sz w:val="26"/>
                <w:szCs w:val="26"/>
              </w:rPr>
            </w:pPr>
            <w:bookmarkStart w:colFirst="0" w:colLast="0" w:name="_heading=h.dup15" w:id="13"/>
            <w:bookmarkEnd w:id="13"/>
            <w:r w:rsidDel="00000000" w:rsidR="00000000" w:rsidRPr="00000000">
              <w:rPr>
                <w:b w:val="1"/>
                <w:bCs w:val="1"/>
                <w:color w:val="000000"/>
                <w:sz w:val="26"/>
                <w:szCs w:val="26"/>
                <w:rtl w:val="0"/>
              </w:rPr>
              <w:t xml:space="preserve">8</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0">
            <w:pPr>
              <w:spacing w:after="480" w:line="276" w:lineRule="auto"/>
              <w:rPr/>
            </w:pPr>
            <w:r w:rsidDel="00000000" w:rsidR="00000000" w:rsidRPr="00000000">
              <w:rPr>
                <w:rtl w:val="0"/>
              </w:rPr>
              <w:t xml:space="preserve">Recolección de datos secundarios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1">
            <w:pP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2">
            <w:pP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3">
            <w:pP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4">
            <w:pPr>
              <w:spacing w:after="480" w:line="276" w:lineRule="auto"/>
              <w:ind w:left="720" w:firstLine="0"/>
              <w:rPr>
                <w:rFonts w:ascii="Arial" w:cs="Arial" w:eastAsia="Arial" w:hAnsi="Arial"/>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5">
            <w:pPr>
              <w:spacing w:after="480" w:line="276" w:lineRule="auto"/>
              <w:ind w:left="720" w:firstLine="0"/>
              <w:rPr>
                <w:rFonts w:ascii="Arial" w:cs="Arial" w:eastAsia="Arial" w:hAnsi="Arial"/>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6">
            <w:pPr>
              <w:spacing w:after="480" w:line="276" w:lineRule="auto"/>
              <w:ind w:left="720" w:firstLine="0"/>
              <w:rPr>
                <w:rFonts w:ascii="Arial" w:cs="Arial" w:eastAsia="Arial" w:hAnsi="Arial"/>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7">
            <w:pPr>
              <w:spacing w:after="480" w:line="276" w:lineRule="auto"/>
              <w:ind w:left="720" w:firstLine="0"/>
              <w:rPr>
                <w:rFonts w:ascii="Arial" w:cs="Arial" w:eastAsia="Arial" w:hAnsi="Arial"/>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8">
            <w:pPr>
              <w:spacing w:after="480" w:line="276" w:lineRule="auto"/>
              <w:ind w:left="720" w:firstLine="0"/>
              <w:rPr>
                <w:rFonts w:ascii="Arial" w:cs="Arial" w:eastAsia="Arial" w:hAnsi="Arial"/>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Depuración y unificación de series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Aplicación de modelo econométrico (estimación de la Función de Reacción Fiscal sobre 2004-2025)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Proyección de escenarios y pruebas de estrés (DSA post-2025)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Análisis de resultados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Redacción de conclusiones y finalización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480" w:line="276" w:lineRule="auto"/>
              <w:ind w:left="720" w:firstLine="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480" w:line="276" w:lineRule="auto"/>
              <w:rPr/>
            </w:pPr>
            <w:r w:rsidDel="00000000" w:rsidR="00000000" w:rsidRPr="00000000">
              <w:rPr>
                <w:rtl w:val="0"/>
              </w:rPr>
              <w:t xml:space="preserve">X</w:t>
            </w:r>
          </w:p>
        </w:tc>
      </w:tr>
    </w:tbl>
    <w:p w:rsidR="00000000" w:rsidDel="00000000" w:rsidP="00000000" w:rsidRDefault="00000000" w:rsidRPr="00000000" w14:paraId="00000086">
      <w:pPr>
        <w:pStyle w:val="Heading3"/>
        <w:spacing w:after="80" w:before="280" w:line="360" w:lineRule="auto"/>
        <w:jc w:val="both"/>
        <w:rPr>
          <w:b w:val="1"/>
          <w:bCs w:val="1"/>
          <w:color w:val="000000"/>
          <w:sz w:val="22"/>
          <w:szCs w:val="22"/>
        </w:rPr>
      </w:pPr>
      <w:bookmarkStart w:colFirst="0" w:colLast="0" w:name="_heading=h.v44rzpc0nd8b" w:id="14"/>
      <w:bookmarkEnd w:id="14"/>
      <w:r w:rsidDel="00000000" w:rsidR="00000000" w:rsidRPr="00000000">
        <w:rPr>
          <w:b w:val="1"/>
          <w:bCs w:val="1"/>
          <w:color w:val="000000"/>
          <w:sz w:val="22"/>
          <w:szCs w:val="22"/>
          <w:rtl w:val="0"/>
        </w:rPr>
        <w:t xml:space="preserve">5.Referencias bibliográficas</w:t>
      </w:r>
    </w:p>
    <w:p w:rsidR="00000000" w:rsidDel="00000000" w:rsidP="00000000" w:rsidRDefault="00000000" w:rsidRPr="00000000" w14:paraId="00000087">
      <w:pPr>
        <w:spacing w:after="226" w:line="360" w:lineRule="auto"/>
        <w:ind w:left="709" w:hanging="709"/>
        <w:jc w:val="both"/>
        <w:rPr/>
      </w:pPr>
      <w:r w:rsidDel="00000000" w:rsidR="00000000" w:rsidRPr="00000000">
        <w:rPr>
          <w:rtl w:val="0"/>
        </w:rPr>
        <w:t xml:space="preserve">Aruguete, E. (2021). Crisis de balanza de pagos y recuperación de la sostenibilidad de la deuda pública en la Argentina (2016-2020). </w:t>
      </w:r>
      <w:r w:rsidDel="00000000" w:rsidR="00000000" w:rsidRPr="00000000">
        <w:rPr>
          <w:i w:val="1"/>
          <w:iCs w:val="1"/>
          <w:rtl w:val="0"/>
        </w:rPr>
        <w:t xml:space="preserve">Revista Estado y Políticas Públicas</w:t>
      </w:r>
      <w:r w:rsidDel="00000000" w:rsidR="00000000" w:rsidRPr="00000000">
        <w:rPr>
          <w:rtl w:val="0"/>
        </w:rPr>
        <w:t xml:space="preserve">, (16), 101–123.</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26" w:line="360" w:lineRule="auto"/>
        <w:ind w:left="709" w:hanging="709"/>
        <w:jc w:val="both"/>
        <w:rPr/>
      </w:pPr>
      <w:r w:rsidDel="00000000" w:rsidR="00000000" w:rsidRPr="00000000">
        <w:rPr>
          <w:rtl w:val="0"/>
        </w:rPr>
        <w:t xml:space="preserve">Bohn, H. (1998). The Behavior of U.S. Public Debt and Deficits. </w:t>
      </w:r>
      <w:r w:rsidDel="00000000" w:rsidR="00000000" w:rsidRPr="00000000">
        <w:rPr>
          <w:i w:val="1"/>
          <w:iCs w:val="1"/>
          <w:rtl w:val="0"/>
        </w:rPr>
        <w:t xml:space="preserve">The Quarterly Journal of Economics</w:t>
      </w:r>
      <w:r w:rsidDel="00000000" w:rsidR="00000000" w:rsidRPr="00000000">
        <w:rPr>
          <w:rtl w:val="0"/>
        </w:rPr>
        <w:t xml:space="preserve">, 113(3), 949–963.</w:t>
      </w:r>
    </w:p>
    <w:p w:rsidR="00000000" w:rsidDel="00000000" w:rsidP="00000000" w:rsidRDefault="00000000" w:rsidRPr="00000000" w14:paraId="00000089">
      <w:pPr>
        <w:spacing w:after="226" w:line="360" w:lineRule="auto"/>
        <w:ind w:left="709" w:hanging="709"/>
        <w:jc w:val="both"/>
        <w:rPr/>
      </w:pPr>
      <w:r w:rsidDel="00000000" w:rsidR="00000000" w:rsidRPr="00000000">
        <w:rPr>
          <w:rtl w:val="0"/>
        </w:rPr>
        <w:t xml:space="preserve">Cantamutto, F. J., y Féliz, M. (2021). Argentina entre la sostenibilidad de la deuda y la vida. </w:t>
      </w:r>
      <w:r w:rsidDel="00000000" w:rsidR="00000000" w:rsidRPr="00000000">
        <w:rPr>
          <w:i w:val="1"/>
          <w:iCs w:val="1"/>
          <w:rtl w:val="0"/>
        </w:rPr>
        <w:t xml:space="preserve">Revista nuestramérica</w:t>
      </w:r>
      <w:r w:rsidDel="00000000" w:rsidR="00000000" w:rsidRPr="00000000">
        <w:rPr>
          <w:rtl w:val="0"/>
        </w:rPr>
        <w:t xml:space="preserve">, 7(17), e6167845. https://doi.org/10.5281/zenodo.6167845</w:t>
      </w:r>
    </w:p>
    <w:p w:rsidR="00000000" w:rsidDel="00000000" w:rsidP="00000000" w:rsidRDefault="00000000" w:rsidRPr="00000000" w14:paraId="0000008A">
      <w:pPr>
        <w:spacing w:after="226" w:line="360" w:lineRule="auto"/>
        <w:ind w:left="709" w:hanging="709"/>
        <w:jc w:val="both"/>
        <w:rPr/>
      </w:pPr>
      <w:r w:rsidDel="00000000" w:rsidR="00000000" w:rsidRPr="00000000">
        <w:rPr>
          <w:rtl w:val="0"/>
        </w:rPr>
        <w:t xml:space="preserve">Cantamutto, F., Lobato, J., Rodríguez Enríquez, C., y Féliz, M. (2024). Sustentabilidad de la deuda y derechos humanos desde la perspectiva de la sostenibilidad de la vida. En J. P. Bohoslavsky y L. Clérico (Eds.), </w:t>
      </w:r>
      <w:r w:rsidDel="00000000" w:rsidR="00000000" w:rsidRPr="00000000">
        <w:rPr>
          <w:i w:val="1"/>
          <w:iCs w:val="1"/>
          <w:rtl w:val="0"/>
        </w:rPr>
        <w:t xml:space="preserve">Deuda y derechos humanos. Claves desde el sistema interamericano</w:t>
      </w:r>
      <w:r w:rsidDel="00000000" w:rsidR="00000000" w:rsidRPr="00000000">
        <w:rPr>
          <w:rtl w:val="0"/>
        </w:rPr>
        <w:t xml:space="preserve"> (pp. 170–195). EDULP.</w:t>
      </w:r>
    </w:p>
    <w:p w:rsidR="00000000" w:rsidDel="00000000" w:rsidP="00000000" w:rsidRDefault="00000000" w:rsidRPr="00000000" w14:paraId="0000008B">
      <w:pPr>
        <w:spacing w:after="226" w:line="360" w:lineRule="auto"/>
        <w:ind w:left="709" w:hanging="709"/>
        <w:jc w:val="both"/>
        <w:rPr/>
      </w:pPr>
      <w:r w:rsidDel="00000000" w:rsidR="00000000" w:rsidRPr="00000000">
        <w:rPr>
          <w:rtl w:val="0"/>
        </w:rPr>
        <w:t xml:space="preserve">Cusumano, F. (2021). El Fondo Monetario Internacional en la lucha climática. </w:t>
      </w:r>
      <w:r w:rsidDel="00000000" w:rsidR="00000000" w:rsidRPr="00000000">
        <w:rPr>
          <w:i w:val="1"/>
          <w:iCs w:val="1"/>
          <w:rtl w:val="0"/>
        </w:rPr>
        <w:t xml:space="preserve">Análisis CIPEI</w:t>
      </w:r>
      <w:r w:rsidDel="00000000" w:rsidR="00000000" w:rsidRPr="00000000">
        <w:rPr>
          <w:rtl w:val="0"/>
        </w:rPr>
        <w:t xml:space="preserve">, Edición Especial, 20–24.</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26" w:line="360" w:lineRule="auto"/>
        <w:ind w:left="709" w:hanging="709"/>
        <w:jc w:val="both"/>
        <w:rPr/>
      </w:pPr>
      <w:r w:rsidDel="00000000" w:rsidR="00000000" w:rsidRPr="00000000">
        <w:rPr>
          <w:rtl w:val="0"/>
        </w:rPr>
        <w:t xml:space="preserve">Domar, E. D. (1944). The "Burden of the Debt" and the National Income. </w:t>
      </w:r>
      <w:r w:rsidDel="00000000" w:rsidR="00000000" w:rsidRPr="00000000">
        <w:rPr>
          <w:i w:val="1"/>
          <w:iCs w:val="1"/>
          <w:rtl w:val="0"/>
        </w:rPr>
        <w:t xml:space="preserve">The American Economic Review</w:t>
      </w:r>
      <w:r w:rsidDel="00000000" w:rsidR="00000000" w:rsidRPr="00000000">
        <w:rPr>
          <w:rtl w:val="0"/>
        </w:rPr>
        <w:t xml:space="preserve">, 34(4), 798–827.</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26" w:line="360" w:lineRule="auto"/>
        <w:ind w:left="709" w:hanging="709"/>
        <w:jc w:val="both"/>
        <w:rPr/>
      </w:pPr>
      <w:r w:rsidDel="00000000" w:rsidR="00000000" w:rsidRPr="00000000">
        <w:rPr>
          <w:rtl w:val="0"/>
        </w:rPr>
        <w:t xml:space="preserve">Fisher, I. (1930). </w:t>
      </w:r>
      <w:r w:rsidDel="00000000" w:rsidR="00000000" w:rsidRPr="00000000">
        <w:rPr>
          <w:i w:val="1"/>
          <w:iCs w:val="1"/>
          <w:rtl w:val="0"/>
        </w:rPr>
        <w:t xml:space="preserve">The Theory of Interest</w:t>
      </w:r>
      <w:r w:rsidDel="00000000" w:rsidR="00000000" w:rsidRPr="00000000">
        <w:rPr>
          <w:rtl w:val="0"/>
        </w:rPr>
        <w:t xml:space="preserve">. Macmillan. </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26" w:line="360" w:lineRule="auto"/>
        <w:ind w:left="709" w:hanging="709"/>
        <w:jc w:val="both"/>
        <w:rPr/>
      </w:pPr>
      <w:r w:rsidDel="00000000" w:rsidR="00000000" w:rsidRPr="00000000">
        <w:rPr>
          <w:rtl w:val="0"/>
        </w:rPr>
        <w:t xml:space="preserve">Ghosh, A. R., Kim, J. I., Mendoza, E. G., Ostry, J. D., y Qureshi, M. S. (2013). Fiscal Fatigue, Fiscal Space and Debt Sustainability in Advanced Economies. </w:t>
      </w:r>
      <w:r w:rsidDel="00000000" w:rsidR="00000000" w:rsidRPr="00000000">
        <w:rPr>
          <w:i w:val="1"/>
          <w:iCs w:val="1"/>
          <w:rtl w:val="0"/>
        </w:rPr>
        <w:t xml:space="preserve">The Economic Journal</w:t>
      </w:r>
      <w:r w:rsidDel="00000000" w:rsidR="00000000" w:rsidRPr="00000000">
        <w:rPr>
          <w:rtl w:val="0"/>
        </w:rPr>
        <w:t xml:space="preserve">, 123(566), F4–F30.</w:t>
      </w:r>
    </w:p>
    <w:p w:rsidR="00000000" w:rsidDel="00000000" w:rsidP="00000000" w:rsidRDefault="00000000" w:rsidRPr="00000000" w14:paraId="0000008F">
      <w:pPr>
        <w:spacing w:after="226" w:line="360" w:lineRule="auto"/>
        <w:ind w:left="709" w:hanging="709"/>
        <w:jc w:val="both"/>
        <w:rPr/>
      </w:pPr>
      <w:r w:rsidDel="00000000" w:rsidR="00000000" w:rsidRPr="00000000">
        <w:rPr>
          <w:rtl w:val="0"/>
        </w:rPr>
        <w:t xml:space="preserve">Lagorio, F. (2021). ¿Qué rol tienen los condicionantes domésticos e internacionales en las negociaciones entre el gobierno de Alberto Fernández y el Fondo Monetario Internacional? </w:t>
      </w:r>
      <w:r w:rsidDel="00000000" w:rsidR="00000000" w:rsidRPr="00000000">
        <w:rPr>
          <w:i w:val="1"/>
          <w:iCs w:val="1"/>
          <w:rtl w:val="0"/>
        </w:rPr>
        <w:t xml:space="preserve">Análisis CIPEI</w:t>
      </w:r>
      <w:r w:rsidDel="00000000" w:rsidR="00000000" w:rsidRPr="00000000">
        <w:rPr>
          <w:rtl w:val="0"/>
        </w:rPr>
        <w:t xml:space="preserve">, Edición Especial, 5–10.</w:t>
      </w:r>
    </w:p>
    <w:p w:rsidR="00000000" w:rsidDel="00000000" w:rsidP="00000000" w:rsidRDefault="00000000" w:rsidRPr="00000000" w14:paraId="00000090">
      <w:pPr>
        <w:spacing w:after="226" w:line="360" w:lineRule="auto"/>
        <w:ind w:left="709" w:hanging="709"/>
        <w:jc w:val="both"/>
        <w:rPr/>
      </w:pPr>
      <w:r w:rsidDel="00000000" w:rsidR="00000000" w:rsidRPr="00000000">
        <w:rPr>
          <w:rtl w:val="0"/>
        </w:rPr>
        <w:t xml:space="preserve">Rodríguez, A. (2023). Financiamiento y sostenibilidad de la deuda pública: el caso de la economía argentina (2001-2022). </w:t>
      </w:r>
      <w:r w:rsidDel="00000000" w:rsidR="00000000" w:rsidRPr="00000000">
        <w:rPr>
          <w:i w:val="1"/>
          <w:iCs w:val="1"/>
          <w:rtl w:val="0"/>
        </w:rPr>
        <w:t xml:space="preserve">Ciencias Económicas</w:t>
      </w:r>
      <w:r w:rsidDel="00000000" w:rsidR="00000000" w:rsidRPr="00000000">
        <w:rPr>
          <w:rtl w:val="0"/>
        </w:rPr>
        <w:t xml:space="preserve">, 2(20). https://doi.org/10.14409/rce.2023.20.e0032</w:t>
      </w:r>
    </w:p>
    <w:p w:rsidR="00000000" w:rsidDel="00000000" w:rsidP="00000000" w:rsidRDefault="00000000" w:rsidRPr="00000000" w14:paraId="00000091">
      <w:pPr>
        <w:spacing w:after="226" w:line="360" w:lineRule="auto"/>
        <w:ind w:left="709" w:hanging="709"/>
        <w:jc w:val="both"/>
        <w:rPr/>
      </w:pPr>
      <w:r w:rsidDel="00000000" w:rsidR="00000000" w:rsidRPr="00000000">
        <w:rPr>
          <w:rtl w:val="0"/>
        </w:rPr>
        <w:t xml:space="preserve">Roldán, V. (2021). </w:t>
      </w:r>
      <w:r w:rsidDel="00000000" w:rsidR="00000000" w:rsidRPr="00000000">
        <w:rPr>
          <w:i w:val="1"/>
          <w:iCs w:val="1"/>
          <w:rtl w:val="0"/>
        </w:rPr>
        <w:t xml:space="preserve">La renegociación por la reestructuración de la deuda soberana argentina con los acreedores privados poseedores de instrumentos bajo jurisdicción extranjera durante 2020</w:t>
      </w:r>
      <w:r w:rsidDel="00000000" w:rsidR="00000000" w:rsidRPr="00000000">
        <w:rPr>
          <w:rtl w:val="0"/>
        </w:rPr>
        <w:t xml:space="preserve"> [Tesina de grado, Universidad Nacional de Rosario].</w:t>
      </w:r>
    </w:p>
    <w:p w:rsidR="00000000" w:rsidDel="00000000" w:rsidP="00000000" w:rsidRDefault="00000000" w:rsidRPr="00000000" w14:paraId="00000092">
      <w:pPr>
        <w:spacing w:after="226" w:line="360" w:lineRule="auto"/>
        <w:ind w:left="709" w:hanging="709"/>
        <w:jc w:val="both"/>
        <w:rPr/>
      </w:pPr>
      <w:r w:rsidDel="00000000" w:rsidR="00000000" w:rsidRPr="00000000">
        <w:rPr>
          <w:rtl w:val="0"/>
        </w:rPr>
        <w:t xml:space="preserve">Sacco, I. (2021). Alivio de la deuda y financiación en contexto de pandemia: ¿Qué pasa con los países de renta media? </w:t>
      </w:r>
      <w:r w:rsidDel="00000000" w:rsidR="00000000" w:rsidRPr="00000000">
        <w:rPr>
          <w:i w:val="1"/>
          <w:iCs w:val="1"/>
          <w:rtl w:val="0"/>
        </w:rPr>
        <w:t xml:space="preserve">Análisis CIPEI</w:t>
      </w:r>
      <w:r w:rsidDel="00000000" w:rsidR="00000000" w:rsidRPr="00000000">
        <w:rPr>
          <w:rtl w:val="0"/>
        </w:rPr>
        <w:t xml:space="preserve">, Edición Especial, 15–19.</w:t>
      </w:r>
    </w:p>
    <w:p w:rsidR="00000000" w:rsidDel="00000000" w:rsidP="00000000" w:rsidRDefault="00000000" w:rsidRPr="00000000" w14:paraId="00000093">
      <w:pPr>
        <w:spacing w:after="226" w:line="360" w:lineRule="auto"/>
        <w:ind w:left="709" w:hanging="709"/>
        <w:jc w:val="both"/>
        <w:rPr/>
      </w:pPr>
      <w:r w:rsidDel="00000000" w:rsidR="00000000" w:rsidRPr="00000000">
        <w:rPr>
          <w:rtl w:val="0"/>
        </w:rPr>
        <w:t xml:space="preserve">Sanches, P. (2019). </w:t>
      </w:r>
      <w:r w:rsidDel="00000000" w:rsidR="00000000" w:rsidRPr="00000000">
        <w:rPr>
          <w:i w:val="1"/>
          <w:iCs w:val="1"/>
          <w:rtl w:val="0"/>
        </w:rPr>
        <w:t xml:space="preserve">Análisis de la sostenibilidad de la deuda soberana argentina. 2019-2023</w:t>
      </w:r>
      <w:r w:rsidDel="00000000" w:rsidR="00000000" w:rsidRPr="00000000">
        <w:rPr>
          <w:rtl w:val="0"/>
        </w:rPr>
        <w:t xml:space="preserve"> [Tesis de maestría, Universidad Torcuato Di Tella].</w:t>
      </w:r>
    </w:p>
    <w:p w:rsidR="00000000" w:rsidDel="00000000" w:rsidP="00000000" w:rsidRDefault="00000000" w:rsidRPr="00000000" w14:paraId="00000094">
      <w:pPr>
        <w:spacing w:after="226" w:line="360" w:lineRule="auto"/>
        <w:jc w:val="both"/>
        <w:rPr/>
      </w:pPr>
      <w:r w:rsidDel="00000000" w:rsidR="00000000" w:rsidRPr="00000000">
        <w:rPr>
          <w:b w:val="1"/>
          <w:bCs w:val="1"/>
          <w:rtl w:val="0"/>
        </w:rPr>
        <w:t xml:space="preserve">Fuentes documentales</w:t>
      </w:r>
      <w:r w:rsidDel="00000000" w:rsidR="00000000" w:rsidRPr="00000000">
        <w:rPr>
          <w:rtl w:val="0"/>
        </w:rPr>
      </w:r>
    </w:p>
    <w:p w:rsidR="00000000" w:rsidDel="00000000" w:rsidP="00000000" w:rsidRDefault="00000000" w:rsidRPr="00000000" w14:paraId="00000095">
      <w:pPr>
        <w:spacing w:after="226" w:line="360" w:lineRule="auto"/>
        <w:ind w:left="709" w:hanging="709"/>
        <w:jc w:val="both"/>
        <w:rPr/>
      </w:pPr>
      <w:r w:rsidDel="00000000" w:rsidR="00000000" w:rsidRPr="00000000">
        <w:rPr>
          <w:rtl w:val="0"/>
        </w:rPr>
        <w:t xml:space="preserve">Libman, E., De la Vega, P., y Zack, G. (2024). </w:t>
      </w:r>
      <w:r w:rsidDel="00000000" w:rsidR="00000000" w:rsidRPr="00000000">
        <w:rPr>
          <w:i w:val="1"/>
          <w:iCs w:val="1"/>
          <w:rtl w:val="0"/>
        </w:rPr>
        <w:t xml:space="preserve">La sostenibilidad de la deuda pública: ¿Por qué es importante recuperar el acceso a los mercados?</w:t>
      </w:r>
      <w:r w:rsidDel="00000000" w:rsidR="00000000" w:rsidRPr="00000000">
        <w:rPr>
          <w:rtl w:val="0"/>
        </w:rPr>
        <w:t xml:space="preserve"> Fundar.</w:t>
      </w:r>
    </w:p>
    <w:sectPr>
      <w:headerReference r:id="rId9" w:type="default"/>
      <w:pgSz w:h="16840" w:w="11907" w:orient="portrait"/>
      <w:pgMar w:bottom="1134" w:top="1701" w:left="1701"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conomicas" w:id="0" w:date="2026-05-08T18:56:00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pondría un objetivo más complejo, como describir o caracterizar</w:t>
      </w:r>
    </w:p>
  </w:comment>
  <w:comment w:author="Economicas" w:id="1" w:date="2026-05-08T19:15:0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7" w15:done="0"/>
  <w15:commentEx w15:paraId="000000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drawing>
        <wp:inline distB="0" distT="0" distL="0" distR="0">
          <wp:extent cx="1573817" cy="51124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73817" cy="51124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uXuTmld/KnQ+yIsM9ZyGcxPpg==">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