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y D13 y el recorte a unas 60 páginas, si todavía hace falta (sección 7).</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quedó abierta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 pendiente de validación del grupo.</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con dos métricas que llevan a veredictos distintos sobre H1b);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Pendiente de verificar con el texto reescrito (sección 6).</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rPr>
          <w:bCs/>
          <w:b/>
        </w:rPr>
        <w:t xml:space="preserve">Decisión del grupo y de Pablo sobre la métrica principal (D16).</w:t>
      </w:r>
      <w:r>
        <w:t xml:space="preserve"> </w:t>
      </w:r>
      <w:r>
        <w:t xml:space="preserve">Es la más importante: cambia el veredicto de H1b y de la condición (ii) de H1a.</w:t>
      </w:r>
    </w:p>
    <w:p>
      <w:pPr>
        <w:numPr>
          <w:ilvl w:val="0"/>
          <w:numId w:val="1006"/>
        </w:numPr>
        <w:pStyle w:val="Compact"/>
      </w:pPr>
      <w:r>
        <w:t xml:space="preserve">Validación de Pablo y del equipo de D1 (deuda federal bruta como especificación principal), de las binarias presidenciales en la especificación principal y de las dos condiciones de H1a.</w:t>
      </w:r>
    </w:p>
    <w:p>
      <w:pPr>
        <w:numPr>
          <w:ilvl w:val="0"/>
          <w:numId w:val="1006"/>
        </w:numPr>
        <w:pStyle w:val="Compact"/>
      </w:pPr>
      <w:r>
        <w:t xml:space="preserve">Validación del grupo de D13 (título).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Corregido, con una decisión pendiente (D16).</w:t>
      </w:r>
      <w:r>
        <w:t xml:space="preserve"> </w:t>
      </w:r>
      <w:r>
        <w:t xml:space="preserve">El código calcula las dos métricas, más la lectura literal del recuadro 3, con las 1.000 réplicas, y la tesis las informa con el mismo peso. Con la definición del FMI: 3,1% [0,0; 6,3] en 2031 y 5,1% [0,0; 10,2] en 2035, de modo que H1b no se respalda; la condición (ii) de H1a tampoco (0,9% con el máximo histórico); H2 se mantiene (+17,1 [0,6; 32,6]). Cuál métrica es la principal lo deciden el grupo y Pablo.</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2026-10-20T12:52:59Z</dcterms:created>
  <dcterms:modified xsi:type="dcterms:W3CDTF">2026-10-20T12:52:59Z</dcterms:modified>
</cp:coreProperties>
</file>

<file path=docProps/custom.xml><?xml version="1.0" encoding="utf-8"?>
<Properties xmlns="http://schemas.openxmlformats.org/officeDocument/2006/custom-properties" xmlns:vt="http://schemas.openxmlformats.org/officeDocument/2006/docPropsVTypes"/>
</file>