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40" w:before="300"/>
      </w:pPr>
      <w:r>
        <w:rPr>
          <w:rFonts w:ascii="Calibri" w:cs="Calibri" w:eastAsia="Calibri" w:hAnsi="Calibri"/>
          <w:b/>
          <w:bCs/>
          <w:sz w:val="27"/>
          <w:szCs w:val="27"/>
        </w:rPr>
        <w:t xml:space="preserve">1. Introducción</w:t>
      </w:r>
    </w:p>
    <w:p>
      <w:pPr>
        <w:spacing w:after="200" w:line="300"/>
        <w:ind w:firstLine="431"/>
        <w:jc w:val="both"/>
      </w:pPr>
      <w:r>
        <w:rPr>
          <w:rFonts w:ascii="Calibri" w:cs="Calibri" w:eastAsia="Calibri" w:hAnsi="Calibri"/>
          <w:i w:val="false"/>
          <w:iCs w:val="false"/>
          <w:sz w:val="22"/>
          <w:szCs w:val="22"/>
        </w:rPr>
        <w:t xml:space="preserve">La historia macroeconómica de América Latina, y en particular de la República Argentina, está atravesada por un patrón recurrente de endeudamiento externo, vulnerabilidad ante interrupciones repentinas del flujo de capitales (</w:t>
      </w:r>
      <w:r>
        <w:rPr>
          <w:rFonts w:ascii="Calibri" w:cs="Calibri" w:eastAsia="Calibri" w:hAnsi="Calibri"/>
          <w:i/>
          <w:iCs/>
          <w:sz w:val="22"/>
          <w:szCs w:val="22"/>
        </w:rPr>
        <w:t xml:space="preserve">sudden stops</w:t>
      </w:r>
      <w:r>
        <w:rPr>
          <w:rFonts w:ascii="Calibri" w:cs="Calibri" w:eastAsia="Calibri" w:hAnsi="Calibri"/>
          <w:i w:val="false"/>
          <w:iCs w:val="false"/>
          <w:sz w:val="22"/>
          <w:szCs w:val="22"/>
        </w:rPr>
        <w:t xml:space="preserve">)</w:t>
      </w:r>
      <w:r>
        <w:rPr>
          <w:rStyle w:val="FootnoteReference"/>
        </w:rPr>
        <w:footnoteReference w:id="1"/>
      </w:r>
      <w:r>
        <w:rPr>
          <w:rFonts w:ascii="Calibri" w:cs="Calibri" w:eastAsia="Calibri" w:hAnsi="Calibri"/>
          <w:i w:val="false"/>
          <w:iCs w:val="false"/>
          <w:sz w:val="22"/>
          <w:szCs w:val="22"/>
        </w:rPr>
        <w:t xml:space="preserve"> y crisis de impago soberano [CITA: Reinhart, Rogoff y Savastano (2003), Debt Intolerance, verificar]. Desde la declaración de default en 2001 hasta la reestructuración del año 2020, la inestabilidad en el acceso al crédito internacional ha puesto de manifiesto la extrema fragilidad de una economía condicionada por la restricción externa de divisas. En la coyuntura actual, la administración ingresante enfrenta una severa encrucijada: la recepción de una abultada herencia de pasivos internacionales, la ausencia de crédito voluntario en los mercados financieros exteriores y un apretado cronograma de vencimientos en moneda extranjera [DATO: Oficina de Presupuesto del Congreso, Operaciones de Deuda Pública, informe mensual vigente, completar con la cifra concreta].</w:t>
      </w:r>
    </w:p>
    <w:p>
      <w:pPr>
        <w:spacing w:after="200" w:line="300"/>
        <w:ind w:firstLine="431"/>
        <w:jc w:val="both"/>
      </w:pPr>
      <w:r>
        <w:rPr>
          <w:rFonts w:ascii="Calibri" w:cs="Calibri" w:eastAsia="Calibri" w:hAnsi="Calibri"/>
          <w:i w:val="false"/>
          <w:iCs w:val="false"/>
          <w:sz w:val="22"/>
          <w:szCs w:val="22"/>
        </w:rPr>
        <w:t xml:space="preserve">Este escenario reabre un interrogante decisivo para la estabilidad de mediano plazo: ¿resultan la consolidación del superávit fiscal primario y la intención explícita de pago condición suficiente para garantizar la solvencia intertemporal, o la evidencia sobre la intolerancia a la deuda de los países con historial de default sugiere lo contrario? La literatura sobre sostenibilidad fiscal muestra que la solvencia de la deuda en moneda extranjera no depende únicamente del resultado presupuestario: está condicionada por la capacidad de generación de divisas, la evolución del tipo de cambio real, la volatilidad del riesgo país (EMBI+) y los límites de absorción política que impone el ajuste prolongado.</w:t>
      </w:r>
    </w:p>
    <w:p>
      <w:pPr>
        <w:spacing w:after="200" w:line="300"/>
        <w:ind w:firstLine="431"/>
        <w:jc w:val="both"/>
      </w:pPr>
      <w:r>
        <w:rPr>
          <w:rFonts w:ascii="Calibri" w:cs="Calibri" w:eastAsia="Calibri" w:hAnsi="Calibri"/>
          <w:i w:val="false"/>
          <w:iCs w:val="false"/>
          <w:sz w:val="22"/>
          <w:szCs w:val="22"/>
        </w:rPr>
        <w:t xml:space="preserve">El objetivo principal de este trabajo es evaluar la dinámica de la deuda pública internacional argentina a partir de sus determinantes macroeconómicos pasados, para estimar su sostenibilidad intertemporal en el horizonte post-2025 [CITA: Medeiros (2012)]. Específicamente, la investigación busca determinar si la trayectoria fiscal y macroeconómica proyectada ofrece un margen de solvencia real para honrar los compromisos externos asumidos.</w:t>
      </w:r>
    </w:p>
    <w:p>
      <w:pPr>
        <w:pStyle w:val="Heading1"/>
        <w:spacing w:after="140" w:before="300"/>
      </w:pPr>
      <w:r>
        <w:rPr>
          <w:rFonts w:ascii="Calibri" w:cs="Calibri" w:eastAsia="Calibri" w:hAnsi="Calibri"/>
          <w:b/>
          <w:bCs/>
          <w:sz w:val="27"/>
          <w:szCs w:val="27"/>
        </w:rPr>
        <w:t xml:space="preserve">2. Antecedentes</w:t>
      </w:r>
    </w:p>
    <w:p>
      <w:pPr>
        <w:spacing w:after="200" w:line="300"/>
        <w:ind w:firstLine="431"/>
        <w:jc w:val="both"/>
      </w:pPr>
      <w:r>
        <w:rPr>
          <w:rFonts w:ascii="Calibri" w:cs="Calibri" w:eastAsia="Calibri" w:hAnsi="Calibri"/>
          <w:i w:val="false"/>
          <w:iCs w:val="false"/>
          <w:sz w:val="22"/>
          <w:szCs w:val="22"/>
        </w:rPr>
        <w:t xml:space="preserve">La literatura empírica sobre sostenibilidad de deuda soberana se desplazó, en la última década y media, de las proyecciones determinísticas de un único escenario base hacia ejercicios de simulación estocástica capaces de generar distribuciones de probabilidad sobre la trayectoria de la deuda. El punto de partida empírico de este giro es Medeiros (2012), quien estimó un modelo VAR irrestricto y una función de reacción fiscal (FRF) de panel para quince países de la Unión Europea, combinando ambos instrumentos para simular miles de trayectorias de deuda/PBI y construir los primeros </w:t>
      </w:r>
      <w:r>
        <w:rPr>
          <w:rFonts w:ascii="Calibri" w:cs="Calibri" w:eastAsia="Calibri" w:hAnsi="Calibri"/>
          <w:i/>
          <w:iCs/>
          <w:sz w:val="22"/>
          <w:szCs w:val="22"/>
        </w:rPr>
        <w:t xml:space="preserve">fan charts</w:t>
      </w:r>
      <w:r>
        <w:rPr>
          <w:rStyle w:val="FootnoteReference"/>
        </w:rPr>
        <w:footnoteReference w:id="2"/>
      </w:r>
      <w:r>
        <w:rPr>
          <w:rFonts w:ascii="Calibri" w:cs="Calibri" w:eastAsia="Calibri" w:hAnsi="Calibri"/>
          <w:i w:val="false"/>
          <w:iCs w:val="false"/>
          <w:sz w:val="22"/>
          <w:szCs w:val="22"/>
        </w:rPr>
        <w:t xml:space="preserve"> de uso sistemático en un organismo oficial (la Comisión Europea). Su hallazgo más citado es que el balance primario exhibe "fatiga fiscal": la reacción del superávit ante el aumento de la deuda se debilita y eventualmente se revierte por encima de cierto umbral. Ese hallazgo fue incorporado después como supuesto de comportamiento en marcos de sostenibilidad de organismos multilaterales, entre ellos el Marco de Riesgo Soberano y Sostenibilidad de la Deuda del FMI (SRDSF), aplicado a Argentina en su Octava Revisión del Servicio Ampliado (FMI, 2024).</w:t>
      </w:r>
    </w:p>
    <w:p>
      <w:pPr>
        <w:spacing w:after="200" w:line="300"/>
        <w:ind w:firstLine="431"/>
        <w:jc w:val="both"/>
      </w:pPr>
      <w:r>
        <w:rPr>
          <w:rFonts w:ascii="Calibri" w:cs="Calibri" w:eastAsia="Calibri" w:hAnsi="Calibri"/>
          <w:i w:val="false"/>
          <w:iCs w:val="false"/>
          <w:sz w:val="22"/>
          <w:szCs w:val="22"/>
        </w:rPr>
        <w:t xml:space="preserve">Esa misma "fatiga fiscal" fue puesta en discusión por Everaert y Jansen (2018), quienes retomaron el panel de países de la OCDE (1970-2014) que sirve de base a buena parte de esta literatura y testearon si el patrón no lineal de Medeiros (2012) era una regularidad de comportamiento genuina o un artefacto de agregar países heterogéneos en un único panel. Usando el estimador Mean Group de Pesaran y Smith, que permite una pendiente de reacción fiscal distinta para cada país en lugar de imponer un coeficiente común, encontraron heterogeneidad significativa: la fatiga fiscal no es una característica compartida por todos los países del panel, sino el promedio estadístico de comportamientos fiscales muy distintos entre sí. La implicancia directa para cualquier ejercicio de simulación aplicado a un país individual, y en particular a Argentina, es que la FRF panel estimada sobre economías avanzadas o de la Unión Europea no es transferible sin más: la propia arquitectura del marco FMI aplicado a Argentina hereda parámetros de comportamiento fiscal calibrados sobre un grupo de países con marcos de disciplina institucional (Pacto de Estabilidad, vigilancia de la Comisión Europea) ausentes en el caso argentino.</w:t>
      </w:r>
    </w:p>
    <w:p>
      <w:pPr>
        <w:spacing w:after="200" w:line="300"/>
        <w:ind w:firstLine="431"/>
        <w:jc w:val="both"/>
      </w:pPr>
      <w:r>
        <w:rPr>
          <w:rFonts w:ascii="Calibri" w:cs="Calibri" w:eastAsia="Calibri" w:hAnsi="Calibri"/>
          <w:i w:val="false"/>
          <w:iCs w:val="false"/>
          <w:sz w:val="22"/>
          <w:szCs w:val="22"/>
        </w:rPr>
        <w:t xml:space="preserve">Un segundo cuerpo de literatura empírica trasladó el problema de sostenibilidad a economías emergentes expuestas a shocks externos de términos de intercambio y a interrupciones súbitas del financiamiento. Adler y Sosa (2014), dentro del volumen editado por el FMI sobre América Latina, estimaron modelos VAR globales (GVAR) y de panel (PVAR) para un conjunto de países de la región, introduciendo como variable exógena internacional el Índice de Precios Netos de Materias Primas (NCPI) desarrollado por Adler y Magud (2014), que pondera cada commodity por la posición neta exportadora o importadora del país. El resultado empírico central de ese ejercicio, que más de la mitad de la variabilidad de las entradas de capital de corto plazo a economías como la argentina responde a condiciones internacionales (tasa de la Reserva Federal, índice VIX) y no a variables de atracción local, reforzó la idea de que la sostenibilidad de la deuda en la región depende en gran medida de factores </w:t>
      </w:r>
      <w:r>
        <w:rPr>
          <w:rFonts w:ascii="Calibri" w:cs="Calibri" w:eastAsia="Calibri" w:hAnsi="Calibri"/>
          <w:i/>
          <w:iCs/>
          <w:sz w:val="22"/>
          <w:szCs w:val="22"/>
        </w:rPr>
        <w:t xml:space="preserve">push</w:t>
      </w:r>
      <w:r>
        <w:rPr>
          <w:rStyle w:val="FootnoteReference"/>
        </w:rPr>
        <w:footnoteReference w:id="3"/>
      </w:r>
      <w:r>
        <w:rPr>
          <w:rFonts w:ascii="Calibri" w:cs="Calibri" w:eastAsia="Calibri" w:hAnsi="Calibri"/>
          <w:i w:val="false"/>
          <w:iCs w:val="false"/>
          <w:sz w:val="22"/>
          <w:szCs w:val="22"/>
        </w:rPr>
        <w:t xml:space="preserve"> ajenos a la política doméstica. El mismo estudio documentó, sin embargo, una asimetría específica de Argentina: mientras que en economías desarrolladas los residentes repatrían activos externos para amortiguar una crisis, en el caso argentino el capital residente tiende a sumarse a la salida, amplificando en lugar de atenuar la inestabilidad financiera.</w:t>
      </w:r>
    </w:p>
    <w:p>
      <w:pPr>
        <w:spacing w:after="200" w:line="300"/>
        <w:ind w:firstLine="431"/>
        <w:jc w:val="both"/>
      </w:pPr>
      <w:r>
        <w:rPr>
          <w:rFonts w:ascii="Calibri" w:cs="Calibri" w:eastAsia="Calibri" w:hAnsi="Calibri"/>
          <w:i w:val="false"/>
          <w:iCs w:val="false"/>
          <w:sz w:val="22"/>
          <w:szCs w:val="22"/>
        </w:rPr>
        <w:t xml:space="preserve">En paralelo, la literatura de sistemas de alerta temprana (</w:t>
      </w:r>
      <w:r>
        <w:rPr>
          <w:rFonts w:ascii="Calibri" w:cs="Calibri" w:eastAsia="Calibri" w:hAnsi="Calibri"/>
          <w:i/>
          <w:iCs/>
          <w:sz w:val="22"/>
          <w:szCs w:val="22"/>
        </w:rPr>
        <w:t xml:space="preserve">early warning systems</w:t>
      </w:r>
      <w:r>
        <w:rPr>
          <w:rFonts w:ascii="Calibri" w:cs="Calibri" w:eastAsia="Calibri" w:hAnsi="Calibri"/>
          <w:i w:val="false"/>
          <w:iCs w:val="false"/>
          <w:sz w:val="22"/>
          <w:szCs w:val="22"/>
        </w:rPr>
        <w:t xml:space="preserve">)</w:t>
      </w:r>
      <w:r>
        <w:rPr>
          <w:rStyle w:val="FootnoteReference"/>
        </w:rPr>
        <w:footnoteReference w:id="4"/>
      </w:r>
      <w:r>
        <w:rPr>
          <w:rFonts w:ascii="Calibri" w:cs="Calibri" w:eastAsia="Calibri" w:hAnsi="Calibri"/>
          <w:i w:val="false"/>
          <w:iCs w:val="false"/>
          <w:sz w:val="22"/>
          <w:szCs w:val="22"/>
        </w:rPr>
        <w:t xml:space="preserve"> buscó anticipar crisis de deuda soberana con una estrategia metodológica distinta: no explicar mecanismos, sino maximizar poder predictivo. Wijayanti y Rachmanira (2020) aplicaron el ratio de ruido a señal de Kaminsky, Lizondo y Reinhart y una regresión logística binomial sobre un panel de 43 países en desarrollo entre 1960 y 2017, logrando predecir el 61,5% de las crisis de deuda con dos años de anticipación bajo un umbral de probabilidad del 30%. El resultado, moderado pero no trivial, expone una tensión metodológica relevante para cualquier antecedente que se apoye en el marco del FMI: los sistemas de alerta temprana están diseñados para maximizar poder predictivo agregado sobre un panel amplio de países, mientras que el </w:t>
      </w:r>
      <w:r>
        <w:rPr>
          <w:rFonts w:ascii="Calibri" w:cs="Calibri" w:eastAsia="Calibri" w:hAnsi="Calibri"/>
          <w:i/>
          <w:iCs/>
          <w:sz w:val="22"/>
          <w:szCs w:val="22"/>
        </w:rPr>
        <w:t xml:space="preserve">fanchart</w:t>
      </w:r>
      <w:r>
        <w:rPr>
          <w:rFonts w:ascii="Calibri" w:cs="Calibri" w:eastAsia="Calibri" w:hAnsi="Calibri"/>
          <w:i w:val="false"/>
          <w:iCs w:val="false"/>
          <w:sz w:val="22"/>
          <w:szCs w:val="22"/>
        </w:rPr>
        <w:t xml:space="preserve"> estocástico del SRDSF busca representar la distribución de riesgo de un país específico; ambos abordajes pueden, y de hecho suelen, dar señales distintas frente a un mismo episodio.</w:t>
      </w:r>
    </w:p>
    <w:p>
      <w:pPr>
        <w:spacing w:after="200" w:line="300"/>
        <w:ind w:firstLine="431"/>
        <w:jc w:val="both"/>
      </w:pPr>
      <w:r>
        <w:rPr>
          <w:rFonts w:ascii="Calibri" w:cs="Calibri" w:eastAsia="Calibri" w:hAnsi="Calibri"/>
          <w:i w:val="false"/>
          <w:iCs w:val="false"/>
          <w:sz w:val="22"/>
          <w:szCs w:val="22"/>
        </w:rPr>
        <w:t xml:space="preserve">Dentro de la literatura específicamente centrada en Argentina, dos trabajos independientes, con instrumentos metodológicos casi opuestos, llegaron a diagnósticos convergentes en la antesala de la crisis de 2001-2002. Cetrángolo, Damill, Frenkel y Jiménez (1997) reconstruyeron el esquema ahorro-inversión del Sector Público Nacional no Financiero para 1975-1996, desagregaron el presupuesto en ocho rubros de ingresos y siete de gasto, vincularon cada uno a su variable macroeconómica relevante mediante coeficientes fijos, y aplicaron el filtro de Hodrick-Prescott para separar tendencia de ciclo y así calcular un déficit macroeconómicamente ajustado (DMA) y un impulso fiscal (siguiendo la metodología de Blanchard, 1990). Su conclusión fiscal fue tranquilizadora: el riesgo fiscal cíclico bajo Convertibilidad era pequeño (0,3-0,6% del PBI), muy inferior a la volatilidad de los años setenta y ochenta, y la mejora de recaudación 1991-96 era mayoritariamente estructural, no un artefacto del boom económico. Sin embargo, el propio documento advirtió, en su escenario central de proyección para 1997-2001, que el desequilibrio de cuenta corriente externa crecía hasta superar el 7% del PBI hacia 2001, anticipando, desde una lente estrictamente fiscal, que el verdadero riesgo no era fiscal sino de sostenibilidad externa.</w:t>
      </w:r>
    </w:p>
    <w:p>
      <w:pPr>
        <w:spacing w:after="200" w:line="300"/>
        <w:ind w:firstLine="431"/>
        <w:jc w:val="both"/>
      </w:pPr>
      <w:r>
        <w:rPr>
          <w:rFonts w:ascii="Calibri" w:cs="Calibri" w:eastAsia="Calibri" w:hAnsi="Calibri"/>
          <w:i w:val="false"/>
          <w:iCs w:val="false"/>
          <w:sz w:val="22"/>
          <w:szCs w:val="22"/>
        </w:rPr>
        <w:t xml:space="preserve">Calvo, Izquierdo y Talvi (2003), que trabajaron con un instrumental completamente distinto (contabilidad de balanza de pagos, calibración de elasticidades de demanda de no transables y la identidad estándar de dinámica de deuda), llegaron a la misma advertencia por otra vía. Su marco “CDM” (economía cerrada, dolarizada y con descalce de balances) mostró que, ante un </w:t>
      </w:r>
      <w:r>
        <w:rPr>
          <w:rFonts w:ascii="Calibri" w:cs="Calibri" w:eastAsia="Calibri" w:hAnsi="Calibri"/>
          <w:i/>
          <w:iCs/>
          <w:sz w:val="22"/>
          <w:szCs w:val="22"/>
        </w:rPr>
        <w:t xml:space="preserve">sudden stop</w:t>
      </w:r>
      <w:r>
        <w:rPr>
          <w:rFonts w:ascii="Calibri" w:cs="Calibri" w:eastAsia="Calibri" w:hAnsi="Calibri"/>
          <w:i w:val="false"/>
          <w:iCs w:val="false"/>
          <w:sz w:val="22"/>
          <w:szCs w:val="22"/>
        </w:rPr>
        <w:t xml:space="preserve"> como el desatado por la crisis rusa de 1998, la magnitud del ajuste de tipo de cambio real necesario para restablecer el equilibrio externo dependía críticamente de la apertura comercial y del descalce de moneda de los pasivos, dos rasgos en los que Argentina se ubicaba en el peor extremo posible entre los casos comparados (Argentina, Brasil, Chile, Colombia, Ecuador). El diálogo entre ambos trabajos es directo: uno detecta el problema por el lado del flujo (cuenta corriente), el otro por el lado del stock (descalce patrimonial), y ambos, escritos antes o inmediatamente después del default, coinciden en que el diagnóstico fiscal de corto plazo no bastaba para juzgar la sostenibilidad.</w:t>
      </w:r>
    </w:p>
    <w:p>
      <w:pPr>
        <w:spacing w:after="200" w:line="300"/>
        <w:ind w:firstLine="431"/>
        <w:jc w:val="both"/>
      </w:pPr>
      <w:r>
        <w:rPr>
          <w:rFonts w:ascii="Calibri" w:cs="Calibri" w:eastAsia="Calibri" w:hAnsi="Calibri"/>
          <w:i w:val="false"/>
          <w:iCs w:val="false"/>
          <w:sz w:val="22"/>
          <w:szCs w:val="22"/>
        </w:rPr>
        <w:t xml:space="preserve">Dos décadas después, la literatura sobre Argentina se dividió en torno a un problema metodológico específico: si el ratio Deuda/PBI es o no una medida confiable de riesgo cuando media un salto cambiario abrupto. Rodríguez (2023) revisó el financiamiento y la sostenibilidad de la deuda pública argentina entre 2001 y 2022 y mostró que la abrupta caída del ratio Deuda/PBI durante 2003-2011 no reflejó un desendeudamiento estructural, sino un efecto contable de apreciación del tipo de cambio real (el PBI medido en dólares creció más rápido que el stock de deuda). El mismo mecanismo, en sentido inverso, explica por qué el salto cambiario de fines de 2023 llevó mecánicamente el ratio al 156,7% del PBI y disparó, dentro del SRDSF del FMI, una alarma roja de "Riesgo Alto" (ancho de </w:t>
      </w:r>
      <w:r>
        <w:rPr>
          <w:rFonts w:ascii="Calibri" w:cs="Calibri" w:eastAsia="Calibri" w:hAnsi="Calibri"/>
          <w:i/>
          <w:iCs/>
          <w:sz w:val="22"/>
          <w:szCs w:val="22"/>
        </w:rPr>
        <w:t xml:space="preserve">fanchart</w:t>
      </w:r>
      <w:r>
        <w:rPr>
          <w:rFonts w:ascii="Calibri" w:cs="Calibri" w:eastAsia="Calibri" w:hAnsi="Calibri"/>
          <w:i w:val="false"/>
          <w:iCs w:val="false"/>
          <w:sz w:val="22"/>
          <w:szCs w:val="22"/>
        </w:rPr>
        <w:t xml:space="preserve"> de 122,7 puntos) que el propio staff del organismo debió matizar cualitativamente por no reflejar el riesgo real de mediano plazo (FMI, 2024). La controversia queda así planteada de manera explícita entre dos antecedentes: un marco de benchmarking estadístico mecánico (percentiles históricos, umbrales fijos) y una lectura estructural que atribuye buena parte del movimiento del indicador a un efecto de valuación antes que a un cambio genuino de solvencia.</w:t>
      </w:r>
    </w:p>
    <w:p>
      <w:pPr>
        <w:spacing w:after="200" w:line="300"/>
        <w:ind w:firstLine="431"/>
        <w:jc w:val="both"/>
      </w:pPr>
      <w:r>
        <w:rPr>
          <w:rFonts w:ascii="Calibri" w:cs="Calibri" w:eastAsia="Calibri" w:hAnsi="Calibri"/>
          <w:i w:val="false"/>
          <w:iCs w:val="false"/>
          <w:sz w:val="22"/>
          <w:szCs w:val="22"/>
        </w:rPr>
        <w:t xml:space="preserve">Levy Yeyati y Sturzenegger (2021, publicado en 2023) llevaron esta discusión un paso más allá al proponer reemplazar el ratio Deuda/PBI por el patrimonio neto del sector público (valor presente de impuestos menos valor presente de gastos y pasivos explícitos), simulado mediante bootstrap de un VAR de tres variables (PBI, tipo de cambio real, tasa internacional). Aplicado a Argentina, el ejercicio arrojó un patrimonio neto medio de 2,2 veces el PBI sin territorio negativo en la distribución simulada, y un hallazgo llamativo: una devaluación real del 20% apenas mueve ese patrimonio neto (de 2,225 a 2,214 del PBI), porque el mayor costo en dólares de la deuda se compensa con más recaudación de rubros transables y la licuación de gastos en pesos. Este resultado entra en tensión directa con el cálculo tradicional que los propios autores citan de Calvo et al. (2003): bajo el enfoque clásico de descalce de moneda, una devaluación del 50% eleva el ratio Deuda/PBI argentino de 36,5% a 50,8%. Dos antecedentes centrados en el mismo país y el mismo tipo de shock, una devaluación real, llegan a conclusiones opuestas sobre su severidad fiscal según si el instrumento utilizado es el ratio de deuda o el balance patrimonial completo. Los propios autores advierten, no obstante, que su resultado benigno depende de que Argentina, tras 2001, redujo fuertemente la dolarización de su deuda pública, y que el mismo ejercicio aplicado a la estructura de deuda de 2001 habría arrojado un deterioro fiscal severo ante el mismo shock.</w:t>
      </w:r>
    </w:p>
    <w:p>
      <w:pPr>
        <w:spacing w:after="200" w:line="300"/>
        <w:ind w:firstLine="431"/>
        <w:jc w:val="both"/>
      </w:pPr>
      <w:r>
        <w:rPr>
          <w:rFonts w:ascii="Calibri" w:cs="Calibri" w:eastAsia="Calibri" w:hAnsi="Calibri"/>
          <w:i w:val="false"/>
          <w:iCs w:val="false"/>
          <w:sz w:val="22"/>
          <w:szCs w:val="22"/>
        </w:rPr>
        <w:t xml:space="preserve">Un último antecedente relevante no discute la sostenibilidad ex ante, sino el costo ex post del evento que estos marcos buscan evitar. Hébert y Schreger (2017) explotaron el litigio República Argentina v. NML Capital como un experimento natural: los fallos judiciales sucesivos alteraron exógenamente la probabilidad de default percibida por el mercado, sin depender de las noticias económicas del día. Mediante identificación por heterocedasticidad (Rigobon y Rigobon-Sack), estimaron que un aumento del 10% en la probabilidad de default (medida por CDS) provocó una caída del 6% en el índice ponderado de acciones argentinas, y que el paso de 40% a 100% de probabilidad de default, lo efectivamente observado, implicó una destrucción de valor de mercado de las firmas cotizantes de entre 30% y 45%, concentrada en exportadoras y filiales de multinacionales. Este antecedente complementa, desde el lado de las consecuencias reales, a la literatura de sostenibilidad ex ante revisada arriba: cuantifica el costo del evento de cola que los marcos estocásticos (Medeiros, 2012; FMI, 2024) intentan mantener con baja probabilidad, y que los enfoques de balance completo (Levy Yeyati y Sturzenegger, 2021) sugieren que, bajo la estructura de deuda actual, sería menos probable que en 2001.</w:t>
      </w:r>
    </w:p>
    <w:sectPr>
      <w:pgSz w:w="11906" w:h="16838" w:orient="portrait"/>
      <w:pgMar w:top="1440" w:right="1584" w:bottom="1440"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Calibri" w:cs="Calibri" w:eastAsia="Calibri" w:hAnsi="Calibri"/>
          <w:sz w:val="18"/>
          <w:szCs w:val="18"/>
        </w:rPr>
        <w:t xml:space="preserve">Interrupción abrupta e inesperada del financiamiento externo hacia una economía, término acuñado en la literatura de crisis financieras internacionales.</w:t>
      </w:r>
    </w:p>
  </w:footnote>
  <w:footnote w:id="2">
    <w:p>
      <w:r>
        <w:rPr>
          <w:rStyle w:val="FootnoteReference"/>
        </w:rPr>
        <w:footnoteRef/>
      </w:r>
      <w:r>
        <w:rPr>
          <w:rFonts w:ascii="Calibri" w:cs="Calibri" w:eastAsia="Calibri" w:hAnsi="Calibri"/>
          <w:sz w:val="18"/>
          <w:szCs w:val="18"/>
        </w:rPr>
        <w:t xml:space="preserve">Representación gráfica de una distribución de probabilidad de trayectorias futuras de una variable, mediante bandas de percentiles que se abren como un abanico a medida que aumenta el horizonte de proyección.</w:t>
      </w:r>
    </w:p>
  </w:footnote>
  <w:footnote w:id="3">
    <w:p>
      <w:r>
        <w:rPr>
          <w:rStyle w:val="FootnoteReference"/>
        </w:rPr>
        <w:footnoteRef/>
      </w:r>
      <w:r>
        <w:rPr>
          <w:rFonts w:ascii="Calibri" w:cs="Calibri" w:eastAsia="Calibri" w:hAnsi="Calibri"/>
          <w:sz w:val="18"/>
          <w:szCs w:val="18"/>
        </w:rPr>
        <w:t xml:space="preserve">Determinante externo al país receptor que impulsa movimientos de capital, en contraste con los factores pull, asociados a condiciones domésticas de atracción de inversión.</w:t>
      </w:r>
    </w:p>
  </w:footnote>
  <w:footnote w:id="4">
    <w:p>
      <w:r>
        <w:rPr>
          <w:rStyle w:val="FootnoteReference"/>
        </w:rPr>
        <w:footnoteRef/>
      </w:r>
      <w:r>
        <w:rPr>
          <w:rFonts w:ascii="Calibri" w:cs="Calibri" w:eastAsia="Calibri" w:hAnsi="Calibri"/>
          <w:sz w:val="18"/>
          <w:szCs w:val="18"/>
        </w:rPr>
        <w:t xml:space="preserve">Modelos estadísticos diseñados para anticipar la probabilidad de una crisis mediante indicadores de alerta temprana, sin pretender explicar el mecanismo causal subyacente.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Introducción y Antecedentes, Tesis (v2, comentarios de Pablo aplicados)</dc:title>
  <dc:creator>Federico Chillón, FCE UNCUYO</dc:creator>
  <cp:lastModifiedBy>Un-named</cp:lastModifiedBy>
  <cp:revision>1</cp:revision>
  <dcterms:created xsi:type="dcterms:W3CDTF">2026-09-15T23:14:34.666Z</dcterms:created>
  <dcterms:modified xsi:type="dcterms:W3CDTF">2026-09-15T23:14:34.681Z</dcterms:modified>
</cp:coreProperties>
</file>

<file path=docProps/custom.xml><?xml version="1.0" encoding="utf-8"?>
<Properties xmlns="http://schemas.openxmlformats.org/officeDocument/2006/custom-properties" xmlns:vt="http://schemas.openxmlformats.org/officeDocument/2006/docPropsVTypes"/>
</file>