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plan-de-labor-de-la-tesis"/>
    <w:p>
      <w:pPr>
        <w:pStyle w:val="Heading1"/>
      </w:pPr>
      <w:r>
        <w:t xml:space="preserve">Plan de labor de la tesis</w:t>
      </w:r>
    </w:p>
    <w:p>
      <w:pPr>
        <w:pStyle w:val="FirstParagraph"/>
      </w:pPr>
      <w:r>
        <w:t xml:space="preserve">Documento de trabajo del grupo. Última actualización: 11 de octubre de 2026.</w:t>
      </w:r>
    </w:p>
    <w:bookmarkStart w:id="9" w:name="para-qué-sirve-este-documento"/>
    <w:p>
      <w:pPr>
        <w:pStyle w:val="Heading2"/>
      </w:pPr>
      <w:r>
        <w:t xml:space="preserve">1. Para qué sirve este documento</w:t>
      </w:r>
    </w:p>
    <w:p>
      <w:pPr>
        <w:pStyle w:val="FirstParagraph"/>
      </w:pPr>
      <w:r>
        <w:t xml:space="preserve">Ordena qué está hecho, qué se decidió y qué falta, paso a paso, para que todos trabajemos sobre</w:t>
      </w:r>
      <w:r>
        <w:t xml:space="preserve"> </w:t>
      </w:r>
      <w:r>
        <w:t xml:space="preserve">la misma base. Cada decisión tiene su justificación. Cada número viene de un archivo del</w:t>
      </w:r>
      <w:r>
        <w:t xml:space="preserve"> </w:t>
      </w:r>
      <w:r>
        <w:t xml:space="preserve">repositorio o de una fuente citada. Lo que todavía no está verificado aparece marcado como</w:t>
      </w:r>
      <w:r>
        <w:t xml:space="preserve"> </w:t>
      </w:r>
      <w:r>
        <w:t xml:space="preserve">pendiente.</w:t>
      </w:r>
    </w:p>
    <w:bookmarkEnd w:id="9"/>
    <w:bookmarkStart w:id="10" w:name="de-dónde-partimos"/>
    <w:p>
      <w:pPr>
        <w:pStyle w:val="Heading2"/>
      </w:pPr>
      <w:r>
        <w:t xml:space="preserve">2. De dónde partimos</w:t>
      </w:r>
    </w:p>
    <w:p>
      <w:pPr>
        <w:pStyle w:val="FirstParagraph"/>
      </w:pPr>
      <w:r>
        <w:rPr>
          <w:b/>
          <w:bCs/>
        </w:rPr>
        <w:t xml:space="preserve">Lo que ya existe en el repositorio:</w:t>
      </w:r>
    </w:p>
    <w:p>
      <w:pPr>
        <w:pStyle w:val="Compact"/>
        <w:numPr>
          <w:ilvl w:val="0"/>
          <w:numId w:val="1001"/>
        </w:numPr>
      </w:pPr>
      <w:r>
        <w:t xml:space="preserve">Una base trimestral 1996-2025 (120 trimestres) con deuda/PIB, resultado primario/PIB, PIB</w:t>
      </w:r>
      <w:r>
        <w:t xml:space="preserve"> </w:t>
      </w:r>
      <w:r>
        <w:t xml:space="preserve">real, tipo de cambio real multilateral (TCRM), EMBI+ y VIX.</w:t>
      </w:r>
    </w:p>
    <w:p>
      <w:pPr>
        <w:pStyle w:val="Compact"/>
        <w:numPr>
          <w:ilvl w:val="0"/>
          <w:numId w:val="1001"/>
        </w:numPr>
      </w:pPr>
      <w:r>
        <w:t xml:space="preserve">Un modelo SVAR restringido estimado sobre esa base. Su descomposición de varianza a 20</w:t>
      </w:r>
      <w:r>
        <w:t xml:space="preserve"> </w:t>
      </w:r>
      <w:r>
        <w:t xml:space="preserve">trimestres atribuye la variabilidad de la deuda/PIB así: 54,2% a la inercia propia de la</w:t>
      </w:r>
      <w:r>
        <w:t xml:space="preserve"> </w:t>
      </w:r>
      <w:r>
        <w:t xml:space="preserve">deuda, 25,8% a los canales cambiario y de riesgo soberano y 20,0% a los canales fiscal y de</w:t>
      </w:r>
      <w:r>
        <w:t xml:space="preserve"> </w:t>
      </w:r>
      <w:r>
        <w:t xml:space="preserve">actividad.</w:t>
      </w:r>
    </w:p>
    <w:p>
      <w:pPr>
        <w:pStyle w:val="Compact"/>
        <w:numPr>
          <w:ilvl w:val="0"/>
          <w:numId w:val="1001"/>
        </w:numPr>
      </w:pPr>
      <w:r>
        <w:t xml:space="preserve">Un VECM que no encuentra reacción del resultado primario ante la deuda (p = 0,996).</w:t>
      </w:r>
    </w:p>
    <w:p>
      <w:pPr>
        <w:pStyle w:val="Compact"/>
        <w:numPr>
          <w:ilvl w:val="0"/>
          <w:numId w:val="1001"/>
        </w:numPr>
      </w:pPr>
      <w:r>
        <w:t xml:space="preserve">Una simulación de Monte Carlo de 1.000 trayectorias para 2026-2035, que ya separa la deuda en</w:t>
      </w:r>
      <w:r>
        <w:t xml:space="preserve"> </w:t>
      </w:r>
      <w:r>
        <w:t xml:space="preserve">pesos de la deuda en dólares.</w:t>
      </w:r>
    </w:p>
    <w:p>
      <w:pPr>
        <w:pStyle w:val="Compact"/>
        <w:numPr>
          <w:ilvl w:val="0"/>
          <w:numId w:val="1001"/>
        </w:numPr>
      </w:pPr>
      <w:r>
        <w:t xml:space="preserve">Una tesis en LaTeX de 81 páginas, que hay que reorganizar según las decisiones de este</w:t>
      </w:r>
      <w:r>
        <w:t xml:space="preserve"> </w:t>
      </w:r>
      <w:r>
        <w:t xml:space="preserve">documento.</w:t>
      </w:r>
    </w:p>
    <w:p>
      <w:pPr>
        <w:pStyle w:val="FirstParagraph"/>
      </w:pPr>
      <w:r>
        <w:rPr>
          <w:b/>
          <w:bCs/>
        </w:rPr>
        <w:t xml:space="preserve">Lo que aportó Santiago (archivos del 26 de septiembre y del 7 de octubre de 2026):</w:t>
      </w:r>
    </w:p>
    <w:p>
      <w:pPr>
        <w:pStyle w:val="Compact"/>
        <w:numPr>
          <w:ilvl w:val="0"/>
          <w:numId w:val="1002"/>
        </w:numPr>
      </w:pPr>
      <w:r>
        <w:t xml:space="preserve">Una Introducción con pregunta, objetivos e hipótesis nuevos.</w:t>
      </w:r>
    </w:p>
    <w:p>
      <w:pPr>
        <w:pStyle w:val="Compact"/>
        <w:numPr>
          <w:ilvl w:val="0"/>
          <w:numId w:val="1002"/>
        </w:numPr>
      </w:pPr>
      <w:r>
        <w:t xml:space="preserve">El shock de la tasa de la FED como pregunta específica.</w:t>
      </w:r>
    </w:p>
    <w:p>
      <w:pPr>
        <w:pStyle w:val="Compact"/>
        <w:numPr>
          <w:ilvl w:val="0"/>
          <w:numId w:val="1002"/>
        </w:numPr>
      </w:pPr>
      <w:r>
        <w:t xml:space="preserve">El perímetro consolidado SPNF y BCRA.</w:t>
      </w:r>
    </w:p>
    <w:p>
      <w:pPr>
        <w:pStyle w:val="Compact"/>
        <w:numPr>
          <w:ilvl w:val="0"/>
          <w:numId w:val="1002"/>
        </w:numPr>
      </w:pPr>
      <w:r>
        <w:t xml:space="preserve">Notas de metodología.</w:t>
      </w:r>
    </w:p>
    <w:bookmarkEnd w:id="10"/>
    <w:bookmarkStart w:id="14" w:name="Xd89659cf47934cd7c8c10f214dc174c1c6038dd"/>
    <w:p>
      <w:pPr>
        <w:pStyle w:val="Heading2"/>
      </w:pPr>
      <w:r>
        <w:t xml:space="preserve">2b. Inventario técnico: qué tenemos y qué se hace con cada cosa</w:t>
      </w:r>
    </w:p>
    <w:p>
      <w:pPr>
        <w:pStyle w:val="FirstParagraph"/>
      </w:pPr>
      <w:r>
        <w:t xml:space="preserve">Hay mucho hecho. La mayor parte se reutiliza; lo que falta son cuatro piezas.</w:t>
      </w:r>
    </w:p>
    <w:bookmarkStart w:id="11" w:name="datos"/>
    <w:p>
      <w:pPr>
        <w:pStyle w:val="Heading3"/>
      </w:pPr>
      <w:r>
        <w:t xml:space="preserve">Datos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Qué hay</w:t>
            </w:r>
          </w:p>
        </w:tc>
        <w:tc>
          <w:tcPr/>
          <w:p>
            <w:pPr>
              <w:pStyle w:val="Compact"/>
            </w:pPr>
            <w:r>
              <w:rPr>
                <w:rFonts w:ascii="Calibri" w:hAnsi="Calibri"/>
                <w:sz w:val="20"/>
              </w:rPr>
              <w:t xml:space="preserve">Archivo</w:t>
            </w:r>
          </w:p>
        </w:tc>
        <w:tc>
          <w:tcPr/>
          <w:p>
            <w:pPr>
              <w:pStyle w:val="Compact"/>
            </w:pPr>
            <w:r>
              <w:rPr>
                <w:rFonts w:ascii="Calibri" w:hAnsi="Calibri"/>
                <w:sz w:val="20"/>
              </w:rPr>
              <w:t xml:space="preserve">Qué se hace</w:t>
            </w:r>
          </w:p>
        </w:tc>
      </w:tr>
      <w:tr>
        <w:tc>
          <w:tcPr/>
          <w:p>
            <w:pPr>
              <w:pStyle w:val="Compact"/>
            </w:pPr>
            <w:r>
              <w:rPr>
                <w:rFonts w:ascii="Calibri" w:hAnsi="Calibri"/>
                <w:sz w:val="20"/>
              </w:rPr>
              <w:t xml:space="preserve">Base 1996-2025 (120 trimestres): deuda/PIB del SPNF, resultado primario/PIB, PIB real, brecha del producto, TCRM, EMBI+, VIX</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Se reutiliza. Hay que sumarle la deuda consolidada y la tasa de la FED.</w:t>
            </w:r>
          </w:p>
        </w:tc>
      </w:tr>
      <w:tr>
        <w:tc>
          <w:tcPr/>
          <w:p>
            <w:pPr>
              <w:pStyle w:val="Compact"/>
            </w:pPr>
            <w:r>
              <w:rPr>
                <w:rFonts w:ascii="Calibri" w:hAnsi="Calibri"/>
                <w:sz w:val="20"/>
              </w:rPr>
              <w:t xml:space="preserve">Empalmes pre-2004 (deuda, resultado primario y PIB real, por el método de Denton) y TCRM de 1996 extrapolado</w:t>
            </w:r>
          </w:p>
        </w:tc>
        <w:tc>
          <w:tcPr/>
          <w:p>
            <w:pPr>
              <w:pStyle w:val="Compact"/>
            </w:pPr>
            <w:r>
              <w:rPr>
                <w:rStyle w:val="VerbatimChar"/>
                <w:rFonts w:ascii="Calibri" w:hAnsi="Calibri"/>
                <w:sz w:val="20"/>
              </w:rPr>
              <w:t xml:space="preserve">codigo/ingesta_datos/empalme_*.py</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construir_dataset_1996_2025.py</w:t>
            </w:r>
          </w:p>
        </w:tc>
        <w:tc>
          <w:tcPr/>
          <w:p>
            <w:pPr>
              <w:pStyle w:val="Compact"/>
            </w:pPr>
            <w:r>
              <w:rPr>
                <w:rFonts w:ascii="Calibri" w:hAnsi="Calibri"/>
                <w:sz w:val="20"/>
              </w:rPr>
              <w:t xml:space="preserve">Se reutiliza.</w:t>
            </w:r>
          </w:p>
        </w:tc>
      </w:tr>
      <w:tr>
        <w:tc>
          <w:tcPr/>
          <w:p>
            <w:pPr>
              <w:pStyle w:val="Compact"/>
            </w:pPr>
            <w:r>
              <w:rPr>
                <w:rFonts w:ascii="Calibri" w:hAnsi="Calibri"/>
                <w:sz w:val="20"/>
              </w:rPr>
              <w:t xml:space="preserve">Pasivos remunerados del BCRA, 2004-2025, de la API del BCRA (LEBAC/NOBAC, Leliq/Notaliq, pases)</w:t>
            </w:r>
          </w:p>
        </w:tc>
        <w:tc>
          <w:tcPr/>
          <w:p>
            <w:pPr>
              <w:pStyle w:val="Compact"/>
            </w:pPr>
            <w:r>
              <w:rPr>
                <w:rStyle w:val="VerbatimChar"/>
                <w:rFonts w:ascii="Calibri" w:hAnsi="Calibri"/>
                <w:sz w:val="20"/>
              </w:rPr>
              <w:t xml:space="preserve">codigo/ingesta_datos/ingesta_bcra_pasivos.py</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datos/procesados/bcra_pasivos_trimestral.csv</w:t>
            </w:r>
          </w:p>
        </w:tc>
        <w:tc>
          <w:tcPr/>
          <w:p>
            <w:pPr>
              <w:pStyle w:val="Compact"/>
            </w:pPr>
            <w:r>
              <w:rPr>
                <w:rFonts w:ascii="Calibri" w:hAnsi="Calibri"/>
                <w:sz w:val="20"/>
              </w:rPr>
              <w:t xml:space="preserve">Se adapta: hay que llevarla a 1996 y revisar el denominador (ver abajo).</w:t>
            </w:r>
          </w:p>
        </w:tc>
      </w:tr>
      <w:tr>
        <w:tc>
          <w:tcPr/>
          <w:p>
            <w:pPr>
              <w:pStyle w:val="Compact"/>
            </w:pPr>
            <w:r>
              <w:rPr>
                <w:rFonts w:ascii="Calibri" w:hAnsi="Calibri"/>
                <w:sz w:val="20"/>
              </w:rPr>
              <w:t xml:space="preserve">VIX y volatilidad del Bovespa, 1996-2025</w:t>
            </w:r>
          </w:p>
        </w:tc>
        <w:tc>
          <w:tcPr/>
          <w:p>
            <w:pPr>
              <w:pStyle w:val="Compact"/>
            </w:pPr>
            <w:r>
              <w:rPr>
                <w:rStyle w:val="VerbatimChar"/>
                <w:rFonts w:ascii="Calibri" w:hAnsi="Calibri"/>
                <w:sz w:val="20"/>
              </w:rPr>
              <w:t xml:space="preserve">ingesta_instrumentos_1996_2025.py</w:t>
            </w:r>
          </w:p>
        </w:tc>
        <w:tc>
          <w:tcPr/>
          <w:p>
            <w:pPr>
              <w:pStyle w:val="Compact"/>
            </w:pPr>
            <w:r>
              <w:rPr>
                <w:rFonts w:ascii="Calibri" w:hAnsi="Calibri"/>
                <w:sz w:val="20"/>
              </w:rPr>
              <w:t xml:space="preserve">El VIX se reutiliza como variable exógena.</w:t>
            </w:r>
          </w:p>
        </w:tc>
      </w:tr>
      <w:tr>
        <w:tc>
          <w:tcPr/>
          <w:p>
            <w:pPr>
              <w:pStyle w:val="Compact"/>
            </w:pPr>
            <w:r>
              <w:rPr>
                <w:rFonts w:ascii="Calibri" w:hAnsi="Calibri"/>
                <w:sz w:val="20"/>
              </w:rPr>
              <w:t xml:space="preserve">Spread soberano histórico 1983-2025</w:t>
            </w:r>
          </w:p>
        </w:tc>
        <w:tc>
          <w:tcPr/>
          <w:p>
            <w:pPr>
              <w:pStyle w:val="Compact"/>
            </w:pPr>
            <w:r>
              <w:rPr>
                <w:rStyle w:val="VerbatimChar"/>
                <w:rFonts w:ascii="Calibri" w:hAnsi="Calibri"/>
                <w:sz w:val="20"/>
              </w:rPr>
              <w:t xml:space="preserve">fase22_*</w:t>
            </w:r>
          </w:p>
        </w:tc>
        <w:tc>
          <w:tcPr/>
          <w:p>
            <w:pPr>
              <w:pStyle w:val="Compact"/>
            </w:pPr>
            <w:r>
              <w:rPr>
                <w:rFonts w:ascii="Calibri" w:hAnsi="Calibri"/>
                <w:sz w:val="20"/>
              </w:rPr>
              <w:t xml:space="preserve">Queda fuera, como ya se había decidido.</w:t>
            </w:r>
          </w:p>
        </w:tc>
      </w:tr>
    </w:tbl>
    <w:p>
      <w:pPr>
        <w:pStyle w:val="BodyText"/>
      </w:pPr>
      <w:r>
        <w:rPr>
          <w:b/>
          <w:bCs/>
        </w:rPr>
        <w:t xml:space="preserve">Problema detectado con los pasivos del BCRA.</w:t>
      </w:r>
      <w:r>
        <w:t xml:space="preserve"> </w:t>
      </w:r>
      <w:r>
        <w:t xml:space="preserve">Nuestra serie da 9,5% del PIB en 2022-2023.</w:t>
      </w:r>
      <w:r>
        <w:t xml:space="preserve"> </w:t>
      </w:r>
      <w:r>
        <w:t xml:space="preserve">El FMI da 18,4% en 2023 (16,2% solo en pesos) sobre el PIB promedio del año, y 11,0% sobre el PIB</w:t>
      </w:r>
      <w:r>
        <w:t xml:space="preserve"> </w:t>
      </w:r>
      <w:r>
        <w:t xml:space="preserve">anualizado del cuarto trimestre (FMI, 2025, anexo II). La diferencia viene del denominador, que</w:t>
      </w:r>
      <w:r>
        <w:t xml:space="preserve"> </w:t>
      </w:r>
      <w:r>
        <w:t xml:space="preserve">pesa mucho con inflación alta. Hay que elegir uno, justificarlo y usar el mismo para la deuda del</w:t>
      </w:r>
      <w:r>
        <w:t xml:space="preserve"> </w:t>
      </w:r>
      <w:r>
        <w:t xml:space="preserve">SPNF y para la del BCRA.</w:t>
      </w:r>
    </w:p>
    <w:bookmarkEnd w:id="11"/>
    <w:bookmarkStart w:id="12" w:name="modelos"/>
    <w:p>
      <w:pPr>
        <w:pStyle w:val="Heading3"/>
      </w:pPr>
      <w:r>
        <w:t xml:space="preserve">Modelos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Qué hay</w:t>
            </w:r>
          </w:p>
        </w:tc>
        <w:tc>
          <w:tcPr/>
          <w:p>
            <w:pPr>
              <w:pStyle w:val="Compact"/>
            </w:pPr>
            <w:r>
              <w:rPr>
                <w:rFonts w:ascii="Calibri" w:hAnsi="Calibri"/>
                <w:sz w:val="20"/>
              </w:rPr>
              <w:t xml:space="preserve">Archivo</w:t>
            </w:r>
          </w:p>
        </w:tc>
        <w:tc>
          <w:tcPr/>
          <w:p>
            <w:pPr>
              <w:pStyle w:val="Compact"/>
            </w:pPr>
            <w:r>
              <w:rPr>
                <w:rFonts w:ascii="Calibri" w:hAnsi="Calibri"/>
                <w:sz w:val="20"/>
              </w:rPr>
              <w:t xml:space="preserve">Qué se hace</w:t>
            </w:r>
          </w:p>
        </w:tc>
      </w:tr>
      <w:tr>
        <w:tc>
          <w:tcPr/>
          <w:p>
            <w:pPr>
              <w:pStyle w:val="Compact"/>
            </w:pPr>
            <w:r>
              <w:rPr>
                <w:rFonts w:ascii="Calibri" w:hAnsi="Calibri"/>
                <w:sz w:val="20"/>
              </w:rPr>
              <w:t xml:space="preserve">Pruebas de raíz unitaria (ADF, KPSS, DF-GLS) y de quiebre único (Zivot-Andrews)</w:t>
            </w:r>
          </w:p>
        </w:tc>
        <w:tc>
          <w:tcPr/>
          <w:p>
            <w:pPr>
              <w:pStyle w:val="Compact"/>
            </w:pPr>
            <w:r>
              <w:rPr>
                <w:rStyle w:val="VerbatimChar"/>
                <w:rFonts w:ascii="Calibri" w:hAnsi="Calibri"/>
                <w:sz w:val="20"/>
              </w:rPr>
              <w:t xml:space="preserve">fase1_estacionariedad.py</w:t>
            </w:r>
          </w:p>
        </w:tc>
        <w:tc>
          <w:tcPr/>
          <w:p>
            <w:pPr>
              <w:pStyle w:val="Compact"/>
            </w:pPr>
            <w:r>
              <w:rPr>
                <w:rFonts w:ascii="Calibri" w:hAnsi="Calibri"/>
                <w:sz w:val="20"/>
              </w:rPr>
              <w:t xml:space="preserve">Se reutiliza y se corre sobre la deuda consolidada.</w:t>
            </w:r>
          </w:p>
        </w:tc>
      </w:tr>
      <w:tr>
        <w:tc>
          <w:tcPr/>
          <w:p>
            <w:pPr>
              <w:pStyle w:val="Compact"/>
            </w:pPr>
            <w:r>
              <w:rPr>
                <w:rFonts w:ascii="Calibri" w:hAnsi="Calibri"/>
                <w:sz w:val="20"/>
              </w:rPr>
              <w:t xml:space="preserve">Quiebres múltiples de Bai-Perron, con implementación propia</w:t>
            </w:r>
          </w:p>
        </w:tc>
        <w:tc>
          <w:tcPr/>
          <w:p>
            <w:pPr>
              <w:pStyle w:val="Compact"/>
            </w:pPr>
            <w:r>
              <w:rPr>
                <w:rStyle w:val="VerbatimChar"/>
                <w:rFonts w:ascii="Calibri" w:hAnsi="Calibri"/>
                <w:sz w:val="20"/>
              </w:rPr>
              <w:t xml:space="preserve">fase9_bai_perron.py</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bai_perron.py</w:t>
            </w:r>
          </w:p>
        </w:tc>
        <w:tc>
          <w:tcPr/>
          <w:p>
            <w:pPr>
              <w:pStyle w:val="Compact"/>
            </w:pPr>
            <w:r>
              <w:rPr>
                <w:rFonts w:ascii="Calibri" w:hAnsi="Calibri"/>
                <w:sz w:val="20"/>
              </w:rPr>
              <w:t xml:space="preserve">Se reutiliza. Los quiebres pasan a ser dummies del SVARX.</w:t>
            </w:r>
          </w:p>
        </w:tc>
      </w:tr>
      <w:tr>
        <w:tc>
          <w:tcPr/>
          <w:p>
            <w:pPr>
              <w:pStyle w:val="Compact"/>
            </w:pPr>
            <w:r>
              <w:rPr>
                <w:rFonts w:ascii="Calibri" w:hAnsi="Calibri"/>
                <w:sz w:val="20"/>
              </w:rPr>
              <w:t xml:space="preserve">Johansen y VECM (versión anterior)</w:t>
            </w:r>
          </w:p>
        </w:tc>
        <w:tc>
          <w:tcPr/>
          <w:p>
            <w:pPr>
              <w:pStyle w:val="Compact"/>
            </w:pPr>
            <w:r>
              <w:rPr>
                <w:rStyle w:val="VerbatimChar"/>
                <w:rFonts w:ascii="Calibri" w:hAnsi="Calibri"/>
                <w:sz w:val="20"/>
              </w:rPr>
              <w:t xml:space="preserve">fase2</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fase3b</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fase16</w:t>
            </w:r>
          </w:p>
        </w:tc>
        <w:tc>
          <w:tcPr/>
          <w:p>
            <w:pPr>
              <w:pStyle w:val="Compact"/>
            </w:pPr>
            <w:r>
              <w:rPr>
                <w:rFonts w:ascii="Calibri" w:hAnsi="Calibri"/>
                <w:sz w:val="20"/>
              </w:rPr>
              <w:t xml:space="preserve">Reemplazados por la ecuación fiscal del SVARX (</w:t>
            </w:r>
            <w:r>
              <w:rPr>
                <w:rStyle w:val="VerbatimChar"/>
                <w:rFonts w:ascii="Calibri" w:hAnsi="Calibri"/>
                <w:sz w:val="20"/>
              </w:rPr>
              <w:t xml:space="preserve">fase24</w:t>
            </w:r>
            <w:r>
              <w:rPr>
                <w:rFonts w:ascii="Calibri" w:hAnsi="Calibri"/>
                <w:sz w:val="20"/>
              </w:rPr>
              <w:t xml:space="preserve">), estimada sobre la deuda consolidada con datos reales. Su reacción fiscal da 0,019 (p = 0,005), significativa, a diferencia del VECM anterior.</w:t>
            </w:r>
          </w:p>
        </w:tc>
      </w:tr>
      <w:tr>
        <w:tc>
          <w:tcPr/>
          <w:p>
            <w:pPr>
              <w:pStyle w:val="Compact"/>
            </w:pPr>
            <w:r>
              <w:rPr>
                <w:rFonts w:ascii="Calibri" w:hAnsi="Calibri"/>
                <w:sz w:val="20"/>
              </w:rPr>
              <w:t xml:space="preserve">SVAR restringido: brecha del producto, resultado primario, EMBI+, TCRM y deuda, con elasticidad cíclica de 0,25 citada y</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de 1.000 réplicas</w:t>
            </w:r>
          </w:p>
        </w:tc>
        <w:tc>
          <w:tcPr/>
          <w:p>
            <w:pPr>
              <w:pStyle w:val="Compact"/>
            </w:pPr>
            <w:r>
              <w:rPr>
                <w:rStyle w:val="VerbatimChar"/>
                <w:rFonts w:ascii="Calibri" w:hAnsi="Calibri"/>
                <w:sz w:val="20"/>
              </w:rPr>
              <w:t xml:space="preserve">fase19_var_restringido_macro.py</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fase23_reestimacion_1996_2025.py</w:t>
            </w:r>
          </w:p>
        </w:tc>
        <w:tc>
          <w:tcPr/>
          <w:p>
            <w:pPr>
              <w:pStyle w:val="Compact"/>
            </w:pPr>
            <w:r>
              <w:rPr>
                <w:rFonts w:ascii="Calibri" w:hAnsi="Calibri"/>
                <w:sz w:val="20"/>
              </w:rPr>
              <w:t xml:space="preserve">Es el núcleo. Se extiende a SVARX: el VAR de statsmodels ya admite variables exógenas, y la identificación se aplica igual sobre los residuos.</w:t>
            </w:r>
          </w:p>
        </w:tc>
      </w:tr>
      <w:tr>
        <w:tc>
          <w:tcPr/>
          <w:p>
            <w:pPr>
              <w:pStyle w:val="Compact"/>
            </w:pPr>
            <w:r>
              <w:rPr>
                <w:rFonts w:ascii="Calibri" w:hAnsi="Calibri"/>
                <w:sz w:val="20"/>
              </w:rPr>
              <w:t xml:space="preserve">Selección de rezagos, multicolinealidad y diagnósticos de residuos</w:t>
            </w:r>
          </w:p>
        </w:tc>
        <w:tc>
          <w:tcPr/>
          <w:p>
            <w:pPr>
              <w:pStyle w:val="Compact"/>
            </w:pPr>
            <w:r>
              <w:rPr>
                <w:rStyle w:val="VerbatimChar"/>
                <w:rFonts w:ascii="Calibri" w:hAnsi="Calibri"/>
                <w:sz w:val="20"/>
              </w:rPr>
              <w:t xml:space="preserve">fase12</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fase7</w:t>
            </w:r>
          </w:p>
        </w:tc>
        <w:tc>
          <w:tcPr/>
          <w:p>
            <w:pPr>
              <w:pStyle w:val="Compact"/>
            </w:pPr>
            <w:r>
              <w:rPr>
                <w:rFonts w:ascii="Calibri" w:hAnsi="Calibri"/>
                <w:sz w:val="20"/>
              </w:rPr>
              <w:t xml:space="preserve">Se reutiliza para validar el SVARX.</w:t>
            </w:r>
          </w:p>
        </w:tc>
      </w:tr>
      <w:tr>
        <w:tc>
          <w:tcPr/>
          <w:p>
            <w:pPr>
              <w:pStyle w:val="Compact"/>
            </w:pPr>
            <w:r>
              <w:rPr>
                <w:rFonts w:ascii="Calibri" w:hAnsi="Calibri"/>
                <w:sz w:val="20"/>
              </w:rPr>
              <w:t xml:space="preserve">Grados de libertad de la t de Student, estimados por momentos (nu = 4,8)</w:t>
            </w:r>
          </w:p>
        </w:tc>
        <w:tc>
          <w:tcPr/>
          <w:p>
            <w:pPr>
              <w:pStyle w:val="Compact"/>
            </w:pPr>
            <w:r>
              <w:rPr>
                <w:rStyle w:val="VerbatimChar"/>
                <w:rFonts w:ascii="Calibri" w:hAnsi="Calibri"/>
                <w:sz w:val="20"/>
              </w:rPr>
              <w:t xml:space="preserve">fase17_calibracion_nu_dsa.py</w:t>
            </w:r>
          </w:p>
        </w:tc>
        <w:tc>
          <w:tcPr/>
          <w:p>
            <w:pPr>
              <w:pStyle w:val="Compact"/>
            </w:pPr>
            <w:r>
              <w:rPr>
                <w:rFonts w:ascii="Calibri" w:hAnsi="Calibri"/>
                <w:sz w:val="20"/>
              </w:rPr>
              <w:t xml:space="preserve">Se reutiliza.</w:t>
            </w:r>
          </w:p>
        </w:tc>
      </w:tr>
      <w:tr>
        <w:tc>
          <w:tcPr/>
          <w:p>
            <w:pPr>
              <w:pStyle w:val="Compact"/>
            </w:pPr>
            <w:r>
              <w:rPr>
                <w:rFonts w:ascii="Calibri" w:hAnsi="Calibri"/>
                <w:sz w:val="20"/>
              </w:rPr>
              <w:t xml:space="preserve">Umbral de Hansen y TVECM</w:t>
            </w:r>
          </w:p>
        </w:tc>
        <w:tc>
          <w:tcPr/>
          <w:p>
            <w:pPr>
              <w:pStyle w:val="Compact"/>
            </w:pPr>
            <w:r>
              <w:rPr>
                <w:rStyle w:val="VerbatimChar"/>
                <w:rFonts w:ascii="Calibri" w:hAnsi="Calibri"/>
                <w:sz w:val="20"/>
              </w:rPr>
              <w:t xml:space="preserve">fase5</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fase13</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fase21</w:t>
            </w:r>
          </w:p>
        </w:tc>
        <w:tc>
          <w:tcPr/>
          <w:p>
            <w:pPr>
              <w:pStyle w:val="Compact"/>
            </w:pPr>
            <w:r>
              <w:rPr>
                <w:rFonts w:ascii="Calibri" w:hAnsi="Calibri"/>
                <w:sz w:val="20"/>
              </w:rPr>
              <w:t xml:space="preserve">Queda como resultado complementario de H1a.</w:t>
            </w:r>
          </w:p>
        </w:tc>
      </w:tr>
      <w:tr>
        <w:tc>
          <w:tcPr/>
          <w:p>
            <w:pPr>
              <w:pStyle w:val="Compact"/>
            </w:pPr>
            <w:r>
              <w:rPr>
                <w:rFonts w:ascii="Calibri" w:hAnsi="Calibri"/>
                <w:sz w:val="20"/>
              </w:rPr>
              <w:t xml:space="preserve">Simulación (DSA)</w:t>
            </w:r>
          </w:p>
        </w:tc>
        <w:tc>
          <w:tcPr/>
          <w:p>
            <w:pPr>
              <w:pStyle w:val="Compact"/>
            </w:pPr>
            <w:r>
              <w:rPr>
                <w:rStyle w:val="VerbatimChar"/>
                <w:rFonts w:ascii="Calibri" w:hAnsi="Calibri"/>
                <w:sz w:val="20"/>
              </w:rPr>
              <w:t xml:space="preserve">fase6_sostenibilidad_deuda.py</w:t>
            </w:r>
          </w:p>
        </w:tc>
        <w:tc>
          <w:tcPr/>
          <w:p>
            <w:pPr>
              <w:pStyle w:val="Compact"/>
            </w:pPr>
            <w:r>
              <w:rPr>
                <w:rFonts w:ascii="Calibri" w:hAnsi="Calibri"/>
                <w:b/>
                <w:bCs/>
                <w:sz w:val="20"/>
              </w:rPr>
              <w:t xml:space="preserve">Se rehace en buena parte</w:t>
            </w:r>
            <w:r>
              <w:rPr>
                <w:rFonts w:ascii="Calibri" w:hAnsi="Calibri"/>
                <w:sz w:val="20"/>
              </w:rPr>
              <w:t xml:space="preserve"> </w:t>
            </w:r>
            <w:r>
              <w:rPr>
                <w:rFonts w:ascii="Calibri" w:hAnsi="Calibri"/>
                <w:sz w:val="20"/>
              </w:rPr>
              <w:t xml:space="preserve">(ver abajo). Se reutilizan la identidad con separación de monedas, la t de Student y los gráficos.</w:t>
            </w:r>
          </w:p>
        </w:tc>
      </w:tr>
      <w:tr>
        <w:tc>
          <w:tcPr/>
          <w:p>
            <w:pPr>
              <w:pStyle w:val="Compact"/>
            </w:pPr>
            <w:r>
              <w:rPr>
                <w:rFonts w:ascii="Calibri" w:hAnsi="Calibri"/>
                <w:sz w:val="20"/>
              </w:rPr>
              <w:t xml:space="preserve">DOLS, variables instrumentales, CIR, DCC-GARCH, dependencia de colas, histórico 1983-2025</w:t>
            </w:r>
          </w:p>
        </w:tc>
        <w:tc>
          <w:tcPr/>
          <w:p>
            <w:pPr>
              <w:pStyle w:val="Compact"/>
            </w:pPr>
            <w:r>
              <w:rPr>
                <w:rStyle w:val="VerbatimChar"/>
                <w:rFonts w:ascii="Calibri" w:hAnsi="Calibri"/>
                <w:sz w:val="20"/>
              </w:rPr>
              <w:t xml:space="preserve">fase3</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fase4</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fase10</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fase11</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fase14</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fase20</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fase22</w:t>
            </w:r>
          </w:p>
        </w:tc>
        <w:tc>
          <w:tcPr/>
          <w:p>
            <w:pPr>
              <w:pStyle w:val="Compact"/>
            </w:pPr>
            <w:r>
              <w:rPr>
                <w:rFonts w:ascii="Calibri" w:hAnsi="Calibri"/>
                <w:sz w:val="20"/>
              </w:rPr>
              <w:t xml:space="preserve">Quedan fuera, como ya se había decidido.</w:t>
            </w:r>
          </w:p>
        </w:tc>
      </w:tr>
    </w:tbl>
    <w:p>
      <w:pPr>
        <w:pStyle w:val="BodyText"/>
      </w:pPr>
      <w:r>
        <w:rPr>
          <w:b/>
          <w:bCs/>
        </w:rPr>
        <w:t xml:space="preserve">Por qué hay que rehacer la simulación.</w:t>
      </w:r>
      <w:r>
        <w:t xml:space="preserve"> </w:t>
      </w:r>
      <w:r>
        <w:t xml:space="preserve">Revisada con el criterio de que todo número tiene que</w:t>
      </w:r>
      <w:r>
        <w:t xml:space="preserve"> </w:t>
      </w:r>
      <w:r>
        <w:t xml:space="preserve">estar justificado, tiene cuatro problemas:</w:t>
      </w:r>
    </w:p>
    <w:p>
      <w:pPr>
        <w:pStyle w:val="Compact"/>
        <w:numPr>
          <w:ilvl w:val="0"/>
          <w:numId w:val="1003"/>
        </w:numPr>
      </w:pPr>
      <w:r>
        <w:t xml:space="preserve">Los desvíos de los shocks (1,5%, 4%, 5%, 2% y 15%) están</w:t>
      </w:r>
      <w:r>
        <w:t xml:space="preserve"> </w:t>
      </w:r>
      <w:r>
        <w:t xml:space="preserve">“calibrados a mano”</w:t>
      </w:r>
      <w:r>
        <w:t xml:space="preserve">, según el propio</w:t>
      </w:r>
      <w:r>
        <w:t xml:space="preserve"> </w:t>
      </w:r>
      <w:r>
        <w:t xml:space="preserve">código.</w:t>
      </w:r>
    </w:p>
    <w:p>
      <w:pPr>
        <w:pStyle w:val="Compact"/>
        <w:numPr>
          <w:ilvl w:val="0"/>
          <w:numId w:val="1003"/>
        </w:numPr>
      </w:pPr>
      <w:r>
        <w:t xml:space="preserve">Los parámetros del escenario base (resultado primario 1,5%, crecimiento 3,5%, tasa en pesos 6%,</w:t>
      </w:r>
      <w:r>
        <w:t xml:space="preserve"> </w:t>
      </w:r>
      <w:r>
        <w:t xml:space="preserve">tasa en dólares 7,5%) no tienen fuente.</w:t>
      </w:r>
    </w:p>
    <w:p>
      <w:pPr>
        <w:pStyle w:val="Compact"/>
        <w:numPr>
          <w:ilvl w:val="0"/>
          <w:numId w:val="1003"/>
        </w:numPr>
      </w:pPr>
      <w:r>
        <w:t xml:space="preserve">Los shocks son independientes año a año: el SVAR solo aporta las correlaciones, no su</w:t>
      </w:r>
      <w:r>
        <w:t xml:space="preserve"> </w:t>
      </w:r>
      <w:r>
        <w:t xml:space="preserve">dinámica. Así no hay efectos conjuntos, que es lo que pide la pregunta.</w:t>
      </w:r>
    </w:p>
    <w:p>
      <w:pPr>
        <w:pStyle w:val="Compact"/>
        <w:numPr>
          <w:ilvl w:val="0"/>
          <w:numId w:val="1003"/>
        </w:numPr>
      </w:pPr>
      <w:r>
        <w:t xml:space="preserve">Usa el criterio de 100% del PIB, que salió de las hipótesis.</w:t>
      </w:r>
    </w:p>
    <w:p>
      <w:pPr>
        <w:pStyle w:val="FirstParagraph"/>
      </w:pPr>
      <w:r>
        <w:t xml:space="preserve">La versión nueva simula directamente desde el SVARX estimado (remuestreo de residuos, con sus</w:t>
      </w:r>
      <w:r>
        <w:t xml:space="preserve"> </w:t>
      </w:r>
      <w:r>
        <w:t xml:space="preserve">rezagos), acumula la deuda con la identidad y calcula las métricas del FMI. Para el escenario base</w:t>
      </w:r>
      <w:r>
        <w:t xml:space="preserve"> </w:t>
      </w:r>
      <w:r>
        <w:t xml:space="preserve">hay que adoptar un sendero con fuente, por ejemplo el del propio FMI (2025), lo que además permite</w:t>
      </w:r>
      <w:r>
        <w:t xml:space="preserve"> </w:t>
      </w:r>
      <w:r>
        <w:t xml:space="preserve">comparar con su resultado.</w:t>
      </w:r>
    </w:p>
    <w:bookmarkEnd w:id="12"/>
    <w:bookmarkStart w:id="13" w:name="las-cuatro-piezas-que-faltaban-hechas"/>
    <w:p>
      <w:pPr>
        <w:pStyle w:val="Heading3"/>
      </w:pPr>
      <w:r>
        <w:t xml:space="preserve">Las cuatro piezas que faltaban (hechas)</w:t>
      </w:r>
    </w:p>
    <w:p>
      <w:pPr>
        <w:pStyle w:val="Compact"/>
        <w:numPr>
          <w:ilvl w:val="0"/>
          <w:numId w:val="1004"/>
        </w:numPr>
      </w:pPr>
      <w:r>
        <w:t xml:space="preserve">Deuda consolidada 1996-2025 con un denominador coherente: bruta, neta a valor libros y neta con las Letras Intransferibles a valor nominal (la principal).</w:t>
      </w:r>
    </w:p>
    <w:p>
      <w:pPr>
        <w:pStyle w:val="Compact"/>
        <w:numPr>
          <w:ilvl w:val="0"/>
          <w:numId w:val="1004"/>
        </w:numPr>
      </w:pPr>
      <w:r>
        <w:t xml:space="preserve">Tasa de la FED y tasa sombra de Wu y Xia, trimestrales.</w:t>
      </w:r>
    </w:p>
    <w:p>
      <w:pPr>
        <w:pStyle w:val="Compact"/>
        <w:numPr>
          <w:ilvl w:val="0"/>
          <w:numId w:val="1004"/>
        </w:numPr>
      </w:pPr>
      <w:r>
        <w:t xml:space="preserve">SVARX nuevo (</w:t>
      </w:r>
      <w:r>
        <w:rPr>
          <w:rStyle w:val="VerbatimChar"/>
        </w:rPr>
        <w:t xml:space="preserve">fase24_svarx_1996_2025.py</w:t>
      </w:r>
      <w:r>
        <w:t xml:space="preserve">).</w:t>
      </w:r>
    </w:p>
    <w:p>
      <w:pPr>
        <w:pStyle w:val="Compact"/>
        <w:numPr>
          <w:ilvl w:val="0"/>
          <w:numId w:val="1004"/>
        </w:numPr>
      </w:pPr>
      <w:r>
        <w:t xml:space="preserve">Simulación desde el SVARX con la métrica del FMI (</w:t>
      </w:r>
      <w:r>
        <w:rPr>
          <w:rStyle w:val="VerbatimChar"/>
        </w:rPr>
        <w:t xml:space="preserve">fase25_simulacion_dsa_svarx.py</w:t>
      </w:r>
      <w:r>
        <w:t xml:space="preserve">), más la variante con shocks a la manera del FMI y su diagnóstico (</w:t>
      </w:r>
      <w:r>
        <w:rPr>
          <w:rStyle w:val="VerbatimChar"/>
        </w:rPr>
        <w:t xml:space="preserve">fase25b_diagnostico_abanico_fmi.py</w:t>
      </w:r>
      <w:r>
        <w:t xml:space="preserve">).</w:t>
      </w:r>
    </w:p>
    <w:bookmarkEnd w:id="13"/>
    <w:bookmarkEnd w:id="14"/>
    <w:bookmarkStart w:id="15" w:name="decisiones-tomadas"/>
    <w:p>
      <w:pPr>
        <w:pStyle w:val="Heading2"/>
      </w:pPr>
      <w:r>
        <w:t xml:space="preserve">3. Decisiones tomadas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N.°</w:t>
            </w:r>
          </w:p>
        </w:tc>
        <w:tc>
          <w:tcPr/>
          <w:p>
            <w:pPr>
              <w:pStyle w:val="Compact"/>
            </w:pPr>
            <w:r>
              <w:rPr>
                <w:rFonts w:ascii="Calibri" w:hAnsi="Calibri"/>
                <w:sz w:val="20"/>
              </w:rPr>
              <w:t xml:space="preserve">Decisión</w:t>
            </w:r>
          </w:p>
        </w:tc>
        <w:tc>
          <w:tcPr/>
          <w:p>
            <w:pPr>
              <w:pStyle w:val="Compact"/>
            </w:pPr>
            <w:r>
              <w:rPr>
                <w:rFonts w:ascii="Calibri" w:hAnsi="Calibri"/>
                <w:sz w:val="20"/>
              </w:rPr>
              <w:t xml:space="preserve">Justificación</w:t>
            </w:r>
          </w:p>
        </w:tc>
      </w:tr>
      <w:tr>
        <w:tc>
          <w:tcPr/>
          <w:p>
            <w:pPr>
              <w:pStyle w:val="Compact"/>
            </w:pPr>
            <w:r>
              <w:rPr>
                <w:rFonts w:ascii="Calibri" w:hAnsi="Calibri"/>
                <w:sz w:val="20"/>
              </w:rPr>
              <w:t xml:space="preserve">1</w:t>
            </w:r>
          </w:p>
        </w:tc>
        <w:tc>
          <w:tcPr/>
          <w:p>
            <w:pPr>
              <w:pStyle w:val="Compact"/>
            </w:pPr>
            <w:r>
              <w:rPr>
                <w:rFonts w:ascii="Calibri" w:hAnsi="Calibri"/>
                <w:sz w:val="20"/>
              </w:rPr>
              <w:t xml:space="preserve">La Introducción de Santiago del 7/10 es la base, completada con la Justificación y los objetivos específicos del texto LaTeX.</w:t>
            </w:r>
          </w:p>
        </w:tc>
        <w:tc>
          <w:tcPr/>
          <w:p>
            <w:pPr>
              <w:pStyle w:val="Compact"/>
            </w:pPr>
            <w:r>
              <w:rPr>
                <w:rFonts w:ascii="Calibri" w:hAnsi="Calibri"/>
                <w:sz w:val="20"/>
              </w:rPr>
              <w:t xml:space="preserve">Es la versión más reciente y ya fue revisada.</w:t>
            </w:r>
          </w:p>
        </w:tc>
      </w:tr>
      <w:tr>
        <w:tc>
          <w:tcPr/>
          <w:p>
            <w:pPr>
              <w:pStyle w:val="Compact"/>
            </w:pPr>
            <w:r>
              <w:rPr>
                <w:rFonts w:ascii="Calibri" w:hAnsi="Calibri"/>
                <w:sz w:val="20"/>
              </w:rPr>
              <w:t xml:space="preserve">2</w:t>
            </w:r>
          </w:p>
        </w:tc>
        <w:tc>
          <w:tcPr/>
          <w:p>
            <w:pPr>
              <w:pStyle w:val="Compact"/>
            </w:pPr>
            <w:r>
              <w:rPr>
                <w:rFonts w:ascii="Calibri" w:hAnsi="Calibri"/>
                <w:sz w:val="20"/>
              </w:rPr>
              <w:t xml:space="preserve">Todo el trabajo empírico (modelo y simulación) se hace sobre la deuda consolidada SPNF y BCRA.</w:t>
            </w:r>
          </w:p>
        </w:tc>
        <w:tc>
          <w:tcPr/>
          <w:p>
            <w:pPr>
              <w:pStyle w:val="Compact"/>
            </w:pPr>
            <w:r>
              <w:rPr>
                <w:rFonts w:ascii="Calibri" w:hAnsi="Calibri"/>
                <w:sz w:val="20"/>
              </w:rPr>
              <w:t xml:space="preserve">Es el perímetro que plantea la pregunta de investigación, y el FMI considera deuda pública a los pasivos del banco central cuando pueden financiar al Tesoro o implican riesgo fiscal (FMI, 2021, anexo II).</w:t>
            </w:r>
          </w:p>
        </w:tc>
      </w:tr>
      <w:tr>
        <w:tc>
          <w:tcPr/>
          <w:p>
            <w:pPr>
              <w:pStyle w:val="Compact"/>
            </w:pPr>
            <w:r>
              <w:rPr>
                <w:rFonts w:ascii="Calibri" w:hAnsi="Calibri"/>
                <w:sz w:val="20"/>
              </w:rPr>
              <w:t xml:space="preserve">3</w:t>
            </w:r>
          </w:p>
        </w:tc>
        <w:tc>
          <w:tcPr/>
          <w:p>
            <w:pPr>
              <w:pStyle w:val="Compact"/>
            </w:pPr>
            <w:r>
              <w:rPr>
                <w:rFonts w:ascii="Calibri" w:hAnsi="Calibri"/>
                <w:sz w:val="20"/>
              </w:rPr>
              <w:t xml:space="preserve">El modelo es un SVARX: la deuda consolidada es una variable más del sistema, con la tasa de la FED y la volatilidad global como variables exógenas.</w:t>
            </w:r>
          </w:p>
        </w:tc>
        <w:tc>
          <w:tcPr/>
          <w:p>
            <w:pPr>
              <w:pStyle w:val="Compact"/>
            </w:pPr>
            <w:r>
              <w:rPr>
                <w:rFonts w:ascii="Calibri" w:hAnsi="Calibri"/>
                <w:sz w:val="20"/>
              </w:rPr>
              <w:t xml:space="preserve">Permite efectos conjuntos: la deuda responde a los shocks y a su vez los afecta. Es lo que hace falta para medir cómo un shock de la FED vuelve sobre la deuda a través del riesgo país y del tipo de cambio.</w:t>
            </w:r>
          </w:p>
        </w:tc>
      </w:tr>
      <w:tr>
        <w:tc>
          <w:tcPr/>
          <w:p>
            <w:pPr>
              <w:pStyle w:val="Compact"/>
            </w:pPr>
            <w:r>
              <w:rPr>
                <w:rFonts w:ascii="Calibri" w:hAnsi="Calibri"/>
                <w:sz w:val="20"/>
              </w:rPr>
              <w:t xml:space="preserve">4</w:t>
            </w:r>
          </w:p>
        </w:tc>
        <w:tc>
          <w:tcPr/>
          <w:p>
            <w:pPr>
              <w:pStyle w:val="Compact"/>
            </w:pPr>
            <w:r>
              <w:rPr>
                <w:rFonts w:ascii="Calibri" w:hAnsi="Calibri"/>
                <w:sz w:val="20"/>
              </w:rPr>
              <w:t xml:space="preserve">La identificación principal es el SVAR restringido por teoría que ya existe. El ordenamiento de Cholesky queda solo como prueba de robustez.</w:t>
            </w:r>
          </w:p>
        </w:tc>
        <w:tc>
          <w:tcPr/>
          <w:p>
            <w:pPr>
              <w:pStyle w:val="Compact"/>
            </w:pPr>
            <w:r>
              <w:rPr>
                <w:rFonts w:ascii="Calibri" w:hAnsi="Calibri"/>
                <w:sz w:val="20"/>
              </w:rPr>
              <w:t xml:space="preserve">No hay razón teórica para ordenar el EMBI+ y el TCRM entre sí, y esa justificación ya fue aprobada por el director.</w:t>
            </w:r>
          </w:p>
        </w:tc>
      </w:tr>
      <w:tr>
        <w:tc>
          <w:tcPr/>
          <w:p>
            <w:pPr>
              <w:pStyle w:val="Compact"/>
            </w:pPr>
            <w:r>
              <w:rPr>
                <w:rFonts w:ascii="Calibri" w:hAnsi="Calibri"/>
                <w:sz w:val="20"/>
              </w:rPr>
              <w:t xml:space="preserve">5</w:t>
            </w:r>
          </w:p>
        </w:tc>
        <w:tc>
          <w:tcPr/>
          <w:p>
            <w:pPr>
              <w:pStyle w:val="Compact"/>
            </w:pPr>
            <w:r>
              <w:rPr>
                <w:rFonts w:ascii="Calibri" w:hAnsi="Calibri"/>
                <w:sz w:val="20"/>
              </w:rPr>
              <w:t xml:space="preserve">H1b contrasta si nuestra probabilidad de no estabilización supera la del FMI (alrededor de 3%), con el escenario base del FMI.</w:t>
            </w:r>
          </w:p>
        </w:tc>
        <w:tc>
          <w:tcPr/>
          <w:p>
            <w:pPr>
              <w:pStyle w:val="Compact"/>
            </w:pPr>
            <w:r>
              <w:rPr>
                <w:rFonts w:ascii="Calibri" w:hAnsi="Calibri"/>
                <w:sz w:val="20"/>
              </w:rPr>
              <w:t xml:space="preserve">Es la métrica del FMI (FMI, 2021, párr. 53) y el umbral es su propio diagnóstico (FMI, 2025, anexo II). Mide si el perímetro consolidado y los shocks identificados cambian ese diagnóstico, que es la vacancia. Se contrasta con el intervalo de 90% del</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(unilateral al 5%).</w:t>
            </w:r>
          </w:p>
        </w:tc>
      </w:tr>
      <w:tr>
        <w:tc>
          <w:tcPr/>
          <w:p>
            <w:pPr>
              <w:pStyle w:val="Compact"/>
            </w:pPr>
            <w:r>
              <w:rPr>
                <w:rFonts w:ascii="Calibri" w:hAnsi="Calibri"/>
                <w:sz w:val="20"/>
              </w:rPr>
              <w:t xml:space="preserve">6</w:t>
            </w:r>
          </w:p>
        </w:tc>
        <w:tc>
          <w:tcPr/>
          <w:p>
            <w:pPr>
              <w:pStyle w:val="Compact"/>
            </w:pPr>
            <w:r>
              <w:rPr>
                <w:rFonts w:ascii="Calibri" w:hAnsi="Calibri"/>
                <w:sz w:val="20"/>
              </w:rPr>
              <w:t xml:space="preserve">El criterio</w:t>
            </w:r>
            <w:r>
              <w:rPr>
                <w:rFonts w:ascii="Calibri" w:hAnsi="Calibri"/>
                <w:sz w:val="20"/>
              </w:rPr>
              <w:t xml:space="preserve"> </w:t>
            </w:r>
            <w:r>
              <w:rPr>
                <w:rFonts w:ascii="Calibri" w:hAnsi="Calibri"/>
                <w:sz w:val="20"/>
              </w:rPr>
              <w:t xml:space="preserve">“deuda mayor a 100% del PIB”</w:t>
            </w:r>
            <w:r>
              <w:rPr>
                <w:rFonts w:ascii="Calibri" w:hAnsi="Calibri"/>
                <w:sz w:val="20"/>
              </w:rPr>
              <w:t xml:space="preserve"> </w:t>
            </w:r>
            <w:r>
              <w:rPr>
                <w:rFonts w:ascii="Calibri" w:hAnsi="Calibri"/>
                <w:sz w:val="20"/>
              </w:rPr>
              <w:t xml:space="preserve">sale de las hipótesis.</w:t>
            </w:r>
          </w:p>
        </w:tc>
        <w:tc>
          <w:tcPr/>
          <w:p>
            <w:pPr>
              <w:pStyle w:val="Compact"/>
            </w:pPr>
            <w:r>
              <w:rPr>
                <w:rFonts w:ascii="Calibri" w:hAnsi="Calibri"/>
                <w:sz w:val="20"/>
              </w:rPr>
              <w:t xml:space="preserve">No tiene fuente que lo justifique.</w:t>
            </w:r>
          </w:p>
        </w:tc>
      </w:tr>
      <w:tr>
        <w:tc>
          <w:tcPr/>
          <w:p>
            <w:pPr>
              <w:pStyle w:val="Compact"/>
            </w:pPr>
            <w:r>
              <w:rPr>
                <w:rFonts w:ascii="Calibri" w:hAnsi="Calibri"/>
                <w:sz w:val="20"/>
              </w:rPr>
              <w:t xml:space="preserve">7</w:t>
            </w:r>
          </w:p>
        </w:tc>
        <w:tc>
          <w:tcPr/>
          <w:p>
            <w:pPr>
              <w:pStyle w:val="Compact"/>
            </w:pPr>
            <w:r>
              <w:rPr>
                <w:rFonts w:ascii="Calibri" w:hAnsi="Calibri"/>
                <w:sz w:val="20"/>
              </w:rPr>
              <w:t xml:space="preserve">El área de vacancia se reformula.</w:t>
            </w:r>
          </w:p>
        </w:tc>
        <w:tc>
          <w:tcPr/>
          <w:p>
            <w:pPr>
              <w:pStyle w:val="Compact"/>
            </w:pPr>
            <w:r>
              <w:rPr>
                <w:rFonts w:ascii="Calibri" w:hAnsi="Calibri"/>
                <w:sz w:val="20"/>
              </w:rPr>
              <w:t xml:space="preserve">El marco del FMI sí admite incluir los pasivos del banco central (FMI, 2021, anexo II), pero en su análisis de Argentina corre las herramientas sobre la deuda federal bruta y muestra la consolidada solo como cuadro (FMI, 2025, anexo II, cuadro 2). La vacancia pasa a ser la combinación de tres aspectos: identificación estructural, un shock externo identificado y la estimación sobre el perímetro consolidado.</w:t>
            </w:r>
          </w:p>
        </w:tc>
      </w:tr>
      <w:tr>
        <w:tc>
          <w:tcPr/>
          <w:p>
            <w:pPr>
              <w:pStyle w:val="Compact"/>
            </w:pPr>
            <w:r>
              <w:rPr>
                <w:rFonts w:ascii="Calibri" w:hAnsi="Calibri"/>
                <w:sz w:val="20"/>
              </w:rPr>
              <w:t xml:space="preserve">8</w:t>
            </w:r>
          </w:p>
        </w:tc>
        <w:tc>
          <w:tcPr/>
          <w:p>
            <w:pPr>
              <w:pStyle w:val="Compact"/>
            </w:pPr>
            <w:r>
              <w:rPr>
                <w:rFonts w:ascii="Calibri" w:hAnsi="Calibri"/>
                <w:sz w:val="20"/>
              </w:rPr>
              <w:t xml:space="preserve">El canal cuasifiscal del shock de la FED se redacta en pasado.</w:t>
            </w:r>
          </w:p>
        </w:tc>
        <w:tc>
          <w:tcPr/>
          <w:p>
            <w:pPr>
              <w:pStyle w:val="Compact"/>
            </w:pPr>
            <w:r>
              <w:rPr>
                <w:rFonts w:ascii="Calibri" w:hAnsi="Calibri"/>
                <w:sz w:val="20"/>
              </w:rPr>
              <w:t xml:space="preserve">Los pasivos remunerados del BCRA se redujeron a niveles mínimos desde 2024.</w:t>
            </w:r>
          </w:p>
        </w:tc>
      </w:tr>
      <w:tr>
        <w:tc>
          <w:tcPr/>
          <w:p>
            <w:pPr>
              <w:pStyle w:val="Compact"/>
            </w:pPr>
            <w:r>
              <w:rPr>
                <w:rFonts w:ascii="Calibri" w:hAnsi="Calibri"/>
                <w:sz w:val="20"/>
              </w:rPr>
              <w:t xml:space="preserve">9</w:t>
            </w:r>
          </w:p>
        </w:tc>
        <w:tc>
          <w:tcPr/>
          <w:p>
            <w:pPr>
              <w:pStyle w:val="Compact"/>
            </w:pPr>
            <w:r>
              <w:rPr>
                <w:rFonts w:ascii="Calibri" w:hAnsi="Calibri"/>
                <w:sz w:val="20"/>
              </w:rPr>
              <w:t xml:space="preserve">El módulo de balanza de pagos (exportaciones, importaciones, inversión extranjera directa, fuga de capitales, renovación de vencimientos, necesidades de financiamiento) queda fuera y pasa a investigación futura.</w:t>
            </w:r>
          </w:p>
        </w:tc>
        <w:tc>
          <w:tcPr/>
          <w:p>
            <w:pPr>
              <w:pStyle w:val="Compact"/>
            </w:pPr>
            <w:r>
              <w:rPr>
                <w:rFonts w:ascii="Calibri" w:hAnsi="Calibri"/>
                <w:sz w:val="20"/>
              </w:rPr>
              <w:t xml:space="preserve">No está especificado, y su tamaño es el de otra tesis.</w:t>
            </w:r>
          </w:p>
        </w:tc>
      </w:tr>
      <w:tr>
        <w:tc>
          <w:tcPr/>
          <w:p>
            <w:pPr>
              <w:pStyle w:val="Compact"/>
            </w:pPr>
            <w:r>
              <w:rPr>
                <w:rFonts w:ascii="Calibri" w:hAnsi="Calibri"/>
                <w:sz w:val="20"/>
              </w:rPr>
              <w:t xml:space="preserve">10</w:t>
            </w:r>
          </w:p>
        </w:tc>
        <w:tc>
          <w:tcPr/>
          <w:p>
            <w:pPr>
              <w:pStyle w:val="Compact"/>
            </w:pPr>
            <w:r>
              <w:rPr>
                <w:rFonts w:ascii="Calibri" w:hAnsi="Calibri"/>
                <w:sz w:val="20"/>
              </w:rPr>
              <w:t xml:space="preserve">Todo umbral, corte o tamaño de shock tiene que tener una justificación escrita, propia o citada.</w:t>
            </w:r>
          </w:p>
        </w:tc>
        <w:tc>
          <w:tcPr/>
          <w:p>
            <w:pPr>
              <w:pStyle w:val="Compact"/>
            </w:pPr>
            <w:r>
              <w:rPr>
                <w:rFonts w:ascii="Calibri" w:hAnsi="Calibri"/>
                <w:sz w:val="20"/>
              </w:rPr>
              <w:t xml:space="preserve">Criterio del grupo.</w:t>
            </w:r>
          </w:p>
        </w:tc>
      </w:tr>
      <w:tr>
        <w:tc>
          <w:tcPr/>
          <w:p>
            <w:pPr>
              <w:pStyle w:val="Compact"/>
            </w:pPr>
            <w:r>
              <w:rPr>
                <w:rFonts w:ascii="Calibri" w:hAnsi="Calibri"/>
                <w:sz w:val="20"/>
              </w:rPr>
              <w:t xml:space="preserve">11</w:t>
            </w:r>
          </w:p>
        </w:tc>
        <w:tc>
          <w:tcPr/>
          <w:p>
            <w:pPr>
              <w:pStyle w:val="Compact"/>
            </w:pPr>
            <w:r>
              <w:rPr>
                <w:rFonts w:ascii="Calibri" w:hAnsi="Calibri"/>
                <w:sz w:val="20"/>
              </w:rPr>
              <w:t xml:space="preserve">Ventana única: todas las especificaciones se estiman sobre la misma muestra efectiva, 1998T2-2025T4, y los primeros trimestres de 1996-1998 se usan como condiciones iniciales de los rezagos.</w:t>
            </w:r>
          </w:p>
        </w:tc>
        <w:tc>
          <w:tcPr/>
          <w:p>
            <w:pPr>
              <w:pStyle w:val="Compact"/>
            </w:pPr>
            <w:r>
              <w:rPr>
                <w:rFonts w:ascii="Calibri" w:hAnsi="Calibri"/>
                <w:sz w:val="20"/>
              </w:rPr>
              <w:t xml:space="preserve">Los criterios de información solo se pueden comparar entre órdenes sobre un mismo período (Lütkepohl, 2005, sec. 4.3), y así la deuda neta, la neta en libros y la bruta se estiman sobre los mismos trimestres.</w:t>
            </w:r>
          </w:p>
        </w:tc>
      </w:tr>
      <w:tr>
        <w:tc>
          <w:tcPr/>
          <w:p>
            <w:pPr>
              <w:pStyle w:val="Compact"/>
            </w:pPr>
            <w:r>
              <w:rPr>
                <w:rFonts w:ascii="Calibri" w:hAnsi="Calibri"/>
                <w:sz w:val="20"/>
              </w:rPr>
              <w:t xml:space="preserve">12</w:t>
            </w:r>
          </w:p>
        </w:tc>
        <w:tc>
          <w:tcPr/>
          <w:p>
            <w:pPr>
              <w:pStyle w:val="Compact"/>
            </w:pPr>
            <w:r>
              <w:rPr>
                <w:rFonts w:ascii="Calibri" w:hAnsi="Calibri"/>
                <w:sz w:val="20"/>
              </w:rPr>
              <w:t xml:space="preserve">H1b se contrasta a cinco años (2030), el horizonte de la métrica del FMI, y a diez años (2035).</w:t>
            </w:r>
          </w:p>
        </w:tc>
        <w:tc>
          <w:tcPr/>
          <w:p>
            <w:pPr>
              <w:pStyle w:val="Compact"/>
            </w:pPr>
            <w:r>
              <w:rPr>
                <w:rFonts w:ascii="Calibri" w:hAnsi="Calibri"/>
                <w:sz w:val="20"/>
              </w:rPr>
              <w:t xml:space="preserve">El 3% del FMI se mide a cinco años; 2035 es el final del horizonte de la tesis.</w:t>
            </w:r>
          </w:p>
        </w:tc>
      </w:tr>
      <w:tr>
        <w:tc>
          <w:tcPr/>
          <w:p>
            <w:pPr>
              <w:pStyle w:val="Compact"/>
            </w:pPr>
            <w:r>
              <w:rPr>
                <w:rFonts w:ascii="Calibri" w:hAnsi="Calibri"/>
                <w:sz w:val="20"/>
              </w:rPr>
              <w:t xml:space="preserve">13</w:t>
            </w:r>
          </w:p>
        </w:tc>
        <w:tc>
          <w:tcPr/>
          <w:p>
            <w:pPr>
              <w:pStyle w:val="Compact"/>
            </w:pPr>
            <w:r>
              <w:rPr>
                <w:rFonts w:ascii="Calibri" w:hAnsi="Calibri"/>
                <w:sz w:val="20"/>
              </w:rPr>
              <w:t xml:space="preserve">El shock de la FED se mide de dos maneras: un desvío estándar (0,50 puntos) y el ciclo de 2022-2023 (5,25 puntos).</w:t>
            </w:r>
          </w:p>
        </w:tc>
        <w:tc>
          <w:tcPr/>
          <w:p>
            <w:pPr>
              <w:pStyle w:val="Compact"/>
            </w:pPr>
            <w:r>
              <w:rPr>
                <w:rFonts w:ascii="Calibri" w:hAnsi="Calibri"/>
                <w:sz w:val="20"/>
              </w:rPr>
              <w:t xml:space="preserve">Convención de la literatura de VAR y episodio histórico reciente.</w:t>
            </w:r>
          </w:p>
        </w:tc>
      </w:tr>
      <w:tr>
        <w:tc>
          <w:tcPr/>
          <w:p>
            <w:pPr>
              <w:pStyle w:val="Compact"/>
            </w:pPr>
            <w:r>
              <w:rPr>
                <w:rFonts w:ascii="Calibri" w:hAnsi="Calibri"/>
                <w:sz w:val="20"/>
              </w:rPr>
              <w:t xml:space="preserve">14</w:t>
            </w:r>
          </w:p>
        </w:tc>
        <w:tc>
          <w:tcPr/>
          <w:p>
            <w:pPr>
              <w:pStyle w:val="Compact"/>
            </w:pPr>
            <w:r>
              <w:rPr>
                <w:rFonts w:ascii="Calibri" w:hAnsi="Calibri"/>
                <w:sz w:val="20"/>
              </w:rPr>
              <w:t xml:space="preserve">La especificación principal es el SVARX; los shocks a la manera del FMI se informan como comparación. La elección se fijó antes de ver los resultados.</w:t>
            </w:r>
          </w:p>
        </w:tc>
        <w:tc>
          <w:tcPr/>
          <w:p>
            <w:pPr>
              <w:pStyle w:val="Compact"/>
            </w:pPr>
            <w:r>
              <w:rPr>
                <w:rFonts w:ascii="Calibri" w:hAnsi="Calibri"/>
                <w:sz w:val="20"/>
              </w:rPr>
              <w:t xml:space="preserve">Solo los shocks identificados permiten contrastar H1a (bloques de shocks) y H2 (shock externo).</w:t>
            </w:r>
          </w:p>
        </w:tc>
      </w:tr>
      <w:tr>
        <w:tc>
          <w:tcPr/>
          <w:p>
            <w:pPr>
              <w:pStyle w:val="Compact"/>
            </w:pPr>
            <w:r>
              <w:rPr>
                <w:rFonts w:ascii="Calibri" w:hAnsi="Calibri"/>
                <w:sz w:val="20"/>
              </w:rPr>
              <w:t xml:space="preserve">15</w:t>
            </w:r>
          </w:p>
        </w:tc>
        <w:tc>
          <w:tcPr/>
          <w:p>
            <w:pPr>
              <w:pStyle w:val="Compact"/>
            </w:pPr>
            <w:r>
              <w:rPr>
                <w:rFonts w:ascii="Calibri" w:hAnsi="Calibri"/>
                <w:sz w:val="20"/>
              </w:rPr>
              <w:t xml:space="preserve">El canal de tasas en pesos se informa como variante: el riesgo país también reprecia la deuda en pesos.</w:t>
            </w:r>
          </w:p>
        </w:tc>
        <w:tc>
          <w:tcPr/>
          <w:p>
            <w:pPr>
              <w:pStyle w:val="Compact"/>
            </w:pPr>
            <w:r>
              <w:rPr>
                <w:rFonts w:ascii="Calibri" w:hAnsi="Calibri"/>
                <w:sz w:val="20"/>
              </w:rPr>
              <w:t xml:space="preserve">Tasa de interés del país (Neumeyer y Perri, 2005; Uribe y Yue, 2006). No hay una tasa en pesos homogénea para 1996-2025 que permita sumarla al VAR.</w:t>
            </w:r>
          </w:p>
        </w:tc>
      </w:tr>
    </w:tbl>
    <w:bookmarkEnd w:id="15"/>
    <w:bookmarkStart w:id="24" w:name="etapas"/>
    <w:p>
      <w:pPr>
        <w:pStyle w:val="Heading2"/>
      </w:pPr>
      <w:r>
        <w:t xml:space="preserve">4. Etapas</w:t>
      </w:r>
    </w:p>
    <w:p>
      <w:pPr>
        <w:pStyle w:val="FirstParagraph"/>
      </w:pPr>
      <w:r>
        <w:t xml:space="preserve">Estado:</w:t>
      </w:r>
      <w:r>
        <w:t xml:space="preserve"> </w:t>
      </w:r>
      <w:r>
        <w:rPr>
          <w:b/>
          <w:bCs/>
        </w:rPr>
        <w:t xml:space="preserve">hecho</w:t>
      </w:r>
      <w:r>
        <w:t xml:space="preserve">,</w:t>
      </w:r>
      <w:r>
        <w:t xml:space="preserve"> </w:t>
      </w:r>
      <w:r>
        <w:rPr>
          <w:b/>
          <w:bCs/>
        </w:rPr>
        <w:t xml:space="preserve">en curso</w:t>
      </w:r>
      <w:r>
        <w:t xml:space="preserve"> </w:t>
      </w:r>
      <w:r>
        <w:t xml:space="preserve">o</w:t>
      </w:r>
      <w:r>
        <w:t xml:space="preserve"> </w:t>
      </w:r>
      <w:r>
        <w:rPr>
          <w:b/>
          <w:bCs/>
        </w:rPr>
        <w:t xml:space="preserve">pendiente</w:t>
      </w:r>
      <w:r>
        <w:t xml:space="preserve">.</w:t>
      </w:r>
    </w:p>
    <w:bookmarkStart w:id="16" w:name="X8e6682cd329c11d0be0fd84830bfe77f1960cf0"/>
    <w:p>
      <w:pPr>
        <w:pStyle w:val="Heading3"/>
      </w:pPr>
      <w:r>
        <w:t xml:space="preserve">Etapa 1. Introducción (hecha; en revisión del grupo)</w:t>
      </w:r>
    </w:p>
    <w:p>
      <w:pPr>
        <w:pStyle w:val="Compact"/>
        <w:numPr>
          <w:ilvl w:val="0"/>
          <w:numId w:val="1005"/>
        </w:numPr>
      </w:pPr>
      <w:r>
        <w:t xml:space="preserve">Borrador corregido, con la H1a de Santiago, H1b a cinco y diez años y el tamaño del shock de la FED definido.</w:t>
      </w:r>
    </w:p>
    <w:bookmarkEnd w:id="16"/>
    <w:bookmarkStart w:id="17" w:name="X21d30eca0d7e3f1d214a006535a93fa47abd3ed"/>
    <w:p>
      <w:pPr>
        <w:pStyle w:val="Heading3"/>
      </w:pPr>
      <w:r>
        <w:t xml:space="preserve">Etapa 2. Antecedentes y área de vacancia (hecha; en revisión del grupo)</w:t>
      </w:r>
    </w:p>
    <w:p>
      <w:pPr>
        <w:pStyle w:val="Compact"/>
        <w:numPr>
          <w:ilvl w:val="0"/>
          <w:numId w:val="1006"/>
        </w:numPr>
      </w:pPr>
      <w:r>
        <w:t xml:space="preserve">Ocho ejes y la vacancia en tres partes, con el perímetro del FMI verificado en su informe de 2025.</w:t>
      </w:r>
    </w:p>
    <w:bookmarkEnd w:id="17"/>
    <w:bookmarkStart w:id="18" w:name="etapa-3.-datos-hecha"/>
    <w:p>
      <w:pPr>
        <w:pStyle w:val="Heading3"/>
      </w:pPr>
      <w:r>
        <w:t xml:space="preserve">Etapa 3. Datos (hecha)</w:t>
      </w:r>
    </w:p>
    <w:p>
      <w:pPr>
        <w:pStyle w:val="Compact"/>
        <w:numPr>
          <w:ilvl w:val="0"/>
          <w:numId w:val="1007"/>
        </w:numPr>
      </w:pPr>
      <w:r>
        <w:t xml:space="preserve">Series construidas desde fuentes primarias (MECON, BCRA, INDEC, FRED) y controladas contra el FMI (Capítulo 5).</w:t>
      </w:r>
    </w:p>
    <w:bookmarkEnd w:id="18"/>
    <w:bookmarkStart w:id="19" w:name="etapa-4.-metodología-hecha"/>
    <w:p>
      <w:pPr>
        <w:pStyle w:val="Heading3"/>
      </w:pPr>
      <w:r>
        <w:t xml:space="preserve">Etapa 4. Metodología (hecha)</w:t>
      </w:r>
    </w:p>
    <w:p>
      <w:pPr>
        <w:pStyle w:val="Compact"/>
        <w:numPr>
          <w:ilvl w:val="0"/>
          <w:numId w:val="1008"/>
        </w:numPr>
      </w:pPr>
      <w:r>
        <w:t xml:space="preserve">SVARX, identificación, ventana única, rezagos con regla AIC más estabilidad, canales de la FED, variantes y criterios de contraste (Capítulo 4).</w:t>
      </w:r>
    </w:p>
    <w:bookmarkEnd w:id="19"/>
    <w:bookmarkStart w:id="20" w:name="etapa-5.-estimación-hecha"/>
    <w:p>
      <w:pPr>
        <w:pStyle w:val="Heading3"/>
      </w:pPr>
      <w:r>
        <w:t xml:space="preserve">Etapa 5. Estimación (hecha)</w:t>
      </w:r>
    </w:p>
    <w:p>
      <w:pPr>
        <w:pStyle w:val="Compact"/>
        <w:numPr>
          <w:ilvl w:val="0"/>
          <w:numId w:val="1009"/>
        </w:numPr>
      </w:pPr>
      <w:r>
        <w:t xml:space="preserve">Reacción fiscal 0,051 [0,020; 0,082]; respuestas a la FED no significativas por separado; diagnósticos informados (Capítulo 6).</w:t>
      </w:r>
    </w:p>
    <w:bookmarkEnd w:id="20"/>
    <w:bookmarkStart w:id="21" w:name="etapa-6.-simulación-hecha"/>
    <w:p>
      <w:pPr>
        <w:pStyle w:val="Heading3"/>
      </w:pPr>
      <w:r>
        <w:t xml:space="preserve">Etapa 6. Simulación (hecha)</w:t>
      </w:r>
    </w:p>
    <w:p>
      <w:pPr>
        <w:pStyle w:val="Compact"/>
        <w:numPr>
          <w:ilvl w:val="0"/>
          <w:numId w:val="1010"/>
        </w:numPr>
      </w:pPr>
      <w:r>
        <w:t xml:space="preserve">Escenario base y dos escenarios de la FED, robustez por perímetro, canal de tasas en pesos y shocks a la manera del FMI.</w:t>
      </w:r>
    </w:p>
    <w:bookmarkEnd w:id="21"/>
    <w:bookmarkStart w:id="22" w:name="Xc907a071765566996626b616efabd2797d61fd7"/>
    <w:p>
      <w:pPr>
        <w:pStyle w:val="Heading3"/>
      </w:pPr>
      <w:r>
        <w:t xml:space="preserve">Etapa 7. Resultados, discusión y conclusiones (borrador listo para revisión del grupo)</w:t>
      </w:r>
    </w:p>
    <w:p>
      <w:pPr>
        <w:pStyle w:val="Compact"/>
        <w:numPr>
          <w:ilvl w:val="0"/>
          <w:numId w:val="1011"/>
        </w:numPr>
      </w:pPr>
      <w:r>
        <w:t xml:space="preserve">H1a respaldada. H1b respaldada a cinco años (11,8% contra 3%); a diez años, 6,0% con el límite inferior en el umbral. H2 respaldada para un ciclo como el de 2022-2023, no para un shock de medio punto.</w:t>
      </w:r>
    </w:p>
    <w:bookmarkEnd w:id="22"/>
    <w:bookmarkStart w:id="23" w:name="etapa-8.-entrega-pendiente"/>
    <w:p>
      <w:pPr>
        <w:pStyle w:val="Heading3"/>
      </w:pPr>
      <w:r>
        <w:t xml:space="preserve">Etapa 8. Entrega (pendiente)</w:t>
      </w:r>
    </w:p>
    <w:p>
      <w:pPr>
        <w:pStyle w:val="Compact"/>
        <w:numPr>
          <w:ilvl w:val="0"/>
          <w:numId w:val="1012"/>
        </w:numPr>
      </w:pPr>
      <w:r>
        <w:t xml:space="preserve">Revisión del grupo y del director, y pasaje al formato final.</w:t>
      </w:r>
    </w:p>
    <w:bookmarkEnd w:id="23"/>
    <w:bookmarkEnd w:id="24"/>
    <w:bookmarkStart w:id="25" w:name="datos-pendientes-de-confirmar"/>
    <w:p>
      <w:pPr>
        <w:pStyle w:val="Heading2"/>
      </w:pPr>
      <w:r>
        <w:t xml:space="preserve">5. Datos pendientes de confirmar</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Qué</w:t>
            </w:r>
          </w:p>
        </w:tc>
        <w:tc>
          <w:tcPr/>
          <w:p>
            <w:pPr>
              <w:pStyle w:val="Compact"/>
            </w:pPr>
            <w:r>
              <w:rPr>
                <w:rFonts w:ascii="Calibri" w:hAnsi="Calibri"/>
                <w:sz w:val="20"/>
              </w:rPr>
              <w:t xml:space="preserve">Dónde se usa</w:t>
            </w:r>
          </w:p>
        </w:tc>
      </w:tr>
      <w:tr>
        <w:tc>
          <w:tcPr/>
          <w:p>
            <w:pPr>
              <w:pStyle w:val="Compact"/>
            </w:pPr>
            <w:r>
              <w:rPr>
                <w:rFonts w:ascii="Calibri" w:hAnsi="Calibri"/>
                <w:sz w:val="20"/>
              </w:rPr>
              <w:t xml:space="preserve">Tenencias de títulos públicos del FGS (ANSES no permite la descarga automática; hay que bajarlas a mano). Fuente: Informes Estadísticos Mensuales en anses.gob.ar; sustituto: deuda en poder de Agencias del Sector Público, informes trimestrales de la Secretaría de Finanzas</w:t>
            </w:r>
          </w:p>
        </w:tc>
        <w:tc>
          <w:tcPr/>
          <w:p>
            <w:pPr>
              <w:pStyle w:val="Compact"/>
            </w:pPr>
            <w:r>
              <w:rPr>
                <w:rFonts w:ascii="Calibri" w:hAnsi="Calibri"/>
                <w:sz w:val="20"/>
              </w:rPr>
              <w:t xml:space="preserve">Deuda neta (Capítulo 5)</w:t>
            </w:r>
          </w:p>
        </w:tc>
      </w:tr>
      <w:tr>
        <w:tc>
          <w:tcPr/>
          <w:p>
            <w:pPr>
              <w:pStyle w:val="Compact"/>
            </w:pPr>
            <w:r>
              <w:rPr>
                <w:rFonts w:ascii="Calibri" w:hAnsi="Calibri"/>
                <w:sz w:val="20"/>
              </w:rPr>
              <w:t xml:space="preserve">Si las LEFI (julio de 2024 a julio de 2025; 11,1 billones de pesos en diciembre de 2024, según el Informe Monetario Mensual del BCRA) están en la deuda del Tesoro que usamos. La serie de pasivos del BCRA no las incluye; si tampoco están en la deuda del SPNF, faltan en la consolidada esos trimestres</w:t>
            </w:r>
          </w:p>
        </w:tc>
        <w:tc>
          <w:tcPr/>
          <w:p>
            <w:pPr>
              <w:pStyle w:val="Compact"/>
            </w:pPr>
            <w:r>
              <w:rPr>
                <w:rFonts w:ascii="Calibri" w:hAnsi="Calibri"/>
                <w:sz w:val="20"/>
              </w:rPr>
              <w:t xml:space="preserve">Deuda consolidada (Capítulo 5)</w:t>
            </w:r>
          </w:p>
        </w:tc>
      </w:tr>
    </w:tbl>
    <w:bookmarkEnd w:id="25"/>
    <w:bookmarkStart w:id="26" w:name="decisiones-abiertas"/>
    <w:p>
      <w:pPr>
        <w:pStyle w:val="Heading2"/>
      </w:pPr>
      <w:r>
        <w:t xml:space="preserve">6. Decisiones abiertas</w:t>
      </w:r>
    </w:p>
    <w:p>
      <w:pPr>
        <w:pStyle w:val="Compact"/>
        <w:numPr>
          <w:ilvl w:val="0"/>
          <w:numId w:val="1013"/>
        </w:numPr>
      </w:pPr>
      <w:r>
        <w:t xml:space="preserve">Ninguna de las que bloqueaban el trabajo. Las de tamaño del shock y horizonte quedaron resueltas (decisiones 12 y 13).</w:t>
      </w:r>
    </w:p>
    <w:bookmarkEnd w:id="26"/>
    <w:bookmarkStart w:id="27" w:name="referencias-de-este-documento"/>
    <w:p>
      <w:pPr>
        <w:pStyle w:val="Heading2"/>
      </w:pPr>
      <w:r>
        <w:t xml:space="preserve">Referencias de este documento</w:t>
      </w:r>
    </w:p>
    <w:p>
      <w:pPr>
        <w:pStyle w:val="Compact"/>
        <w:numPr>
          <w:ilvl w:val="0"/>
          <w:numId w:val="1014"/>
        </w:numPr>
      </w:pPr>
      <w:r>
        <w:t xml:space="preserve">Fondo Monetario Internacional. (2021).</w:t>
      </w:r>
      <w:r>
        <w:t xml:space="preserve"> </w:t>
      </w:r>
      <w:r>
        <w:rPr>
          <w:i/>
          <w:iCs/>
        </w:rPr>
        <w:t xml:space="preserve">Review of the debt sustainability framework for</w:t>
      </w:r>
      <w:r>
        <w:rPr>
          <w:i/>
          <w:iCs/>
        </w:rPr>
        <w:t xml:space="preserve"> </w:t>
      </w:r>
      <w:r>
        <w:rPr>
          <w:i/>
          <w:iCs/>
        </w:rPr>
        <w:t xml:space="preserve">market access countries</w:t>
      </w:r>
      <w:r>
        <w:t xml:space="preserve"> </w:t>
      </w:r>
      <w:r>
        <w:t xml:space="preserve">(IMF Policy Paper).</w:t>
      </w:r>
    </w:p>
    <w:p>
      <w:pPr>
        <w:pStyle w:val="Compact"/>
        <w:numPr>
          <w:ilvl w:val="0"/>
          <w:numId w:val="1014"/>
        </w:numPr>
      </w:pPr>
      <w:r>
        <w:t xml:space="preserve">Fondo Monetario Internacional y Mecanismo Europeo de Estabilidad. (2023).</w:t>
      </w:r>
      <w:r>
        <w:t xml:space="preserve"> </w:t>
      </w:r>
      <w:r>
        <w:rPr>
          <w:i/>
          <w:iCs/>
        </w:rPr>
        <w:t xml:space="preserve">The stochastic</w:t>
      </w:r>
      <w:r>
        <w:rPr>
          <w:i/>
          <w:iCs/>
        </w:rPr>
        <w:t xml:space="preserve"> </w:t>
      </w:r>
      <w:r>
        <w:rPr>
          <w:i/>
          <w:iCs/>
        </w:rPr>
        <w:t xml:space="preserve">debt fanchart in the IMF’s Sovereign Risk and Debt Sustainability Framework for MACs</w:t>
      </w:r>
      <w:r>
        <w:t xml:space="preserve"> </w:t>
      </w:r>
      <w:r>
        <w:t xml:space="preserve">(presentación, 30 de noviembre de 2023).</w:t>
      </w:r>
    </w:p>
    <w:p>
      <w:pPr>
        <w:pStyle w:val="Compact"/>
        <w:numPr>
          <w:ilvl w:val="0"/>
          <w:numId w:val="1014"/>
        </w:numPr>
      </w:pPr>
      <w:r>
        <w:t xml:space="preserve">Fondo Monetario Internacional. (2025).</w:t>
      </w:r>
      <w:r>
        <w:t xml:space="preserve"> </w:t>
      </w:r>
      <w:r>
        <w:rPr>
          <w:i/>
          <w:iCs/>
        </w:rPr>
        <w:t xml:space="preserve">Argentina: Request for an extended arrangement under</w:t>
      </w:r>
      <w:r>
        <w:rPr>
          <w:i/>
          <w:iCs/>
        </w:rPr>
        <w:t xml:space="preserve"> </w:t>
      </w:r>
      <w:r>
        <w:rPr>
          <w:i/>
          <w:iCs/>
        </w:rPr>
        <w:t xml:space="preserve">the Extended Fund Facility</w:t>
      </w:r>
      <w:r>
        <w:t xml:space="preserve"> </w:t>
      </w:r>
      <w:r>
        <w:t xml:space="preserve">(IMF Country Report No. 25/95).</w:t>
      </w:r>
    </w:p>
    <w:p>
      <w:pPr>
        <w:pStyle w:val="Compact"/>
        <w:numPr>
          <w:ilvl w:val="0"/>
          <w:numId w:val="1014"/>
        </w:numPr>
      </w:pPr>
      <w:r>
        <w:t xml:space="preserve">Oficina de Presupuesto del Congreso. (2026).</w:t>
      </w:r>
      <w:r>
        <w:t xml:space="preserve"> </w:t>
      </w:r>
      <w:r>
        <w:rPr>
          <w:i/>
          <w:iCs/>
        </w:rPr>
        <w:t xml:space="preserve">Operaciones de deuda pública, julio 2026</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2026-10-11T17:49:54Z</dcterms:created>
  <dcterms:modified xsi:type="dcterms:W3CDTF">2026-10-11T17:49:54Z</dcterms:modified>
</cp:coreProperties>
</file>

<file path=docProps/custom.xml><?xml version="1.0" encoding="utf-8"?>
<Properties xmlns="http://schemas.openxmlformats.org/officeDocument/2006/custom-properties" xmlns:vt="http://schemas.openxmlformats.org/officeDocument/2006/docPropsVTypes"/>
</file>