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w:t>
      </w:r>
      <w:r>
        <w:t xml:space="preserve"> </w:t>
      </w:r>
      <w:r>
        <w:t xml:space="preserve">borrador</w:t>
      </w:r>
      <w:r>
        <w:t xml:space="preserve"> </w:t>
      </w:r>
      <w:r>
        <w:t xml:space="preserve">de</w:t>
      </w:r>
      <w:r>
        <w:t xml:space="preserve"> </w:t>
      </w:r>
      <w:r>
        <w:t xml:space="preserve">trabajo</w:t>
      </w:r>
    </w:p>
    <w:bookmarkStart w:id="20" w:name="resumen"/>
    <w:p>
      <w:pPr>
        <w:pStyle w:val="Heading1"/>
      </w:pPr>
      <w:r>
        <w:t xml:space="preserve">Resumen</w:t>
      </w:r>
    </w:p>
    <w:p>
      <w:pPr>
        <w:pStyle w:val="FirstParagraph"/>
      </w:pPr>
      <w:r>
        <w:rPr>
          <w:bCs/>
          <w:b/>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Cs/>
          <w:b/>
        </w:rPr>
        <w:t xml:space="preserve">Metodología.</w:t>
      </w:r>
      <w:r>
        <w:t xml:space="preserve"> </w:t>
      </w:r>
      <w:r>
        <w:t xml:space="preserve">Se estima un modelo de vectores autorregresivos estructural con variables exógenas (SVARX) con datos trimestrales de 1996-2025 sobre la deuda federal bruta, el perímetro del análisis de sostenibilidad del Fondo Monetario Internacional (FMI), con la tasa de la Reserva Federal (FED) y la volatilidad financiera global como exógenas. La deuda se simula alrededor del escenario base del FMI de 2026, desde su punto de partida, y la no estabilización se mide con una métrica anual y con la definición operativa del FMI. La deuda consolidada con el Banco Central es una extensión.</w:t>
      </w:r>
    </w:p>
    <w:p>
      <w:pPr>
        <w:pStyle w:val="BodyText"/>
      </w:pPr>
      <w:r>
        <w:rPr>
          <w:bCs/>
          <w:b/>
        </w:rPr>
        <w:t xml:space="preserve">Resultados.</w:t>
      </w:r>
      <w:r>
        <w:t xml:space="preserve"> </w:t>
      </w:r>
      <w:r>
        <w:t xml:space="preserve">Con la métrica anual, la probabilidad de no estabilización es de 27,7% en 2031 (intervalo de 90%: 20,6% a 34,7%) y de 29,0% en 2035 (25,0% a 36,1%), frente a cerca de 1% y menos de 3% según el FMI, y supera esas cifras en las 21 especificaciones. Con la definición operativa del FMI es de 3,1% (0,0% a 6,3%) y de 5,1% (0,0% a 10,2%), y no se distingue de las cifras del organismo. Los</w:t>
      </w:r>
      <w:r>
        <w:t xml:space="preserve"> </w:t>
      </w:r>
      <w:r>
        <w:rPr>
          <w:iCs/>
          <w:i/>
        </w:rPr>
        <w:t xml:space="preserve">shocks</w:t>
      </w:r>
      <w:r>
        <w:t xml:space="preserve"> </w:t>
      </w:r>
      <w:r>
        <w:t xml:space="preserve">no fiscales aportan a la varianza de la deuda de 2035 96,8 puntos más que el fiscal (77,9 sin las binarias presidenciales). Repetir la senda de la tasa de la FED de 2022-2025 eleva la probabilidad de 2035 en 18,4 puntos (17,1 con la definición del FMI); el efecto sobre la deuda esperada incluye el cero, y la hipótesis sobre la FED queda parcialmente respaldada: el 77% del aumento de la deuda proviene del costo directo de la deuda en dólares. Con la deuda consolidada, la probabilidad es de 31,1% en 2031 con la métrica anual.</w:t>
      </w:r>
    </w:p>
    <w:p>
      <w:pPr>
        <w:pStyle w:val="BodyText"/>
      </w:pPr>
      <w:r>
        <w:rPr>
          <w:bCs/>
          <w:b/>
        </w:rPr>
        <w:t xml:space="preserve">Conclusión.</w:t>
      </w:r>
      <w:r>
        <w:t xml:space="preserve"> </w:t>
      </w:r>
      <w:r>
        <w:t xml:space="preserve">Que la probabilidad de no estabilización supere a la del FMI depende de la métrica: la supera con la anual, que incluye la valuación de la deuda en moneda extranjera de cada año, y no se distingue de ella con la definición operativa del organismo, que promedia los</w:t>
      </w:r>
      <w:r>
        <w:t xml:space="preserve"> </w:t>
      </w:r>
      <w:r>
        <w:rPr>
          <w:iCs/>
          <w:i/>
        </w:rPr>
        <w:t xml:space="preserve">shocks</w:t>
      </w:r>
      <w:r>
        <w:t xml:space="preserve"> </w:t>
      </w:r>
      <w:r>
        <w:t xml:space="preserve">de la trayectoria. Con cualquiera de las dos, la mayor parte de la incertidumbre proviene de</w:t>
      </w:r>
      <w:r>
        <w:t xml:space="preserve"> </w:t>
      </w:r>
      <w:r>
        <w:rPr>
          <w:iCs/>
          <w:i/>
        </w:rPr>
        <w:t xml:space="preserve">shocks</w:t>
      </w:r>
      <w:r>
        <w:t xml:space="preserve"> </w:t>
      </w:r>
      <w:r>
        <w:t xml:space="preserve">externos, cambiarios y de riesgo, y la senda de la FED de 2022-2025 eleva esa probabilidad.</w:t>
      </w:r>
    </w:p>
    <w:p>
      <w:pPr>
        <w:pStyle w:val="BodyText"/>
      </w:pPr>
      <w:r>
        <w:rPr>
          <w:bCs/>
          <w:b/>
        </w:rPr>
        <w:t xml:space="preserve">Palabras clave:</w:t>
      </w:r>
      <w:r>
        <w:t xml:space="preserve"> </w:t>
      </w:r>
      <w:r>
        <w:t xml:space="preserve">deuda pública, sostenibilidad fiscal, SVARX, gráfico de abanico, riesgo soberano, Argentina.</w:t>
      </w:r>
    </w:p>
    <w:p>
      <w:pPr>
        <w:pStyle w:val="BodyText"/>
      </w:pPr>
      <w:r>
        <w:rPr>
          <w:bCs/>
          <w:b/>
        </w:rPr>
        <w:t xml:space="preserve">Clasificación JEL:</w:t>
      </w:r>
      <w:r>
        <w:t xml:space="preserve"> </w:t>
      </w:r>
      <w:r>
        <w:t xml:space="preserve">C32, E62, F34, H63, H68.</w:t>
      </w:r>
    </w:p>
    <w:bookmarkEnd w:id="20"/>
    <w:bookmarkStart w:id="34" w:name="introducción"/>
    <w:p>
      <w:pPr>
        <w:pStyle w:val="Heading1"/>
      </w:pPr>
      <w:r>
        <w:t xml:space="preserve">1. Introducción</w:t>
      </w:r>
    </w:p>
    <w:bookmarkStart w:id="24"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Cs/>
          <w:i/>
        </w:rPr>
        <w:t xml:space="preserve">sudden stops</w:t>
      </w:r>
      <w:r>
        <w:t xml:space="preserve">)</w:t>
      </w:r>
      <w:r>
        <w:rPr>
          <w:rStyle w:val="FootnoteReference"/>
        </w:rPr>
        <w:footnoteReference w:id="21"/>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Cs/>
          <w:i/>
        </w:rPr>
        <w:t xml:space="preserve">default</w:t>
      </w:r>
      <w:r>
        <w:rPr>
          <w:rStyle w:val="FootnoteReference"/>
        </w:rPr>
        <w:footnoteReference w:id="22"/>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Cs/>
          <w:i/>
        </w:rPr>
        <w:t xml:space="preserve">stock</w:t>
      </w:r>
      <w:r>
        <w:rPr>
          <w:rStyle w:val="FootnoteReference"/>
        </w:rPr>
        <w:footnoteReference w:id="23"/>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24"/>
    <w:bookmarkStart w:id="25"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Cs/>
          <w:i/>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25"/>
    <w:bookmarkStart w:id="26"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en 1996-2025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del BCRA, que sumaban 19,2% del producto interno bruto (PIB) a fines de 2023 y 3,3% a fines de 2025, después de que la esterilización monetaria pasara al Tesoro (FMI, 2026, anexo II, cuadro 2, línea 4; sección 5.5).</w:t>
      </w:r>
    </w:p>
    <w:bookmarkEnd w:id="26"/>
    <w:bookmarkStart w:id="28"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en 1996-2025, para proyectarla en el horizonte 2026-2035 y estimar la probabilidad de que no se estabilice.</w:t>
      </w:r>
    </w:p>
    <w:p>
      <w:pPr>
        <w:pStyle w:val="BodyText"/>
      </w:pPr>
      <w:r>
        <w:t xml:space="preserve">Para alcanzarlo, se plantean los siguientes objetivos específicos:</w:t>
      </w:r>
    </w:p>
    <w:p>
      <w:pPr>
        <w:numPr>
          <w:ilvl w:val="0"/>
          <w:numId w:val="1001"/>
        </w:numPr>
        <w:pStyle w:val="Compact"/>
      </w:pPr>
      <w:r>
        <w:t xml:space="preserve">Construir series trimestrales de la deuda federal bruta y de la deuda consolidada con el BCRA para 1996-2025. La segunda es la deuda del Tesoro nacional que no está en poder del BCRA, más los pasivos remunerados del BCRA, menos los depósitos del Tesoro en el BCRA. La deuda consolidada con el BCRA se estima desde 2002, el año desde el cual la autonomía del BCRA se redujo y la consolidación tiene fundamento en el criterio del FMI (sección 2.9).</w:t>
      </w:r>
    </w:p>
    <w:p>
      <w:pPr>
        <w:numPr>
          <w:ilvl w:val="0"/>
          <w:numId w:val="1001"/>
        </w:numPr>
        <w:pStyle w:val="Compact"/>
      </w:pPr>
      <w:r>
        <w:t xml:space="preserve">Analizar las propiedades estocásticas de las series (raíz unitaria y quiebres estructurales).</w:t>
      </w:r>
    </w:p>
    <w:p>
      <w:pPr>
        <w:numPr>
          <w:ilvl w:val="0"/>
          <w:numId w:val="1001"/>
        </w:numPr>
        <w:pStyle w:val="Compact"/>
      </w:pPr>
      <w:r>
        <w:t xml:space="preserve">Estimar un modelo de vectores autorregresivos estructural con variables exógenas (SVARX), en el que la deuda pública interactúa con el crecimiento, el tipo de cambio real, el riesgo país y el resultado primario, y en el que la tasa de política monetaria de la FED y la volatilidad financiera global entran como variables exógenas.</w:t>
      </w:r>
    </w:p>
    <w:p>
      <w:pPr>
        <w:numPr>
          <w:ilvl w:val="0"/>
          <w:numId w:val="1001"/>
        </w:numPr>
        <w:pStyle w:val="Compact"/>
      </w:pPr>
      <w:r>
        <w:t xml:space="preserve">Medir la contribución de los bloques de</w:t>
      </w:r>
      <w:r>
        <w:t xml:space="preserve"> </w:t>
      </w:r>
      <w:r>
        <w:rPr>
          <w:iCs/>
          <w:i/>
        </w:rPr>
        <w:t xml:space="preserve">shocks</w:t>
      </w:r>
      <w:r>
        <w:rPr>
          <w:rStyle w:val="FootnoteReference"/>
        </w:rPr>
        <w:footnoteReference w:id="27"/>
      </w:r>
      <w:r>
        <w:t xml:space="preserve"> </w:t>
      </w:r>
      <w:r>
        <w:t xml:space="preserve">fiscal, de actividad, cambiario y de riesgo, y externo a la variabilidad de la deuda, y la reacción del resultado primario ante el nivel de endeudamiento.</w:t>
      </w:r>
    </w:p>
    <w:p>
      <w:pPr>
        <w:numPr>
          <w:ilvl w:val="0"/>
          <w:numId w:val="1001"/>
        </w:numPr>
        <w:pStyle w:val="Compact"/>
      </w:pPr>
      <w:r>
        <w:t xml:space="preserve">Simular, mediante el método de Monte Carlo, la distribución de trayectorias de la deuda federal bruta en 2026-2035 bajo el escenario base del FMI, y repetir la simulación con la deuda consolidada con el BCRA.</w:t>
      </w:r>
    </w:p>
    <w:p>
      <w:pPr>
        <w:numPr>
          <w:ilvl w:val="0"/>
          <w:numId w:val="1001"/>
        </w:numPr>
        <w:pStyle w:val="Compact"/>
      </w:pPr>
      <w:r>
        <w:t xml:space="preserve">Estimar el impacto de un endurecimiento de la política monetaria de la FED sobre esa distribución.</w:t>
      </w:r>
    </w:p>
    <w:bookmarkEnd w:id="28"/>
    <w:bookmarkStart w:id="29"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y el mismo escenario base. La no estabilización se mide de dos maneras: con una métrica anual, que compara cada año el resultado primario previsto con el que estabilizaría la deuda ese año, y con la definición operativa del FMI, que promedia los</w:t>
      </w:r>
      <w:r>
        <w:t xml:space="preserve"> </w:t>
      </w:r>
      <w:r>
        <w:rPr>
          <w:iCs/>
          <w:i/>
        </w:rPr>
        <w:t xml:space="preserve">shocks</w:t>
      </w:r>
      <w:r>
        <w:t xml:space="preserve"> </w:t>
      </w:r>
      <w:r>
        <w:t xml:space="preserve">a lo largo de la trayectoria (sección 4.6).</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La hipótesis se refiere al efecto total; los canales por los que opera (riesgo soberano, tipo de cambio real, crecimiento y costo directo de la deuda en dólares) se describen en la sección 4.3 y se examinan por separado en el Capítulo 6, sin ser parte del contraste. En la extensión con la deuda consolidada, que es exploratoria, se contrastan solo la probabilidad de no estabilización y el efecto de la FED sobre ella (sección 6.6). El</w:t>
      </w:r>
      <w:r>
        <w:t xml:space="preserve"> </w:t>
      </w:r>
      <w:r>
        <w:rPr>
          <w:iCs/>
          <w:i/>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29"/>
    <w:bookmarkStart w:id="31" w:name="estrategia-metodológica"/>
    <w:p>
      <w:pPr>
        <w:pStyle w:val="Heading2"/>
      </w:pPr>
      <w:r>
        <w:t xml:space="preserve">1.6 Estrategia metodológica</w:t>
      </w:r>
    </w:p>
    <w:p>
      <w:pPr>
        <w:pStyle w:val="FirstParagraph"/>
      </w:pPr>
      <w:r>
        <w:t xml:space="preserve">Para contrastar estas hipótesis se estima un SVARX con datos trimestrales de Argentina de 1996-2025. Las variables endógenas son el resultado primario, el crecimiento, el riesgo país, medido por el diferencial del índice EMBI de J.P. Morgan para Argentina (EMBI), y el tipo de cambio real multilateral (TCRM). La tasa de política monetaria de la FED y el índice de volatilidad VIX entran como exógenas, junto con variables binarias estacionales, de quiebre y por mandato presidencial.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como robustez se usan dos ordenamientos de Cholesky (resultado primario primero y resultado primario último). La deuda federal bruta entra rezagada en todas las ecuaciones del sistema y se acumula con la identidad contable, de modo que el diseño permite la retroalimentación en ambos sentidos: la deuda puede responder al EMBI, al TCRM y al resultado primario, y a la vez afectarlos en los trimestres siguientes. Qué canales de retroalimentación resultan distinguibles de cero se establece en el Capítulo 6.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Cs/>
          <w:i/>
        </w:rPr>
        <w:t xml:space="preserve">fan charts</w:t>
      </w:r>
      <w:r>
        <w:t xml:space="preserve">)</w:t>
      </w:r>
      <w:r>
        <w:rPr>
          <w:rStyle w:val="FootnoteReference"/>
        </w:rPr>
        <w:footnoteReference w:id="30"/>
      </w:r>
      <w:r>
        <w:t xml:space="preserve"> </w:t>
      </w:r>
      <w:r>
        <w:t xml:space="preserve">y en la probabilidad de no estabilización, medida con una métrica anual y con la definición operativa del FMI. El mismo ejercicio se repite con la deuda consolidada con el BCRA, estimada desde 2002.</w:t>
      </w:r>
    </w:p>
    <w:bookmarkEnd w:id="31"/>
    <w:bookmarkStart w:id="32" w:name="justificación"/>
    <w:p>
      <w:pPr>
        <w:pStyle w:val="Heading2"/>
      </w:pPr>
      <w:r>
        <w:t xml:space="preserve">1.7 Justificación</w:t>
      </w:r>
    </w:p>
    <w:p>
      <w:pPr>
        <w:pStyle w:val="FirstParagraph"/>
      </w:pPr>
      <w:r>
        <w:t xml:space="preserve">La Ley 27.612 de Fortalecimiento de la Sostenibilidad de la Deuda Pública, sancionada en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Cs/>
          <w:i/>
        </w:rPr>
        <w:t xml:space="preserve">shocks</w:t>
      </w:r>
      <w:r>
        <w:t xml:space="preserve"> </w:t>
      </w:r>
      <w:r>
        <w:t xml:space="preserve">identificados cuyo resultado se compare con la probabilidad de no estabilización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FMI, 2021, 2022),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Cs/>
          <w:i/>
        </w:rPr>
        <w:t xml:space="preserve">shock</w:t>
      </w:r>
      <w:r>
        <w:t xml:space="preserve"> </w:t>
      </w:r>
      <w:r>
        <w:t xml:space="preserve">externo de origen identificable, la política monetaria de la FED. Como la simulación usa el perímetro, el punto de partida y el escenario del FMI, y también la definición operativa de su métrica,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32"/>
    <w:bookmarkStart w:id="33"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Cs/>
          <w:i/>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33"/>
    <w:bookmarkEnd w:id="34"/>
    <w:bookmarkStart w:id="50"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Cs/>
          <w:i/>
        </w:rPr>
        <w:t xml:space="preserve">default</w:t>
      </w:r>
      <w:r>
        <w:t xml:space="preserve">. La sección 2.9 delimita el área de vacancia.</w:t>
      </w:r>
    </w:p>
    <w:bookmarkStart w:id="35"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w:t>
      </w:r>
      <w:r>
        <w:t xml:space="preserve">efectos sobre la deuda pública</w:t>
      </w:r>
      <w:r>
        <w:t xml:space="preserve">”</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35"/>
    <w:bookmarkStart w:id="37"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Cs/>
          <w:i/>
        </w:rPr>
        <w:t xml:space="preserve">holdouts</w:t>
      </w:r>
      <w:r>
        <w:t xml:space="preserve">)</w:t>
      </w:r>
      <w:r>
        <w:rPr>
          <w:rStyle w:val="FootnoteReference"/>
        </w:rPr>
        <w:footnoteReference w:id="36"/>
      </w:r>
      <w:r>
        <w:t xml:space="preserve">. Ambos trabajos ubican el origen de la última reestructuración en el tramo de la deuda en moneda extranjera, que la identidad de acumulación del Capítulo 3 separa del tramo en pesos.</w:t>
      </w:r>
    </w:p>
    <w:bookmarkEnd w:id="37"/>
    <w:bookmarkStart w:id="38"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38"/>
    <w:bookmarkStart w:id="39"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Organización para la Cooperación y el Desarrollo Económicos (OCDE) entre 1970 y 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39"/>
    <w:bookmarkStart w:id="42"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2022), que aplicó a Argentina en sus revisiones del programa (FMI, 2024, 2025, 2026).</w:t>
      </w:r>
    </w:p>
    <w:p>
      <w:pPr>
        <w:pStyle w:val="BodyText"/>
      </w:pPr>
      <w:r>
        <w:t xml:space="preserve">Un segundo cuerpo de literatura llevó el problema a economías emergentes expuestas a</w:t>
      </w:r>
      <w:r>
        <w:t xml:space="preserve"> </w:t>
      </w:r>
      <w:r>
        <w:rPr>
          <w:iCs/>
          <w:i/>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Cs/>
          <w:i/>
        </w:rPr>
        <w:t xml:space="preserve">push</w:t>
      </w:r>
      <w:r>
        <w:t xml:space="preserve">)</w:t>
      </w:r>
      <w:r>
        <w:rPr>
          <w:rStyle w:val="FootnoteReference"/>
        </w:rPr>
        <w:footnoteReference w:id="40"/>
      </w:r>
      <w:r>
        <w:t xml:space="preserve">. Adler et al. (2016), con un VAR de panel de los flujos brutos de capital de 38 economías emergentes entre 1990 y 2012, encontraron que ante los</w:t>
      </w:r>
      <w:r>
        <w:t xml:space="preserve"> </w:t>
      </w:r>
      <w:r>
        <w:rPr>
          <w:iCs/>
          <w:i/>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Cs/>
          <w:i/>
        </w:rPr>
        <w:t xml:space="preserve">early warning systems</w:t>
      </w:r>
      <w:r>
        <w:t xml:space="preserve">)</w:t>
      </w:r>
      <w:r>
        <w:rPr>
          <w:rStyle w:val="FootnoteReference"/>
        </w:rPr>
        <w:footnoteReference w:id="41"/>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42"/>
    <w:bookmarkStart w:id="43"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Cs/>
          <w:i/>
        </w:rPr>
        <w:t xml:space="preserve">stock</w:t>
      </w:r>
      <w:r>
        <w:t xml:space="preserve">; ambos coinciden en que el diagnóstico fiscal de corto plazo no bastaba para juzgar la sostenibilidad.</w:t>
      </w:r>
    </w:p>
    <w:bookmarkEnd w:id="43"/>
    <w:bookmarkStart w:id="46"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44"/>
      </w:r>
      <w:r>
        <w:t xml:space="preserve">. En el marco del FMI, ese salto ensanchó el abanico hasta 122,7 puntos y llevó la señal mecánica de riesgo a</w:t>
      </w:r>
      <w:r>
        <w:t xml:space="preserve"> </w:t>
      </w:r>
      <w:r>
        <w:t xml:space="preserve">“</w:t>
      </w:r>
      <w:r>
        <w:t xml:space="preserve">alto</w:t>
      </w:r>
      <w:r>
        <w:t xml:space="preserve">”</w:t>
      </w:r>
      <w:r>
        <w:t xml:space="preserve">, que el personal técnico descartó por no reflejar el riesgo de mediano plazo (FMI, 2024); disipado el efecto, el ancho bajó a 74,2 puntos y la señal volvió a</w:t>
      </w:r>
      <w:r>
        <w:t xml:space="preserve"> </w:t>
      </w:r>
      <w:r>
        <w:t xml:space="preserve">“</w:t>
      </w:r>
      <w:r>
        <w:t xml:space="preserve">moderado</w:t>
      </w:r>
      <w:r>
        <w:t xml:space="preserve">”</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Cs/>
          <w:i/>
        </w:rPr>
        <w:t xml:space="preserve">bootstrap</w:t>
      </w:r>
      <w:r>
        <w:rPr>
          <w:rStyle w:val="FootnoteReference"/>
        </w:rPr>
        <w:footnoteReference w:id="45"/>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46"/>
    <w:bookmarkStart w:id="47" w:name="octavo-eje-el-costo-real-del-default"/>
    <w:p>
      <w:pPr>
        <w:pStyle w:val="Heading2"/>
      </w:pPr>
      <w:r>
        <w:t xml:space="preserve">2.8 Octavo eje: el costo real del</w:t>
      </w:r>
      <w:r>
        <w:t xml:space="preserve"> </w:t>
      </w:r>
      <w:r>
        <w:rPr>
          <w:iCs/>
          <w:i/>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Cs/>
          <w:i/>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Cs/>
          <w:i/>
        </w:rPr>
        <w:t xml:space="preserve">default</w:t>
      </w:r>
      <w:r>
        <w:t xml:space="preserve">.</w:t>
      </w:r>
    </w:p>
    <w:bookmarkEnd w:id="47"/>
    <w:bookmarkStart w:id="49"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Cs/>
          <w:b/>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Cs/>
          <w:i/>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Cs/>
          <w:i/>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Cs/>
          <w:i/>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Cs/>
          <w:i/>
        </w:rPr>
        <w:t xml:space="preserve">shocks</w:t>
      </w:r>
      <w:r>
        <w:t xml:space="preserve"> </w:t>
      </w:r>
      <w:r>
        <w:t xml:space="preserve">identificados, cuyo resultado sea una probabilidad de no estabilización comparable con la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datos trimestrales de 1996-2025, que dan 111 observaciones para la estimación, y con variables binarias para los quiebres estructurales; la longitud y la inestabilidad de las series siguen siendo una limitación del diseño (sección 7.6). El abanico del FMI aplica al escenario base</w:t>
      </w:r>
      <w:r>
        <w:t xml:space="preserve"> </w:t>
      </w:r>
      <w:r>
        <w:rPr>
          <w:iCs/>
          <w:i/>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Cs/>
          <w:b/>
        </w:rPr>
        <w:t xml:space="preserve">Un</w:t>
      </w:r>
      <w:r>
        <w:rPr>
          <w:bCs/>
          <w:b/>
        </w:rPr>
        <w:t xml:space="preserve"> </w:t>
      </w:r>
      <w:r>
        <w:rPr>
          <w:iCs/>
          <w:i/>
          <w:bCs/>
          <w:b/>
        </w:rPr>
        <w:t xml:space="preserve">shock</w:t>
      </w:r>
      <w:r>
        <w:rPr>
          <w:bCs/>
          <w:b/>
        </w:rPr>
        <w:t xml:space="preserve"> </w:t>
      </w:r>
      <w:r>
        <w:rPr>
          <w:bCs/>
          <w:b/>
        </w:rPr>
        <w:t xml:space="preserve">externo identificado.</w:t>
      </w:r>
      <w:r>
        <w:t xml:space="preserve"> </w:t>
      </w:r>
      <w:r>
        <w:t xml:space="preserve">Los efectos de la política monetaria de Estados Unidos sobre las economías emergentes se estudiaron sobre los</w:t>
      </w:r>
      <w:r>
        <w:t xml:space="preserve"> </w:t>
      </w:r>
      <w:r>
        <w:rPr>
          <w:iCs/>
          <w:i/>
        </w:rPr>
        <w:t xml:space="preserve">spreads</w:t>
      </w:r>
      <w:r>
        <w:rPr>
          <w:rStyle w:val="FootnoteReference"/>
        </w:rPr>
        <w:footnoteReference w:id="48"/>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Cs/>
          <w:b/>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Cs/>
          <w:i/>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Cs/>
          <w:i/>
        </w:rPr>
        <w:t xml:space="preserve">stock</w:t>
      </w:r>
      <w:r>
        <w:t xml:space="preserve"> </w:t>
      </w:r>
      <w:r>
        <w:t xml:space="preserve">haya respondido a los mismos</w:t>
      </w:r>
      <w:r>
        <w:t xml:space="preserve"> </w:t>
      </w:r>
      <w:r>
        <w:rPr>
          <w:iCs/>
          <w:i/>
        </w:rPr>
        <w:t xml:space="preserve">shocks</w:t>
      </w:r>
      <w:r>
        <w:t xml:space="preserve"> </w:t>
      </w:r>
      <w:r>
        <w:t xml:space="preserve">cambiarios y de riesgo que la deuda del Tesoro, y la tesis lo trata como una hipótesis al estimar, como extensión, la dinámica de la deuda consolidada con el BCRA. A partir de 2024 esos pasivos se redujeron a niveles mínimos: los pases pasivos se suspendieron en julio de 2024 y su</w:t>
      </w:r>
      <w:r>
        <w:t xml:space="preserve"> </w:t>
      </w:r>
      <w:r>
        <w:rPr>
          <w:iCs/>
          <w:i/>
        </w:rPr>
        <w:t xml:space="preserve">stock</w:t>
      </w:r>
      <w:r>
        <w:t xml:space="preserve"> </w:t>
      </w:r>
      <w:r>
        <w:t xml:space="preserve">pasó al Tesoro como Letras Fiscales de Liquidez (LEFI), que el BCRA dejó de ofrecer en julio de 2025 (BCRA, 2025), y a fin de 2025 el</w:t>
      </w:r>
      <w:r>
        <w:t xml:space="preserve"> </w:t>
      </w:r>
      <w:r>
        <w:rPr>
          <w:iCs/>
          <w:i/>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1996-2025 y la tasa de política monetaria de la Reserva Federal (FED) como variable exógena, estimado sobre la deuda federal bruta y, como extensión, sobre la deuda consolidada con el BCRA. Entre sus variables endógenas están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La metodología se elige porque reproduce la arquitectura que el FMI usa para evaluar la sostenibilidad, la de Celasun et al. (2006): un VAR que genera los</w:t>
      </w:r>
      <w:r>
        <w:t xml:space="preserve"> </w:t>
      </w:r>
      <w:r>
        <w:rPr>
          <w:iCs/>
          <w:i/>
        </w:rPr>
        <w:t xml:space="preserve">shocks</w:t>
      </w:r>
      <w:r>
        <w:t xml:space="preserve"> </w:t>
      </w:r>
      <w:r>
        <w:t xml:space="preserve">y una función de reacción fiscal que responde a la deuda. Esa arquitectura no se había aplicado a Argentina como caso único con</w:t>
      </w:r>
      <w:r>
        <w:t xml:space="preserve"> </w:t>
      </w:r>
      <w:r>
        <w:rPr>
          <w:iCs/>
          <w:i/>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definición operativa de la métrica del FMI, el resultado de la tesis es comparable con esa probabilidad.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Cs/>
          <w:i/>
        </w:rPr>
        <w:t xml:space="preserve">shock</w:t>
      </w:r>
      <w:r>
        <w:t xml:space="preserve"> </w:t>
      </w:r>
      <w:r>
        <w:t xml:space="preserve">externo que la literatura revisada vincula con esos canales.</w:t>
      </w:r>
    </w:p>
    <w:bookmarkEnd w:id="49"/>
    <w:bookmarkEnd w:id="50"/>
    <w:bookmarkStart w:id="63"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51"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51"/>
    <w:bookmarkStart w:id="57" w:name="X2ea9139ef2de522cd93682806adc2a5819e35a2"/>
    <w:p>
      <w:pPr>
        <w:pStyle w:val="Heading2"/>
      </w:pPr>
      <w:r>
        <w:t xml:space="preserve">3.2 Solvencia, la regla de Bohn y la identidad de la deuda</w:t>
      </w:r>
    </w:p>
    <w:bookmarkStart w:id="52"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52"/>
    <w:bookmarkStart w:id="53"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Cs/>
          <w:i/>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53"/>
    <w:bookmarkStart w:id="54"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con el BCRA en pesos, de 16,4%, frente a una porción en moneda extranjera de 68,5% de esa deuda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Cs/>
          <w:i/>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54"/>
    <w:bookmarkStart w:id="55"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Cs/>
          <w:i/>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55"/>
    <w:bookmarkStart w:id="56"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(1998) reporta para Estados Unidos, la regla estabiliza la deuda solo si (r-g)/(1+g) queda por debajo de unos cinco puntos; con el multiplicador de largo plazo que se estima para Argentina, 0,079 (sección 6.1), el umbral sube a unos ocho puntos, y en una economía con deuda en moneda extranjera r incluye la depreciación real y la prima de riesgo soberano, variables con</w:t>
      </w:r>
      <w:r>
        <w:t xml:space="preserve"> </w:t>
      </w:r>
      <w:r>
        <w:rPr>
          <w:iCs/>
          <w:i/>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Cs/>
          <w:i/>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56"/>
    <w:bookmarkEnd w:id="57"/>
    <w:bookmarkStart w:id="58"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58"/>
    <w:bookmarkStart w:id="59"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monetaria de la Reserva Federal (FED). La literatura identifica cuatro canales, de los cuales el modelo incluye los tres primeros. El modelo suma además dos mecanismos que no son canales de la literatura sino parte de su estructura: la respuesta fiscal, que cambia el flujo que reduce la deuda, y el costo directo de la deuda en dólares, porque la identidad suma la tasa de la FED a la tasa en dólares. Este último explica la mayor parte del efecto contable de la FED sobre la deuda (Capítulo 6). La Tabla 4.2 enumera los cinco.</w:t>
      </w:r>
    </w:p>
    <w:p>
      <w:pPr>
        <w:pStyle w:val="BodyText"/>
      </w:pPr>
      <w:r>
        <w:rPr>
          <w:iCs/>
          <w:i/>
        </w:rPr>
        <w:t xml:space="preserve">Riesgo soberano.</w:t>
      </w:r>
      <w:r>
        <w:t xml:space="preserve"> </w:t>
      </w:r>
      <w:r>
        <w:t xml:space="preserve">Uribe y Yue (2006) estiman que los</w:t>
      </w:r>
      <w:r>
        <w:t xml:space="preserve"> </w:t>
      </w:r>
      <w:r>
        <w:rPr>
          <w:iCs/>
          <w:i/>
        </w:rPr>
        <w:t xml:space="preserve">shocks</w:t>
      </w:r>
      <w:r>
        <w:t xml:space="preserve"> </w:t>
      </w:r>
      <w:r>
        <w:t xml:space="preserve">de la tasa de Estados Unidos explican alrededor de 20% de los movimientos de la actividad en las economías emergentes en frecuencias de ciclo, sobre todo a través de la prima de riesgo 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riesgo país, medido por el diferencial (</w:t>
      </w:r>
      <w:r>
        <w:rPr>
          <w:iCs/>
          <w:i/>
        </w:rPr>
        <w:t xml:space="preserve">spread</w:t>
      </w:r>
      <w:r>
        <w:t xml:space="preserve">) del índice EMBI de J.P. Morgan para Argentina (EMBI), es endógeno, la tasa en dólares se construye como tasa de la FED más EMBI y el VIX entra como variable exógena de condiciones financieras globales, como en Adler y Sosa (2013).</w:t>
      </w:r>
    </w:p>
    <w:p>
      <w:pPr>
        <w:pStyle w:val="BodyText"/>
      </w:pPr>
      <w:r>
        <w:rPr>
          <w:iCs/>
          <w:i/>
        </w:rPr>
        <w:t xml:space="preserve">Tipo de cambio real y valuación.</w:t>
      </w:r>
      <w:r>
        <w:t xml:space="preserve"> </w:t>
      </w:r>
      <w:r>
        <w:t xml:space="preserve">Los</w:t>
      </w:r>
      <w:r>
        <w:t xml:space="preserve"> </w:t>
      </w:r>
      <w:r>
        <w:rPr>
          <w:iCs/>
          <w:i/>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Cs/>
          <w:i/>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la prima de riesgo país, y el crecimiento endógeno hace que el diferencial r-g se mueva por el numerador y el denominador.</w:t>
      </w:r>
    </w:p>
    <w:p>
      <w:pPr>
        <w:pStyle w:val="BodyText"/>
      </w:pPr>
      <w:r>
        <w:rPr>
          <w:iCs/>
          <w:i/>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Cs/>
          <w:i/>
        </w:rPr>
        <w:t xml:space="preserve">shocks</w:t>
      </w:r>
      <w:r>
        <w:t xml:space="preserve"> </w:t>
      </w:r>
      <w:r>
        <w:t xml:space="preserve">de Estados Unidos respecto de los países latinoamericanos.</w:t>
      </w:r>
    </w:p>
    <w:bookmarkEnd w:id="59"/>
    <w:bookmarkStart w:id="60"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Cs/>
          <w:i/>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Cs/>
          <w:i/>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La guía del marco la vuelve operativa promediando las variables a lo largo de la trayectoria, sin variación del tipo de cambio real ni ajuste stock-flujo (FMI, 2022, recuadro 3). Esta tesis informa esa definición y una versión anual, que aplica la condición año por año con la notación de la sección 3.2 e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sección 4.6 escribe la misma condición con la identidad de la tesis, que separa en un término propio (ri_T) el efecto de la depreciación nominal del escenario sobre la deuda en moneda extranjera y escala el ajuste stock-flujo por perímetro. La deuda no se estabiliza en T cuando pb_T &lt; pb^*_T. Para Argentina, el FMI (2026) estima una probabilidad de estabilización de alrededor de 99% a mediano plazo y superior a 97% en el abanico de diez años que termina en 2035. Esas cifras son las de referencia de H1b; como surgen de la definición operativa, la comparación más directa es la que usa esa definición (sección 4.6).</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60"/>
    <w:bookmarkStart w:id="61"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w:t>
      </w:r>
    </w:p>
    <w:p>
      <w:pPr>
        <w:pStyle w:val="BodyText"/>
      </w:pPr>
      <w:r>
        <w:t xml:space="preserve">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p>
      <w:pPr>
        <w:pStyle w:val="BodyText"/>
      </w:pPr>
      <w:r>
        <w:rPr>
          <w:bCs/>
          <w:b/>
        </w:rPr>
        <w:t xml:space="preserve">Economía política del endeudamiento.</w:t>
      </w:r>
      <w:r>
        <w:t xml:space="preserve"> </w:t>
      </w:r>
      <w:r>
        <w:t xml:space="preserve">La política fiscal no es una función única e invariable: los gobiernos difieren en sus preferencias y usan la deuda de manera estratégica frente a sus sucesores (Alesina y Tabellini, 1990), de modo que la reacción del resultado primario ante la deuda y el nivel de endeudamiento que se acepta pueden cambiar con la orientación de cada administración. En una muestra de 1996-2025 hay ocho mandatos con orientaciones distintas, desde la Convertibilidad hasta el programa de 2023. Por eso la tesis controla con una variable binaria por mandato (sección 4.3) y no supone una función de reacción idéntica en toda la muestra. Esas variables absorben diferencias de nivel entre gobiernos; no estiman un coeficiente de reacción distinto para cada uno, lo que exigiría más observaciones de las que tiene cada mandato.</w:t>
      </w:r>
    </w:p>
    <w:bookmarkEnd w:id="61"/>
    <w:bookmarkStart w:id="62"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62"/>
    <w:bookmarkEnd w:id="63"/>
    <w:bookmarkStart w:id="71"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El estudio cubre la ventana 1996-2025 y la proyección, 2026-2035.</w:t>
      </w:r>
    </w:p>
    <w:bookmarkStart w:id="64"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Cs/>
          <w:i/>
        </w:rPr>
        <w:t xml:space="preserve">shocks</w:t>
      </w:r>
      <w:r>
        <w:t xml:space="preserve"> </w:t>
      </w:r>
      <w:r>
        <w:t xml:space="preserve">tomados de la historia. Esta tesis agrega dos elementos que justifica la vacancia: los</w:t>
      </w:r>
      <w:r>
        <w:t xml:space="preserve"> </w:t>
      </w:r>
      <w:r>
        <w:rPr>
          <w:iCs/>
          <w:i/>
        </w:rPr>
        <w:t xml:space="preserve">shocks</w:t>
      </w:r>
      <w:r>
        <w:t xml:space="preserve"> </w:t>
      </w:r>
      <w:r>
        <w:t xml:space="preserve">domésticos se identifican estructuralmente y la tasa de política monetaria de la Reserva Federal (FED) entra como un</w:t>
      </w:r>
      <w:r>
        <w:t xml:space="preserve"> </w:t>
      </w:r>
      <w:r>
        <w:rPr>
          <w:iCs/>
          <w:i/>
        </w:rPr>
        <w:t xml:space="preserve">shock</w:t>
      </w:r>
      <w:r>
        <w:t xml:space="preserve"> </w:t>
      </w:r>
      <w:r>
        <w:t xml:space="preserve">externo con nombre propio.</w:t>
      </w:r>
    </w:p>
    <w:p>
      <w:pPr>
        <w:pStyle w:val="BodyText"/>
      </w:pPr>
      <w:r>
        <w:rPr>
          <w:bCs/>
          <w:b/>
        </w:rPr>
        <w:t xml:space="preserve">Perímetro.</w:t>
      </w:r>
      <w:r>
        <w:t xml:space="preserve"> </w:t>
      </w:r>
      <w:r>
        <w:t xml:space="preserve">La especificación principal mide la deuda federal bruta, la del gobierno federal, que es el perímetro del análisis de sostenibilidad del FMI (2026, anexo II). Así el punto de partida, el escenario y el horizonte son los del FMI, y H1b compara magnitudes equivalentes cuando la no estabilización se mide con la definición operativa del organismo (sección 4.6). La simulación parte del</w:t>
      </w:r>
      <w:r>
        <w:t xml:space="preserve"> </w:t>
      </w:r>
      <w:r>
        <w:rPr>
          <w:iCs/>
          <w:i/>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consolidada con el BCRA en la definición del FMI (cuadro 2, línea 5), que parte de 52,1% del PIB con 68,5% en moneda extranjera. Su dinámica se estima con la serie propia de deuda consolidada con el BCRA (Tesoro más BCRA, Letras Intransferibles a valor nominal).</w:t>
      </w:r>
    </w:p>
    <w:bookmarkEnd w:id="64"/>
    <w:bookmarkStart w:id="65" w:name="variables-del-sistema"/>
    <w:p>
      <w:pPr>
        <w:pStyle w:val="Heading2"/>
      </w:pPr>
      <w:r>
        <w:t xml:space="preserve">4.2 Variables del sistema</w:t>
      </w:r>
    </w:p>
    <w:p>
      <w:pPr>
        <w:pStyle w:val="FirstParagraph"/>
      </w:pPr>
      <w:r>
        <w:t xml:space="preserve">El sistema tiene cuatro variables endógenas: el crecimiento real, el resultado primario, el riesgo país, medido por el diferencial del índice EMBI de J.P. Morgan para Argentina (EMBI), y el tipo de cambio real multilateral (TCRM). La Tabla 4.1 resume el rol de cada variable.</w:t>
      </w:r>
    </w:p>
    <w:p>
      <w:pPr>
        <w:pStyle w:val="BodyText"/>
      </w:pPr>
      <w:r>
        <w:rPr>
          <w:bCs/>
          <w:b/>
        </w:rPr>
        <w:t xml:space="preserve">Tabla 4.1. Variables del SVARX</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w:t>
            </w:r>
          </w:p>
        </w:tc>
        <w:tc>
          <w:tcPr/>
          <w:p>
            <w:pPr>
              <w:pStyle w:val="Compact"/>
              <w:jc w:val="left"/>
            </w:pPr>
            <w:r>
              <w:rPr>
                <w:rFonts w:ascii="Calibri" w:hAnsi="Calibri"/>
                <w:sz w:val="20"/>
              </w:rPr>
              <w:t xml:space="preserve">Fundamento</w:t>
            </w:r>
          </w:p>
        </w:tc>
      </w:tr>
      <w:tr>
        <w:tc>
          <w:tcPr/>
          <w:p>
            <w:pPr>
              <w:pStyle w:val="Compact"/>
              <w:jc w:val="left"/>
            </w:pPr>
            <w:r>
              <w:rPr>
                <w:rFonts w:ascii="Calibri" w:hAnsi="Calibri"/>
                <w:sz w:val="20"/>
              </w:rPr>
              <w:t xml:space="preserve">Crecimiento real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(Celasun et al., 2006). Serie original; la estacionalidad la absorben variables binarias trimestrales (Lütkepohl, 2005).</w:t>
            </w:r>
          </w:p>
        </w:tc>
      </w:tr>
      <w:tr>
        <w:tc>
          <w:tcPr/>
          <w:p>
            <w:pPr>
              <w:pStyle w:val="Compact"/>
              <w:jc w:val="left"/>
            </w:pPr>
            <w:r>
              <w:rPr>
                <w:rFonts w:ascii="Calibri" w:hAnsi="Calibri"/>
                <w:sz w:val="20"/>
              </w:rPr>
              <w:t xml:space="preserve">Resultado primario sin rentas de la propiedad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el coeficiente de la deuda rezagada es la reacción fiscal de Bohn (1998).</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Riesgo país, parte de la tasa en dólares.</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Valuación de la deuda en moneda extranjera (Calvo et al., 2003); es el índice que usa el FMI (2026, cuadro 6, nota 1).</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Predeterminada: entra rezagada y evoluciona por la identidad</w:t>
            </w:r>
          </w:p>
        </w:tc>
        <w:tc>
          <w:tcPr/>
          <w:p>
            <w:pPr>
              <w:pStyle w:val="Compact"/>
              <w:jc w:val="left"/>
            </w:pPr>
            <w:r>
              <w:rPr>
                <w:rFonts w:ascii="Calibri" w:hAnsi="Calibri"/>
                <w:sz w:val="20"/>
              </w:rPr>
              <w:t xml:space="preserve">Retroalimentación de la deuda (Favero y Giavazzi, 2007). En la extensión la reemplaza la deuda consolidada con el BCRA.</w:t>
            </w:r>
          </w:p>
        </w:tc>
      </w:tr>
      <w:tr>
        <w:tc>
          <w:tcPr/>
          <w:p>
            <w:pPr>
              <w:pStyle w:val="Compact"/>
              <w:jc w:val="left"/>
            </w:pPr>
            <w:r>
              <w:rPr>
                <w:rFonts w:ascii="Calibri" w:hAnsi="Calibri"/>
                <w:sz w:val="20"/>
              </w:rPr>
              <w:t xml:space="preserve">Variación de la tasa de la FED</w:t>
            </w:r>
          </w:p>
        </w:tc>
        <w:tc>
          <w:tcPr/>
          <w:p>
            <w:pPr>
              <w:pStyle w:val="Compact"/>
              <w:jc w:val="left"/>
            </w:pPr>
            <w:r>
              <w:rPr>
                <w:rFonts w:ascii="Calibri" w:hAnsi="Calibri"/>
                <w:sz w:val="20"/>
              </w:rPr>
              <w:t xml:space="preserve">Exógena, con dos rezagos</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Condiciones financieras globales, la única variable global con efectos robustos en Adler y Sosa (2013).</w:t>
            </w:r>
          </w:p>
        </w:tc>
      </w:tr>
      <w:tr>
        <w:tc>
          <w:tcPr/>
          <w:p>
            <w:pPr>
              <w:pStyle w:val="Compact"/>
              <w:jc w:val="left"/>
            </w:pPr>
            <w:r>
              <w:rPr>
                <w:rFonts w:ascii="Calibri" w:hAnsi="Calibri"/>
                <w:sz w:val="20"/>
              </w:rPr>
              <w:t xml:space="preserve">Variables binarias de quiebre</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Quiebres en la media de la deuda federal bruta 1996-2025 (Bai y Perron, 2003); entran como escalones. Se recalculan al reestimar.</w:t>
            </w:r>
          </w:p>
        </w:tc>
      </w:tr>
      <w:tr>
        <w:tc>
          <w:tcPr/>
          <w:p>
            <w:pPr>
              <w:pStyle w:val="Compact"/>
              <w:jc w:val="left"/>
            </w:pPr>
            <w:r>
              <w:rPr>
                <w:rFonts w:ascii="Calibri" w:hAnsi="Calibri"/>
                <w:sz w:val="20"/>
              </w:rPr>
              <w:t xml:space="preserve">Variables binarias presidenciales</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Una por mandato (De la Rúa, Duhalde, N. Kirchner, C. Fernández de Kirchner, Macri, A. Fernández y Milei; Menem es la referencia), para controlar los cambios de orientación de la política económica entre administraciones (sección 3.6).</w:t>
            </w:r>
          </w:p>
        </w:tc>
      </w:tr>
    </w:tbl>
    <w:p>
      <w:pPr>
        <w:pStyle w:val="BodyText"/>
      </w:pPr>
      <w:r>
        <w:t xml:space="preserve">Fuente: elaboración propia.</w:t>
      </w:r>
    </w:p>
    <w:p>
      <w:pPr>
        <w:pStyle w:val="BodyText"/>
      </w:pPr>
      <w:r>
        <w:rPr>
          <w:bCs/>
          <w:b/>
        </w:rPr>
        <w:t xml:space="preserve">Definición del resultado primario.</w:t>
      </w:r>
      <w:r>
        <w:t xml:space="preserve"> </w:t>
      </w:r>
      <w:r>
        <w:t xml:space="preserve">Toda la tesis usa una sola definición: el resultado primario del Sector Público Nacional sin rentas de la propiedad. El FMI excluye de su resultado primario las transferencias de utilidades del BCRA (FMI, 2026, cuadro 1, nota 4), y la fuente pública no separa esas transferencias del resto de las rentas de la propiedad, de modo que la serie sin rentas es la que las deja afuera. En el perímetro consolidado con el BCRA esas utilidades son, además, un flujo interno. El resultado primario con rentas de la propiedad se usa como variante de robustez.</w:t>
      </w:r>
    </w:p>
    <w:p>
      <w:pPr>
        <w:pStyle w:val="BodyText"/>
      </w:pPr>
      <w:r>
        <w:rPr>
          <w:bCs/>
          <w:b/>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65"/>
    <w:bookmarkStart w:id="66"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identifiquen los</w:t>
      </w:r>
      <w:r>
        <w:t xml:space="preserve"> </w:t>
      </w:r>
      <w:r>
        <w:rPr>
          <w:iCs/>
          <w:i/>
        </w:rPr>
        <w:t xml:space="preserve">shocks</w:t>
      </w:r>
      <w:r>
        <w:t xml:space="preserve"> </w:t>
      </w:r>
      <w:r>
        <w:t xml:space="preserve">argentinos.</w:t>
      </w:r>
    </w:p>
    <w:p>
      <w:pPr>
        <w:pStyle w:val="BodyText"/>
      </w:pPr>
      <w:r>
        <w:t xml:space="preserve">La serie es la tasa de fondos federales, con la tasa sombra de Wu y Xia (2016) en el límite cero. La serie cambia de tramo en cuatro trimestres: entra al límite cero en 2009T1 y en 2020T2 y sale de él en 2016T1 y 2022T1. En esas cuatro transiciones la variación se calcula con la tasa efectiva en los dos trimestres, para no confundir el cambio de serie con un cambio de política; dentro de cada tramo se usa la propia serie.</w:t>
      </w:r>
    </w:p>
    <w:p>
      <w:pPr>
        <w:pStyle w:val="BodyText"/>
      </w:pPr>
      <w:r>
        <w:rPr>
          <w:bCs/>
          <w:b/>
        </w:rPr>
        <w:t xml:space="preserve">Tabla 4.2. Canales por los que opera el</w:t>
      </w:r>
      <w:r>
        <w:rPr>
          <w:bCs/>
          <w:b/>
        </w:rPr>
        <w:t xml:space="preserve"> </w:t>
      </w:r>
      <w:r>
        <w:rPr>
          <w:iCs/>
          <w:i/>
          <w:bCs/>
          <w:b/>
        </w:rPr>
        <w:t xml:space="preserve">shock</w:t>
      </w:r>
      <w:r>
        <w:rPr>
          <w:bCs/>
          <w:b/>
        </w:rPr>
        <w:t xml:space="preserve"> </w:t>
      </w:r>
      <w:r>
        <w:rPr>
          <w:bCs/>
          <w:b/>
        </w:rPr>
        <w:t xml:space="preserve">de la FED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Canal</w:t>
            </w:r>
          </w:p>
        </w:tc>
        <w:tc>
          <w:tcPr/>
          <w:p>
            <w:pPr>
              <w:pStyle w:val="Compact"/>
              <w:jc w:val="left"/>
            </w:pPr>
            <w:r>
              <w:rPr>
                <w:rFonts w:ascii="Calibri" w:hAnsi="Calibri"/>
                <w:sz w:val="20"/>
              </w:rPr>
              <w:t xml:space="preserve">Variable del modelo</w:t>
            </w:r>
          </w:p>
        </w:tc>
        <w:tc>
          <w:tcPr/>
          <w:p>
            <w:pPr>
              <w:pStyle w:val="Compact"/>
              <w:jc w:val="left"/>
            </w:pPr>
            <w:r>
              <w:rPr>
                <w:rFonts w:ascii="Calibri" w:hAnsi="Calibri"/>
                <w:sz w:val="20"/>
              </w:rPr>
              <w:t xml:space="preserve">Efecto en la identidad</w:t>
            </w:r>
          </w:p>
        </w:tc>
      </w:tr>
      <w:tr>
        <w:tc>
          <w:tcPr/>
          <w:p>
            <w:pPr>
              <w:pStyle w:val="Compact"/>
              <w:jc w:val="left"/>
            </w:pPr>
            <w:r>
              <w:rPr>
                <w:rFonts w:ascii="Calibri" w:hAnsi="Calibri"/>
                <w:sz w:val="20"/>
              </w:rPr>
              <w:t xml:space="preserve">Prima de riesgo soberano (Uribe y Yue, 2006)</w:t>
            </w:r>
          </w:p>
        </w:tc>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Eleva la tasa en dólares.</w:t>
            </w:r>
          </w:p>
        </w:tc>
      </w:tr>
      <w:tr>
        <w:tc>
          <w:tcPr/>
          <w:p>
            <w:pPr>
              <w:pStyle w:val="Compact"/>
              <w:jc w:val="left"/>
            </w:pPr>
            <w:r>
              <w:rPr>
                <w:rFonts w:ascii="Calibri" w:hAnsi="Calibri"/>
                <w:sz w:val="20"/>
              </w:rPr>
              <w:t xml:space="preserve">Depreciación real (Calvo et al., 2003)</w:t>
            </w:r>
          </w:p>
        </w:tc>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Aumenta en pesos la deuda en moneda extranjera.</w:t>
            </w:r>
          </w:p>
        </w:tc>
      </w:tr>
      <w:tr>
        <w:tc>
          <w:tcPr/>
          <w:p>
            <w:pPr>
              <w:pStyle w:val="Compact"/>
              <w:jc w:val="left"/>
            </w:pPr>
            <w:r>
              <w:rPr>
                <w:rFonts w:ascii="Calibri" w:hAnsi="Calibri"/>
                <w:sz w:val="20"/>
              </w:rPr>
              <w:t xml:space="preserve">Menor crecimiento (Neumeyer y Perri, 2005)</w:t>
            </w:r>
          </w:p>
        </w:tc>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Empeora el diferencial entre tasa y crecimiento.</w:t>
            </w:r>
          </w:p>
        </w:tc>
      </w:tr>
      <w:tr>
        <w:tc>
          <w:tcPr/>
          <w:p>
            <w:pPr>
              <w:pStyle w:val="Compact"/>
              <w:jc w:val="left"/>
            </w:pPr>
            <w:r>
              <w:rPr>
                <w:rFonts w:ascii="Calibri" w:hAnsi="Calibri"/>
                <w:sz w:val="20"/>
              </w:rPr>
              <w:t xml:space="preserve">Respuesta fiscal</w:t>
            </w:r>
          </w:p>
        </w:tc>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Cambia el flujo que reduce la deuda.</w:t>
            </w:r>
          </w:p>
        </w:tc>
      </w:tr>
      <w:tr>
        <w:tc>
          <w:tcPr/>
          <w:p>
            <w:pPr>
              <w:pStyle w:val="Compact"/>
              <w:jc w:val="left"/>
            </w:pPr>
            <w:r>
              <w:rPr>
                <w:rFonts w:ascii="Calibri" w:hAnsi="Calibri"/>
                <w:sz w:val="20"/>
              </w:rPr>
              <w:t xml:space="preserve">Costo de la deuda en dólares</w:t>
            </w:r>
          </w:p>
        </w:tc>
        <w:tc>
          <w:tcPr/>
          <w:p>
            <w:pPr>
              <w:pStyle w:val="Compact"/>
              <w:jc w:val="left"/>
            </w:pPr>
            <w:r>
              <w:rPr>
                <w:rFonts w:ascii="Calibri" w:hAnsi="Calibri"/>
                <w:sz w:val="20"/>
              </w:rPr>
              <w:t xml:space="preserve">Tasa de la FED</w:t>
            </w:r>
          </w:p>
        </w:tc>
        <w:tc>
          <w:tcPr/>
          <w:p>
            <w:pPr>
              <w:pStyle w:val="Compact"/>
              <w:jc w:val="lef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Las tres primeras filas son los canales de la literatura que el modelo incluye (sección 3.4); las dos últimas son mecanismos de su estructura: la respuesta fiscal y el costo directo de la deuda en dólares, que entra por construcción en la identidad.</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p>
      <w:pPr>
        <w:pStyle w:val="BodyText"/>
      </w:pPr>
      <w:r>
        <w:rPr>
          <w:bCs/>
          <w:b/>
        </w:rPr>
        <w:t xml:space="preserve">Variables binarias presidenciales.</w:t>
      </w:r>
      <w:r>
        <w:t xml:space="preserve"> </w:t>
      </w:r>
      <w:r>
        <w:t xml:space="preserve">Se incorporan siete binarias, una por mandato, con Menem (1996T1-1999T3) como categoría de referencia: De la Rúa (1999T4-2001T3), Duhalde (2001T4-2003T1), N. Kirchner (2003T2-2007T3), C. Fernández de Kirchner (2007T4-2015T3), Macri (2015T4-2019T3), A. Fernández (2019T4-2023T3) y Milei (desde 2023T4). Cada trimestre se asigna al presidente en funciones al cierre; la excepción es 2001T4, que terminó con presidentes interinos y se asigna al gobierno de Duhalde, que asumió el 2 de enero de 2002. Controlan los cambios de orientación de la política económica entre administraciones, que la sección 3.6 vincula con el endeudamiento. Como la simulación se hace en desvíos respecto del escenario base (sección 4.6, paso 1), las binarias no intervienen en la proyección 2026-2035. Cada una consume grados de libertad en las cuatro ecuaciones, así que se contrasta su significancia conjunta con una prueba de Wald en cada ecuación y una prueba de razón de verosimilitud del sistema con la corrección de Sims (1980); el VIF no se usa porque no es estándar en un VAR. La especificación sin ellas se informa como robustez (sección 6.6).</w:t>
      </w:r>
    </w:p>
    <w:p>
      <w:pPr>
        <w:pStyle w:val="BodyText"/>
      </w:pPr>
      <w:r>
        <w:t xml:space="preserve">Las binarias presidenciales y las de quiebre pueden ser colineales cuando un quiebre coincide con un cambio de gobierno. El Apéndice (sección A.3) ubica cada quiebre de Bai y Perron respecto de los cambios de gobierno. Cuando coinciden, como el de 2001T4 con el inicio del gobierno de Duhalde, las binarias presidenciales reemplazan a la de quiebre; los quiebres dentro de un mandato (2006T2 y 2018T1) se conservan. Los quiebres se recalculan al reestimar con una muestra distinta, de modo que esta correspondencia es válida para la ventana principal.</w:t>
      </w:r>
    </w:p>
    <w:bookmarkEnd w:id="66"/>
    <w:bookmarkStart w:id="67" w:name="identificación-de-los-shocks-domésticos"/>
    <w:p>
      <w:pPr>
        <w:pStyle w:val="Heading2"/>
      </w:pPr>
      <w:r>
        <w:t xml:space="preserve">4.4 Identificación de los</w:t>
      </w:r>
      <w:r>
        <w:t xml:space="preserve"> </w:t>
      </w:r>
      <w:r>
        <w:rPr>
          <w:iCs/>
          <w:i/>
        </w:rPr>
        <w:t xml:space="preserve">shocks</w:t>
      </w:r>
      <w:r>
        <w:t xml:space="preserve"> </w:t>
      </w:r>
      <w:r>
        <w:t xml:space="preserve">domésticos</w:t>
      </w:r>
    </w:p>
    <w:p>
      <w:pPr>
        <w:pStyle w:val="FirstParagraph"/>
      </w:pPr>
      <w:r>
        <w:t xml:space="preserve">Los residuos del VAR, u, se relacionan con cuatro</w:t>
      </w:r>
      <w:r>
        <w:t xml:space="preserve"> </w:t>
      </w:r>
      <w:r>
        <w:rPr>
          <w:iCs/>
          <w:i/>
        </w:rPr>
        <w:t xml:space="preserve">shocks</w:t>
      </w:r>
      <w:r>
        <w:t xml:space="preserve"> </w:t>
      </w:r>
      <w:r>
        <w:t xml:space="preserve">estructurales, ε, mediante u = S ε. La identificación usa restricciones de impacto en la línea de Blanchard y Perotti (2002) para el bloque fiscal y de actividad, con un bloque cambiario y de riesgo (EMBI y TCRM) identificado en conjunto. La matriz S impone estas restricciones en el trimestre del impacto (Tabla 4.3):</w:t>
      </w:r>
    </w:p>
    <w:p>
      <w:pPr>
        <w:numPr>
          <w:ilvl w:val="0"/>
          <w:numId w:val="1002"/>
        </w:numPr>
        <w:pStyle w:val="Compact"/>
      </w:pPr>
      <w:r>
        <w:rPr>
          <w:bCs/>
          <w:b/>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Cs/>
          <w:i/>
        </w:rPr>
        <w:t xml:space="preserve">shock</w:t>
      </w:r>
      <w:r>
        <w:t xml:space="preserve"> </w:t>
      </w:r>
      <w:r>
        <w:t xml:space="preserve">discrecional, que tarda más de un trimestre en reaccionar a la actividad.</w:t>
      </w:r>
    </w:p>
    <w:p>
      <w:pPr>
        <w:numPr>
          <w:ilvl w:val="0"/>
          <w:numId w:val="1002"/>
        </w:numPr>
        <w:pStyle w:val="Compact"/>
      </w:pPr>
      <w:r>
        <w:rPr>
          <w:bCs/>
          <w:b/>
        </w:rPr>
        <w:t xml:space="preserve">Actividad.</w:t>
      </w:r>
      <w:r>
        <w:t xml:space="preserve"> </w:t>
      </w:r>
      <w:r>
        <w:t xml:space="preserve">El crecimiento puede responder al</w:t>
      </w:r>
      <w:r>
        <w:t xml:space="preserve"> </w:t>
      </w:r>
      <w:r>
        <w:rPr>
          <w:iCs/>
          <w:i/>
        </w:rPr>
        <w:t xml:space="preserve">shock</w:t>
      </w:r>
      <w:r>
        <w:t xml:space="preserve"> </w:t>
      </w:r>
      <w:r>
        <w:t xml:space="preserve">fiscal en el trimestre; su</w:t>
      </w:r>
      <w:r>
        <w:t xml:space="preserve"> </w:t>
      </w:r>
      <w:r>
        <w:rPr>
          <w:iCs/>
          <w:i/>
        </w:rPr>
        <w:t xml:space="preserve">shock</w:t>
      </w:r>
      <w:r>
        <w:t xml:space="preserve"> </w:t>
      </w:r>
      <w:r>
        <w:t xml:space="preserve">es la parte del residuo que el fiscal no explica.</w:t>
      </w:r>
    </w:p>
    <w:p>
      <w:pPr>
        <w:numPr>
          <w:ilvl w:val="0"/>
          <w:numId w:val="1002"/>
        </w:numPr>
        <w:pStyle w:val="Compact"/>
      </w:pPr>
      <w:r>
        <w:rPr>
          <w:bCs/>
          <w:b/>
        </w:rPr>
        <w:t xml:space="preserve">Cambiario y de riesgo.</w:t>
      </w:r>
      <w:r>
        <w:t xml:space="preserve"> </w:t>
      </w:r>
      <w:r>
        <w:t xml:space="preserve">El EMBI y el TCRM responden en el trimestre a los otros dos</w:t>
      </w:r>
      <w:r>
        <w:t xml:space="preserve"> </w:t>
      </w:r>
      <w:r>
        <w:rPr>
          <w:iCs/>
          <w:i/>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En el caso del resultado primario hay un argumento en contra: los derechos de exportación dependen del tipo de cambio. El efecto contemporáneo debería ser pequeño porque la recaudación se liquida con rezago respecto de la depreciación y el gasto se fija en el presupuesto, pero no se descarta; por eso la identificación con el resultado primario último, que lo deja responder en el trimestre, se presenta como una alternativa de igual peso (Apéndice, sección A.7). Dentro del bloque se usa una ortonormalización arbitraria y solo se informa la contribución conjunta, que no depende de ella.</w:t>
      </w:r>
    </w:p>
    <w:p>
      <w:pPr>
        <w:pStyle w:val="FirstParagraph"/>
      </w:pPr>
      <w:r>
        <w:rPr>
          <w:bCs/>
          <w:b/>
        </w:rPr>
        <w:t xml:space="preserve">Tabla 4.3. Restricciones de impacto (S)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rFonts w:ascii="Calibri" w:hAnsi="Calibri"/>
                <w:sz w:val="20"/>
              </w:rPr>
              <w:t xml:space="preserve">Bloque cambiario y de riesgo</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0,25 × respuesta del crecimiento</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y relaciona el saldo fiscal, como porcentaje del PIB, con la brecha del producto en datos anuales. Aquí se aplica a un crecimiento trimestral sin desestacionalizar frente a un resultado primario anualizado, y no se dispone de una estimación para Argentina. Las unidades son compatibles en el trimestre del impacto: las variables binarias trimestrales absorben la estacionalidad, de modo que la innovación del crecimiento es una sorpresa en el nivel del producto del trimestre, que mueve la brecha en la misma proporción si el producto potencial no cambia, y el resultado primario anualizado se mide, como el saldo de la OCDE, en puntos del PIB. La equivalencia es aproximada, porque la recaudación argentina depende más del comercio exterior y de la inflación que la de los países de la OCDE. Con ese cambio de frecuencia, 0,25 funciona como una cota plausible del ajuste automático y no como una magnitud calibrada; por eso la simulación se repite con elasticidades de 0 y 0,5. La robustez incluye también dos ordenamientos de Cholesky (resultado primario primero y resultado primario último), cuyas matrices de impacto se muestran en el Apéndice (sección A.7) con el mismo formato que la matriz estructural y el orden de las variables. Las variables externas no requieren identificación: forman un cuarto bloque, externo, medido con las innovaciones históricas de la FED y del VIX (sección 4.6).</w:t>
      </w:r>
    </w:p>
    <w:bookmarkEnd w:id="67"/>
    <w:bookmarkStart w:id="68" w:name="ventana-niveles-rezagos-e-inferencia"/>
    <w:p>
      <w:pPr>
        <w:pStyle w:val="Heading2"/>
      </w:pPr>
      <w:r>
        <w:t xml:space="preserve">4.5 Ventana, niveles, rezagos e inferencia</w:t>
      </w:r>
    </w:p>
    <w:p>
      <w:pPr>
        <w:numPr>
          <w:ilvl w:val="0"/>
          <w:numId w:val="1003"/>
        </w:numPr>
        <w:pStyle w:val="Compact"/>
      </w:pPr>
      <w:r>
        <w:rPr>
          <w:bCs/>
          <w:b/>
        </w:rPr>
        <w:t xml:space="preserve">Ventana y muestra de estimación.</w:t>
      </w:r>
      <w:r>
        <w:t xml:space="preserve"> </w:t>
      </w:r>
      <w:r>
        <w:t xml:space="preserve">Los datos cubren 1996-2025. Las ecuaciones se estiman con los trimestres 1998T2-2025T4 (111 observaciones) en todas las especificaciones. El límite lo fija la deuda federal bruta trimestral del MECON, que empieza en 1998T1 y entra rezagada; los trimestres anteriores de la ventana sirven como condiciones iniciales de los demás rezagos, y los órdenes del VAR se comparan, hasta seis, sobre esas mismas observaciones (Lütkepohl, 2005, sec. 4.3).</w:t>
      </w:r>
    </w:p>
    <w:p>
      <w:pPr>
        <w:numPr>
          <w:ilvl w:val="0"/>
          <w:numId w:val="1003"/>
        </w:numPr>
        <w:pStyle w:val="Compact"/>
      </w:pPr>
      <w:r>
        <w:rPr>
          <w:bCs/>
          <w:b/>
        </w:rPr>
        <w:t xml:space="preserve">Empalmes.</w:t>
      </w:r>
      <w:r>
        <w:t xml:space="preserve"> </w:t>
      </w:r>
      <w:r>
        <w:t xml:space="preserve">Dos series no tienen dato publicado en toda la ventana. La serie diaria del EMBI para Argentina empieza en diciembre de 1998; para 1996T1-1998T3 se reconstruye con su relación con el diferencial entre la tasa de préstamos interfinancieros en dólares del BCRA y la tasa de fondos federales, estimada en la superposición 1998T4-2001T3. El índice del TCRM del BCRA empieza en enero de 1997; el de 1996 se encadena hacia atrás con las variaciones del tipo de cambio real efectivo amplio del BIS. Con dos rezagos, ninguno de los dos empalmes pesa mucho en la estimación: el TCRM de 1996 no entra en ella, y el EMBI reconstruido solo aparece en 1998T2-1998T3 y como rezago en 1997T4-1998T1. La construcción está en el Capítulo 5 y la validación, en el Apéndice, sección A.2. Con datos desde 1999, sin el empalme del EMBI, los resultados casi no cambian (sección 6.6).</w:t>
      </w:r>
    </w:p>
    <w:p>
      <w:pPr>
        <w:numPr>
          <w:ilvl w:val="0"/>
          <w:numId w:val="1003"/>
        </w:numPr>
        <w:pStyle w:val="Compact"/>
      </w:pPr>
      <w:r>
        <w:rPr>
          <w:bCs/>
          <w:b/>
        </w:rPr>
        <w:t xml:space="preserve">Quiebres estructurales.</w:t>
      </w:r>
      <w:r>
        <w:t xml:space="preserve"> </w:t>
      </w:r>
      <w:r>
        <w:t xml:space="preserve">Los quiebres de Bai y Perron (2003) se estiman sobre la media de la deuda, una serie muy persistente en la que el procedimiento tiende a detectar quiebres espurios, y se aplican como cambios de nivel en las cuatro ecuaciones aunque se hayan detectado solo en la deuda. Se aceptan así por dos razones: la deuda argentina tuvo cambios de nivel discretos y de origen conocido (el canje y el</w:t>
      </w:r>
      <w:r>
        <w:t xml:space="preserve"> </w:t>
      </w:r>
      <w:r>
        <w:rPr>
          <w:iCs/>
          <w:i/>
        </w:rPr>
        <w:t xml:space="preserve">default</w:t>
      </w:r>
      <w:r>
        <w:t xml:space="preserve"> </w:t>
      </w:r>
      <w:r>
        <w:t xml:space="preserve">de 2001-2005, la reestructuración de 2020) que afectan a las demás variables, y la especificación sin ellos se informa como robustez (sección 6.6). Los quiebres se recalculan al reestimar, y el Apéndice, sección A.3, los contrasta con los cambios de gobierno.</w:t>
      </w:r>
    </w:p>
    <w:p>
      <w:pPr>
        <w:numPr>
          <w:ilvl w:val="0"/>
          <w:numId w:val="1003"/>
        </w:numPr>
        <w:pStyle w:val="Compact"/>
      </w:pPr>
      <w:r>
        <w:rPr>
          <w:bCs/>
          <w:b/>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Cs/>
          <w:i/>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A.3).</w:t>
      </w:r>
    </w:p>
    <w:p>
      <w:pPr>
        <w:numPr>
          <w:ilvl w:val="0"/>
          <w:numId w:val="1003"/>
        </w:numPr>
        <w:pStyle w:val="Compact"/>
      </w:pPr>
      <w:r>
        <w:rPr>
          <w:bCs/>
          <w:b/>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(la muestra efectiva es de 111); si sus residuos rechazan la ausencia de autocorrelación (Portmanteau, 12 rezagos, 5%; Hosking, 1980), el menor orden mayor que no la rechaza (Lütkepohl, 2005, sec. 4.4). Schwarz elige uno, con residuos autocorrelacionados (p &lt; 0,001). Con la especificación final, que incluye las binarias presidenciales y las cuatro transiciones de la tasa de la FED, ningún orden estable pasa la prueba al 5%: con dos el p-valor es 0,031, el mayor entre los estables (con tres, 0,014). Se adopta entonces la regla de reserva de elegir, entre los órdenes estables no menores que el de Schwarz, el de mayor p-valor del Portmanteau, que es dos; es también el orden de Hannan-Quinn, y su autovalor máximo es 0,776. La autocorrelación residual leve que queda se reconoce como limitación (sección 7.6), y se informan los resultados con uno y con tres rezagos (sección 6.6). Akaike elige seis, un orden inestable (raíz máxima 1,008) (Apéndice, sección A.4).</w:t>
      </w:r>
    </w:p>
    <w:p>
      <w:pPr>
        <w:numPr>
          <w:ilvl w:val="0"/>
          <w:numId w:val="1003"/>
        </w:numPr>
        <w:pStyle w:val="Compact"/>
      </w:pPr>
      <w:r>
        <w:rPr>
          <w:bCs/>
          <w:b/>
        </w:rPr>
        <w:t xml:space="preserve">Inferencia.</w:t>
      </w:r>
      <w:r>
        <w:t xml:space="preserve"> </w:t>
      </w:r>
      <w:r>
        <w:t xml:space="preserve">La estimación central usa los parámetros de mínimos cuadrados. Los intervalos de 90% salen de un</w:t>
      </w:r>
      <w:r>
        <w:t xml:space="preserve"> </w:t>
      </w:r>
      <w:r>
        <w:rPr>
          <w:iCs/>
          <w:i/>
        </w:rPr>
        <w:t xml:space="preserve">bootstrap</w:t>
      </w:r>
      <w:r>
        <w:t xml:space="preserve"> </w:t>
      </w:r>
      <w:r>
        <w:t xml:space="preserve">de bloques móviles de cuatro trimestres sobre los residuos, de diseño recursivo, en el que la deuda también se regenera (Brüggemann et al., 2016). Esos autores muestran que el</w:t>
      </w:r>
      <w:r>
        <w:t xml:space="preserve"> </w:t>
      </w:r>
      <w:r>
        <w:rPr>
          <w:iCs/>
          <w:i/>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Cs/>
          <w:i/>
        </w:rPr>
        <w:t xml:space="preserve">bootstrap</w:t>
      </w:r>
      <w:r>
        <w:t xml:space="preserve"> </w:t>
      </w:r>
      <w:r>
        <w:t xml:space="preserve">respecto de la estimación puntual. Como el remuestreo es en bloques, preserva la heterocedasticidad condicional de forma desconocida, que aparece en la ecuación del TCRM (Apéndice, sección A.5). Para las varianzas y las participaciones de la descomposición, que son cantidades acotadas, los intervalos son percentiles simples de las réplicas y no de Hall. La corrección de sesgo de Kilian (1998) se informa como robustez. Se usan 1.000 réplicas: con 200, cada cola de un intervalo de 95%, que es el que se emplea para la corrección de Bonferroni, quedaba definida por unas cinco observaciones y su precisión empírica era insuficiente.</w:t>
      </w:r>
    </w:p>
    <w:bookmarkEnd w:id="68"/>
    <w:bookmarkStart w:id="69" w:name="simulación-de-monte-carlo"/>
    <w:p>
      <w:pPr>
        <w:pStyle w:val="Heading2"/>
      </w:pPr>
      <w:r>
        <w:t xml:space="preserve">4.6 Simulación de Monte Carlo</w:t>
      </w:r>
    </w:p>
    <w:p>
      <w:pPr>
        <w:pStyle w:val="FirstParagraph"/>
      </w:pPr>
      <w:r>
        <w:rPr>
          <w:bCs/>
          <w:b/>
        </w:rPr>
        <w:t xml:space="preserve">Escenario base.</w:t>
      </w:r>
      <w:r>
        <w:t xml:space="preserve"> </w:t>
      </w:r>
      <w:r>
        <w:t xml:space="preserve">Es el del FMI (2026, cuadro 6), de mayo de 2026: crecimiento real g, deflactor pi, tasa efectiva i, resultado primario pb, ajuste stock-flujo sf e inflación relativa ri (efecto de la depreciación nominal sobre la deuda en moneda extranjera). Aplicada al</w:t>
      </w:r>
      <w:r>
        <w:t xml:space="preserve"> </w:t>
      </w:r>
      <w:r>
        <w:rPr>
          <w:iCs/>
          <w:i/>
        </w:rPr>
        <w:t xml:space="preserve">stock</w:t>
      </w:r>
      <w:r>
        <w:t xml:space="preserve"> </w:t>
      </w:r>
      <w:r>
        <w:t xml:space="preserve">del FMI, la identidad reproduce su senda con un desvío máximo de 0,12 puntos del PIB. La robustez usa el escenario de 2025 (FMI, 2025, anexo II).</w:t>
      </w:r>
    </w:p>
    <w:p>
      <w:pPr>
        <w:pStyle w:val="BodyText"/>
      </w:pPr>
      <w:r>
        <w:rPr>
          <w:bCs/>
          <w:b/>
        </w:rPr>
        <w:t xml:space="preserve">Identidad de la deuda.</w:t>
      </w:r>
      <w:r>
        <w:t xml:space="preserve"> </w:t>
      </w:r>
      <w:r>
        <w:t xml:space="preserve">Para cada año t de 2026 a 2035:</w:t>
      </w:r>
    </w:p>
    <w:p>
      <w:pPr>
        <w:pStyle w:val="BodyText"/>
      </w:pPr>
      <w:r>
        <w:t xml:space="preserve">dₜ = dₜ₋₁ Mₜ - pbₜ + sfₜ fraca dₜ₋₁aᶠMI dᶠMIₜ₋₁ + riₜ frac(1-a) dₜ₋₁(1-aᶠMI) dᶠMIₜ₋₁</w:t>
      </w:r>
    </w:p>
    <w:p>
      <w:pPr>
        <w:pStyle w:val="BodyText"/>
      </w:pPr>
      <w:r>
        <w:t xml:space="preserve">Mₜ = ((1 + iₜ + (1-a) xₜ)(1 + (1-a) eₜ))/((1+piₜ)(1+gₜ))</w:t>
      </w:r>
    </w:p>
    <w:p>
      <w:pPr>
        <w:pStyle w:val="BodyText"/>
      </w:pPr>
      <w:r>
        <w:t xml:space="preserve">donde a es la proporción de la deuda en pesos (0,422 para la federal bruta y 0,315 para la consolidada con el BCRA), aᶠMI y dᶠMI son la proporción y el</w:t>
      </w:r>
      <w:r>
        <w:t xml:space="preserve"> </w:t>
      </w:r>
      <w:r>
        <w:rPr>
          <w:iCs/>
          <w:i/>
        </w:rPr>
        <w:t xml:space="preserve">stock</w:t>
      </w:r>
      <w:r>
        <w:t xml:space="preserve"> </w:t>
      </w:r>
      <w:r>
        <w:t xml:space="preserve">del FMI, eₜ es el desvío de la depreciación real que simula el SVARX y xₜ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Cs/>
          <w:b/>
        </w:rPr>
        <w:t xml:space="preserve">Algoritmo.</w:t>
      </w:r>
    </w:p>
    <w:p>
      <w:pPr>
        <w:numPr>
          <w:ilvl w:val="0"/>
          <w:numId w:val="1004"/>
        </w:numPr>
        <w:pStyle w:val="Compact"/>
      </w:pPr>
      <w:r>
        <w:t xml:space="preserve">El SVARX se simula durante 40 trimestres en desvíos respecto del escenario base, de modo que la constante y las variables binarias no intervienen.</w:t>
      </w:r>
    </w:p>
    <w:p>
      <w:pPr>
        <w:numPr>
          <w:ilvl w:val="0"/>
          <w:numId w:val="1004"/>
        </w:numPr>
        <w:pStyle w:val="Compact"/>
      </w:pPr>
      <w:r>
        <w:t xml:space="preserve">El VIX y el nivel de la tasa de la FED siguen procesos AR(1) estimados en la muestra (coeficientes de 0,703 y 0,972). Sus innovaciones históricas se remuestrean junto con los</w:t>
      </w:r>
      <w:r>
        <w:t xml:space="preserve"> </w:t>
      </w:r>
      <w:r>
        <w:rPr>
          <w:iCs/>
          <w:i/>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numPr>
          <w:ilvl w:val="0"/>
          <w:numId w:val="1004"/>
        </w:numPr>
        <w:pStyle w:val="Compact"/>
      </w:pPr>
      <w:r>
        <w:t xml:space="preserve">Al final de cada año los desvíos se anualizan: el del crecimiento es la variación del promedio anual del nivel del PIB; los del resultado primario y el EMBI, promedios del año; el del TCRM, la variación de fin de año.</w:t>
      </w:r>
    </w:p>
    <w:p>
      <w:pPr>
        <w:numPr>
          <w:ilvl w:val="0"/>
          <w:numId w:val="1004"/>
        </w:numPr>
        <w:pStyle w:val="Compact"/>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Cs/>
          <w:b/>
        </w:rPr>
        <w:t xml:space="preserve">Métrica.</w:t>
      </w:r>
      <w:r>
        <w:t xml:space="preserve"> </w:t>
      </w:r>
      <w:r>
        <w:t xml:space="preserve">La no estabilización se mide de dos maneras, que la tesis informa con el mismo peso. La primera, la métrica anual, aplica la definición del FMI (2021, párr. 53) año por año: la deuda no se estabiliza en el año T si el resultado primario del escenario base es menor que el que la estabilizaría ese año en la trayectoria simulada,</w:t>
      </w:r>
    </w:p>
    <w:p>
      <w:pPr>
        <w:pStyle w:val="BodyText"/>
      </w:pPr>
      <w:r>
        <w:t xml:space="preserve">pb^*_T = d_T-1(M_T - 1) + sf_T + ri_T ,</w:t>
      </w:r>
    </w:p>
    <w:p>
      <w:pPr>
        <w:pStyle w:val="BodyText"/>
      </w:pPr>
      <w:r>
        <w:t xml:space="preserve">con sf y ri escalados como en la identidad. Equivale a que la deuda de T, con el resultado primario del escenario, supere a la de T-1, de modo que incluye la valuación de la deuda en moneda extranjera y el ajuste stock-flujo de ese año.</w:t>
      </w:r>
    </w:p>
    <w:p>
      <w:pPr>
        <w:pStyle w:val="BodyText"/>
      </w:pPr>
      <w:r>
        <w:t xml:space="preserve">La segunda es una reconstrucción de la definición operativa del FMI, la que el organismo usa para las cifras con que se compara H1b; como el FMI no publica el cálculo, la tesis la reconstruye a partir de su guía. El resultado primario que estabiliza la deuda se calcula sin variación del tipo de cambio real ni ajuste stock-flujo, con las variables promediadas a lo largo de la trayectoria (FMI, 2022, recuadro 3). La tesis usa los impulsores del escenario en el año T más el desvío promedio de la trayectoria desde 2026,</w:t>
      </w:r>
    </w:p>
    <w:p>
      <w:pPr>
        <w:pStyle w:val="BodyText"/>
      </w:pPr>
      <w:r>
        <w:t xml:space="preserve">pb^*FMI_T = d_T-1(frac1 + i_T + (1-a)barx_T(1+pi_T)(1+g_T+barg_T) - 1) + ri_T ,</w:t>
      </w:r>
    </w:p>
    <w:p>
      <w:pPr>
        <w:pStyle w:val="BodyText"/>
      </w:pPr>
      <w:r>
        <w:t xml:space="preserve">donde barx_T y barg_T son los desvíos promedio de la tasa en dólares y del crecimiento entre 2026 y T (en la variante del canal de tasas en pesos se suma el desvío de la tasa en pesos). El término ri_T es el del escenario base, no un desvío simulado: la definición excluye los desvíos del tipo de cambio real, no la valuación prevista en el escenario, que el recuadro 3 incluye a través de la inflación relativa. Se informa también una lectura literal del recuadro, que promedia además los impulsores del escenario y el resultado primario.</w:t>
      </w:r>
    </w:p>
    <w:p>
      <w:pPr>
        <w:pStyle w:val="BodyText"/>
      </w:pPr>
      <w:r>
        <w:t xml:space="preserve">Las dos métricas se miden en 2031 y en 2035, los últimos años de los abanicos de mediano plazo y de diez años del FMI. Como medidas alternativas se usan la métrica anual con el resultado primario simulado y la probabilidad de que la deuda de 2031 supere a la de 2029.</w:t>
      </w:r>
    </w:p>
    <w:p>
      <w:pPr>
        <w:pStyle w:val="BodyText"/>
      </w:pPr>
      <w:r>
        <w:rPr>
          <w:bCs/>
          <w:b/>
        </w:rPr>
        <w:t xml:space="preserve">Estimación.</w:t>
      </w:r>
      <w:r>
        <w:t xml:space="preserve"> </w:t>
      </w:r>
      <w:r>
        <w:t xml:space="preserve">La estimación central usa 20.000 trayectorias; los intervalos, 1.000 réplicas de parámetros con 1.000 trayectorias cada una. Todas las especificaciones comparten los números aleatorios, y sus diferencias no provienen del sorteo.</w:t>
      </w:r>
    </w:p>
    <w:p>
      <w:pPr>
        <w:pStyle w:val="BodyText"/>
      </w:pPr>
      <w:r>
        <w:rPr>
          <w:bCs/>
          <w:b/>
        </w:rPr>
        <w:t xml:space="preserve">Descomposición de la varianza.</w:t>
      </w:r>
      <w:r>
        <w:t xml:space="preserve"> </w:t>
      </w:r>
      <w:r>
        <w:t xml:space="preserve">La simulación es no lineal, y los</w:t>
      </w:r>
      <w:r>
        <w:t xml:space="preserve"> </w:t>
      </w:r>
      <w:r>
        <w:rPr>
          <w:iCs/>
          <w:i/>
        </w:rPr>
        <w:t xml:space="preserve">shocks</w:t>
      </w:r>
      <w:r>
        <w:t xml:space="preserve"> </w:t>
      </w:r>
      <w:r>
        <w:t xml:space="preserve">domésticos y los externos se remuestrean juntos por fecha, de modo que las contribuciones por bloque no suman 100% de manera automática. Para cada bloque (fiscal, actividad, cambiario y de riesgo, externo) se simula la deuda de 2035 con las trayectorias de</w:t>
      </w:r>
      <w:r>
        <w:t xml:space="preserve"> </w:t>
      </w:r>
      <w:r>
        <w:rPr>
          <w:iCs/>
          <w:i/>
        </w:rPr>
        <w:t xml:space="preserve">shocks</w:t>
      </w:r>
      <w:r>
        <w:t xml:space="preserve"> </w:t>
      </w:r>
      <w:r>
        <w:t xml:space="preserve">de ese bloque solamente, con los demás en cero, y se calcula la varianza entre trayectorias. La participación de cada bloque es su varianza sobre la suma de las varianzas de los cuatro bloques; el denominador no es la varianza de la simulación completa, por la no linealidad y porque los bloques están correlacionados. Esa suma y la varianza total se informan en el Apéndice, sección A.9. El bloque externo se abre en tres partes con el mismo denominador: el VIX solo, la tasa de la FED sola y la tasa de la FED con solo su efecto directo en la identidad (el costo de la deuda en dólares), sin la respuesta de las variables del sistema. La diferencia entre la tasa de la FED completa y la directa es el efecto indirecto. Estas aperturas no son aditivas.</w:t>
      </w:r>
    </w:p>
    <w:p>
      <w:pPr>
        <w:pStyle w:val="BodyText"/>
      </w:pPr>
      <w:r>
        <w:rPr>
          <w:bCs/>
          <w:b/>
        </w:rPr>
        <w:t xml:space="preserve">Escenarios de la FED.</w:t>
      </w:r>
      <w:r>
        <w:t xml:space="preserve"> </w:t>
      </w:r>
      <w:r>
        <w:t xml:space="preserve">En el primero, el nivel de la tasa queda 0,501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Cs/>
          <w:b/>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[ESM], 2023): desvíos respecto de la media de los cuatro impulsores anuales de la ventana 1996-2025 (tasa real efectiva, crecimiento, depreciación real y resultado primario; el primer año con los cuatro impulsores es 1997), remuestreados en bloques de dos años, con la misma identidad y punto de partida, y con las dos métricas. Las demás variantes quitan la retroalimentación, usan el resultado primario con rentas de la propiedad, usan uno o tres rezagos, omiten los quiebres, las binarias presidenciales o los</w:t>
      </w:r>
      <w:r>
        <w:t xml:space="preserve"> </w:t>
      </w:r>
      <w:r>
        <w:rPr>
          <w:iCs/>
          <w:i/>
        </w:rPr>
        <w:t xml:space="preserve">shocks</w:t>
      </w:r>
      <w:r>
        <w:t xml:space="preserve"> </w:t>
      </w:r>
      <w:r>
        <w:t xml:space="preserve">de 2001T4-2005T3, usan solo el EMBI observado (datos desde 1999, sin empalme), empiezan en 2004, anulan el ajuste stock-flujo, corrigen el sesgo o usan el escenario de 2025. Con la principal suman 21 especificaciones del SVARX. Dos de ellas son equivalentes: con una elasticidad cíclica de cero, el</w:t>
      </w:r>
      <w:r>
        <w:t xml:space="preserve"> </w:t>
      </w:r>
      <w:r>
        <w:rPr>
          <w:iCs/>
          <w:i/>
        </w:rPr>
        <w:t xml:space="preserve">shock</w:t>
      </w:r>
      <w:r>
        <w:t xml:space="preserve"> </w:t>
      </w:r>
      <w:r>
        <w:t xml:space="preserve">fiscal absorbe toda la covarianza con el crecimiento, igual que en el ordenamiento de Cholesky con el resultado primario primero, de modo que dan los mismos resultados.</w:t>
      </w:r>
    </w:p>
    <w:p>
      <w:pPr>
        <w:pStyle w:val="BodyText"/>
      </w:pPr>
      <w:r>
        <w:t xml:space="preserve">El procedimiento del FMI genera</w:t>
      </w:r>
      <w:r>
        <w:t xml:space="preserve"> </w:t>
      </w:r>
      <w:r>
        <w:rPr>
          <w:iCs/>
          <w:i/>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central, porque los</w:t>
      </w:r>
      <w:r>
        <w:t xml:space="preserve"> </w:t>
      </w:r>
      <w:r>
        <w:rPr>
          <w:iCs/>
          <w:i/>
        </w:rPr>
        <w:t xml:space="preserve">shocks</w:t>
      </w:r>
      <w:r>
        <w:t xml:space="preserve"> </w:t>
      </w:r>
      <w:r>
        <w:t xml:space="preserve">estructurales reconstruyen los mismos residuos con cualquier S. Los intervalos sí difieren de una identificación a otra: en cada réplica la matriz S se reestima, mientras que los</w:t>
      </w:r>
      <w:r>
        <w:t xml:space="preserve"> </w:t>
      </w:r>
      <w:r>
        <w:rPr>
          <w:iCs/>
          <w:i/>
        </w:rPr>
        <w:t xml:space="preserve">shocks</w:t>
      </w:r>
      <w:r>
        <w:t xml:space="preserve"> </w:t>
      </w:r>
      <w:r>
        <w:t xml:space="preserve">históricos se calculan con la S de la estimación central, de modo que el residuo reconstruido en las réplicas depende de la identificación.</w:t>
      </w:r>
    </w:p>
    <w:bookmarkEnd w:id="69"/>
    <w:bookmarkStart w:id="70" w:name="contraste-de-las-hipótesis"/>
    <w:p>
      <w:pPr>
        <w:pStyle w:val="Heading2"/>
      </w:pPr>
      <w:r>
        <w:t xml:space="preserve">4.7 Contraste de las hipótesis</w:t>
      </w:r>
    </w:p>
    <w:p>
      <w:pPr>
        <w:pStyle w:val="FirstParagraph"/>
      </w:pPr>
      <w:r>
        <w:rPr>
          <w:bCs/>
          <w:b/>
        </w:rPr>
        <w:t xml:space="preserve">Tabla 4.4. Medidas y criterios de contraste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Contribución de cada bloque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varianza de la deuda simulada en 2035; y suficiencia del superávit</w:t>
            </w:r>
          </w:p>
        </w:tc>
        <w:tc>
          <w:tcPr/>
          <w:p>
            <w:pPr>
              <w:pStyle w:val="Compact"/>
              <w:jc w:val="left"/>
            </w:pPr>
            <w:r>
              <w:rPr>
                <w:rFonts w:ascii="Calibri" w:hAnsi="Calibri"/>
                <w:sz w:val="20"/>
              </w:rPr>
              <w:t xml:space="preserve">(i) La contribución de los bloques no fiscales supera a la del fiscal, con un intervalo de 90% de la diferencia que excluye el cero. (ii) Con el resultado primario de todos los años desplazado en la misma magnitud hasta que el de 2031 alcanza su máximo anual de 1996-2025, la probabilidad de no estabilización en 2031 sigue superando la cifra del FMI (1%), con cada métrica. H1a se acepta si se cumplen las dos condiciones.</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Probabilidad de no estabilización con el escenario base del FMI, en 2031 y en 2035, con la métrica anual y con la definición operativa del FMI</w:t>
            </w:r>
          </w:p>
        </w:tc>
        <w:tc>
          <w:tcPr/>
          <w:p>
            <w:pPr>
              <w:pStyle w:val="Compact"/>
              <w:jc w:val="left"/>
            </w:pPr>
            <w:r>
              <w:rPr>
                <w:rFonts w:ascii="Calibri" w:hAnsi="Calibri"/>
                <w:sz w:val="20"/>
              </w:rPr>
              <w:t xml:space="preserve">El límite inferior del intervalo de 90% supera la cifra del FMI para el mismo horizonte (contraste unilateral al 5%): 1% a mediano plazo y menos de 3% a diez años (FMI, 2026). Se evalúa con cada métrica.</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Diferencia en esa probabilidad y en la deuda esperada en 2035 entre cada escenario de la FED y el base</w:t>
            </w:r>
          </w:p>
        </w:tc>
        <w:tc>
          <w:tcPr/>
          <w:p>
            <w:pPr>
              <w:pStyle w:val="Compact"/>
              <w:jc w:val="left"/>
            </w:pPr>
            <w:r>
              <w:rPr>
                <w:rFonts w:ascii="Calibri" w:hAnsi="Calibri"/>
                <w:sz w:val="20"/>
              </w:rPr>
              <w:t xml:space="preserve">El intervalo de 90% de la diferencia excluye el cero en las dos medidas. Si lo cumple en una medida o en un escenario y no en los otros, H2 se declara parcialmente respaldada y se informa cuál.</w:t>
            </w:r>
          </w:p>
        </w:tc>
      </w:tr>
    </w:tbl>
    <w:p>
      <w:pPr>
        <w:pStyle w:val="BodyText"/>
      </w:pPr>
      <w:r>
        <w:t xml:space="preserve">Fuente: elaboración propia.</w:t>
      </w:r>
    </w:p>
    <w:p>
      <w:pPr>
        <w:pStyle w:val="BodyText"/>
      </w:pPr>
      <w:r>
        <w:t xml:space="preserve">Como las cuatro participaciones de la condición (i) suman 100, esa condición equivale a que el bloque fiscal explique menos de la mitad de la varianza; la que contrasta que el superávit no baste es la condición (ii). Las dos métricas de la sección 4.6 pueden llevar a veredictos distintos en H1a (ii) y en H1b, de modo que esos veredictos se informan con cada una.</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La condición (ii) de H1a se evalúa con un análisis de la suficiencia del superávit: se desplaza en la misma magnitud el resultado primario de todos los años y se informan la probabilidad cuando el de 2031 alcanza el máximo anual de 1996-2025 y el desplazamiento que lleva la de 2031 al 1% que estima el FMI para Argentina, cifra que es una estimación para el país y no un umbral de riesgo.</w:t>
      </w:r>
    </w:p>
    <w:bookmarkEnd w:id="70"/>
    <w:bookmarkEnd w:id="71"/>
    <w:bookmarkStart w:id="88" w:name="datos"/>
    <w:p>
      <w:pPr>
        <w:pStyle w:val="Heading1"/>
      </w:pPr>
      <w:r>
        <w:t xml:space="preserve">5. Datos</w:t>
      </w:r>
    </w:p>
    <w:p>
      <w:pPr>
        <w:pStyle w:val="FirstParagraph"/>
      </w:pPr>
      <w:r>
        <w:t xml:space="preserve">Las series son trimestrales y cubren 1996-2025. Las ecuaciones se estiman con los trimestres 1998T2-2025T4 (111 observaciones; sección 4.5), porque la deuda federal bruta trimestral del MECON empieza en 1998T1 y entra rezagada; los trimestres anteriores sirven como condiciones iniciales de los demás rezagos. Las fuentes, secundarias, son el Ministerio de Economía de la Nación (MECON), el BCRA, el Instituto Nacional de Estadística y Censos (INDEC), la Reserva Federal, J.P. Morgan y el Banco de Pagos Internacionales. Dos series no tienen dato publicado en toda la ventana, el EMBI antes de diciembre de 1998 y el TCRM en 1996, y se completan con empalmes validados (sección 5.4). Los estadísticos descriptivos están en el Apéndice, sección A.1.</w:t>
      </w:r>
    </w:p>
    <w:bookmarkStart w:id="72" w:name="series-y-fuentes"/>
    <w:p>
      <w:pPr>
        <w:pStyle w:val="Heading2"/>
      </w:pPr>
      <w:r>
        <w:t xml:space="preserve">5.1 Series y fuentes</w:t>
      </w:r>
    </w:p>
    <w:p>
      <w:pPr>
        <w:pStyle w:val="FirstParagraph"/>
      </w:pPr>
      <w:r>
        <w:rPr>
          <w:bCs/>
          <w:b/>
        </w:rPr>
        <w:t xml:space="preserve">Tabla 5.1. Series del modelo: rol, fuente y construcción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 en el modelo</w:t>
            </w:r>
          </w:p>
        </w:tc>
        <w:tc>
          <w:tcPr/>
          <w:p>
            <w:pPr>
              <w:pStyle w:val="Compact"/>
              <w:jc w:val="left"/>
            </w:pPr>
            <w:r>
              <w:rPr>
                <w:rFonts w:ascii="Calibri" w:hAnsi="Calibri"/>
                <w:sz w:val="20"/>
              </w:rPr>
              <w:t xml:space="preserve">Fuente</w:t>
            </w:r>
          </w:p>
        </w:tc>
        <w:tc>
          <w:tcPr/>
          <w:p>
            <w:pPr>
              <w:pStyle w:val="Compact"/>
              <w:jc w:val="left"/>
            </w:pPr>
            <w:r>
              <w:rPr>
                <w:rFonts w:ascii="Calibri" w:hAnsi="Calibri"/>
                <w:sz w:val="20"/>
              </w:rPr>
              <w:t xml:space="preserve">Construcción</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Especificación principal</w:t>
            </w:r>
          </w:p>
        </w:tc>
        <w:tc>
          <w:tcPr/>
          <w:p>
            <w:pPr>
              <w:pStyle w:val="Compact"/>
              <w:jc w:val="left"/>
            </w:pPr>
            <w:r>
              <w:rPr>
                <w:rFonts w:ascii="Calibri" w:hAnsi="Calibri"/>
                <w:sz w:val="20"/>
              </w:rPr>
              <w:t xml:space="preserve">MECON, Informe de Deuda Pública (Administración Central)</w:t>
            </w:r>
          </w:p>
        </w:tc>
        <w:tc>
          <w:tcPr/>
          <w:p>
            <w:pPr>
              <w:pStyle w:val="Compact"/>
              <w:jc w:val="left"/>
            </w:pPr>
            <w:r>
              <w:rPr>
                <w:rFonts w:ascii="Calibri" w:hAnsi="Calibri"/>
                <w:sz w:val="20"/>
              </w:rPr>
              <w:t xml:space="preserve">Sección 5.2</w:t>
            </w:r>
          </w:p>
        </w:tc>
      </w:tr>
      <w:tr>
        <w:tc>
          <w:tcPr/>
          <w:p>
            <w:pPr>
              <w:pStyle w:val="Compact"/>
              <w:jc w:val="left"/>
            </w:pPr>
            <w:r>
              <w:rPr>
                <w:rFonts w:ascii="Calibri" w:hAnsi="Calibri"/>
                <w:sz w:val="20"/>
              </w:rPr>
              <w:t xml:space="preserve">Deuda consolidada con el BCRA (% del PIB)</w:t>
            </w:r>
          </w:p>
        </w:tc>
        <w:tc>
          <w:tcPr/>
          <w:p>
            <w:pPr>
              <w:pStyle w:val="Compact"/>
              <w:jc w:val="left"/>
            </w:pPr>
            <w:r>
              <w:rPr>
                <w:rFonts w:ascii="Calibri" w:hAnsi="Calibri"/>
                <w:sz w:val="20"/>
              </w:rPr>
              <w:t xml:space="preserve">Extensión, estimada desde 2002</w:t>
            </w:r>
          </w:p>
        </w:tc>
        <w:tc>
          <w:tcPr/>
          <w:p>
            <w:pPr>
              <w:pStyle w:val="Compact"/>
              <w:jc w:val="left"/>
            </w:pPr>
            <w:r>
              <w:rPr>
                <w:rFonts w:ascii="Calibri" w:hAnsi="Calibri"/>
                <w:sz w:val="20"/>
              </w:rPr>
              <w:t xml:space="preserve">MECON (deuda de la Administración Central) y BCRA (balance y estadísticas monetarias)</w:t>
            </w:r>
          </w:p>
        </w:tc>
        <w:tc>
          <w:tcPr/>
          <w:p>
            <w:pPr>
              <w:pStyle w:val="Compact"/>
              <w:jc w:val="left"/>
            </w:pPr>
            <w:r>
              <w:rPr>
                <w:rFonts w:ascii="Calibri" w:hAnsi="Calibri"/>
                <w:sz w:val="20"/>
              </w:rPr>
              <w:t xml:space="preserve">Sección 5.2; no descuenta las tenencias del FGS (sección 5.6)</w:t>
            </w:r>
          </w:p>
        </w:tc>
      </w:tr>
      <w:tr>
        <w:tc>
          <w:tcPr/>
          <w:p>
            <w:pPr>
              <w:pStyle w:val="Compact"/>
              <w:jc w:val="left"/>
            </w:pPr>
            <w:r>
              <w:rPr>
                <w:rFonts w:ascii="Calibri" w:hAnsi="Calibri"/>
                <w:sz w:val="20"/>
              </w:rPr>
              <w:t xml:space="preserve">Resultado primario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MECON, esquema ahorro-inversión-financiamiento del Sector Público Nacional, base caja</w:t>
            </w:r>
          </w:p>
        </w:tc>
        <w:tc>
          <w:tcPr/>
          <w:p>
            <w:pPr>
              <w:pStyle w:val="Compact"/>
              <w:jc w:val="left"/>
            </w:pPr>
            <w:r>
              <w:rPr>
                <w:rFonts w:ascii="Calibri" w:hAnsi="Calibri"/>
                <w:sz w:val="20"/>
              </w:rPr>
              <w:t xml:space="preserve">Suma mensual por trimestre, anualizada; sin rentas de la propiedad (sección 5.3)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INDEC, PIB a precios constantes</w:t>
            </w:r>
          </w:p>
        </w:tc>
        <w:tc>
          <w:tcPr/>
          <w:p>
            <w:pPr>
              <w:pStyle w:val="Compact"/>
              <w:jc w:val="left"/>
            </w:pPr>
            <w:r>
              <w:rPr>
                <w:rFonts w:ascii="Calibri" w:hAnsi="Calibri"/>
                <w:sz w:val="20"/>
              </w:rPr>
              <w:t xml:space="preserve">Variación logarítmica trimestral; 1996-2003 en base 1993 empalmada a base 2004</w:t>
            </w:r>
          </w:p>
        </w:tc>
      </w:tr>
      <w:tr>
        <w:tc>
          <w:tcPr/>
          <w:p>
            <w:pPr>
              <w:pStyle w:val="Compact"/>
              <w:jc w:val="left"/>
            </w:pPr>
            <w:r>
              <w:rPr>
                <w:rFonts w:ascii="Calibri" w:hAnsi="Calibri"/>
                <w:sz w:val="20"/>
              </w:rPr>
              <w:t xml:space="preserve">Riesgo país: diferencial del índice EMBI de J.P. Morgan para Argentina (EMBI), en puntos básicos</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J.P. Morgan, serie diaria publicada por Ámbito Financiero desde el 11 de diciembre de 1998</w:t>
            </w:r>
          </w:p>
        </w:tc>
        <w:tc>
          <w:tcPr/>
          <w:p>
            <w:pPr>
              <w:pStyle w:val="Compact"/>
              <w:jc w:val="left"/>
            </w:pPr>
            <w:r>
              <w:rPr>
                <w:rFonts w:ascii="Calibri" w:hAnsi="Calibri"/>
                <w:sz w:val="20"/>
              </w:rPr>
              <w:t xml:space="preserve">Promedio trimestral; 1996T1-1998T3 empalmado con la tasa de préstamos interfinancieros en dólares del BCRA menos la tasa de fondos federales (sección 5.4)</w:t>
            </w:r>
          </w:p>
        </w:tc>
      </w:tr>
      <w:tr>
        <w:tc>
          <w:tcPr/>
          <w:p>
            <w:pPr>
              <w:pStyle w:val="Compact"/>
              <w:jc w:val="left"/>
            </w:pPr>
            <w:r>
              <w:rPr>
                <w:rFonts w:ascii="Calibri" w:hAnsi="Calibri"/>
                <w:sz w:val="20"/>
              </w:rPr>
              <w:t xml:space="preserve">Tipo de cambio real multilateral (TCRM)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BCRA, desde enero de 1997</w:t>
            </w:r>
          </w:p>
        </w:tc>
        <w:tc>
          <w:tcPr/>
          <w:p>
            <w:pPr>
              <w:pStyle w:val="Compact"/>
              <w:jc w:val="left"/>
            </w:pPr>
            <w:r>
              <w:rPr>
                <w:rFonts w:ascii="Calibri" w:hAnsi="Calibri"/>
                <w:sz w:val="20"/>
              </w:rPr>
              <w:t xml:space="preserve">Promedio trimestral del índice; 1996 encadenado con el tipo de cambio real efectivo amplio del BIS (sección 5.4)</w:t>
            </w:r>
          </w:p>
        </w:tc>
      </w:tr>
      <w:tr>
        <w:tc>
          <w:tcPr/>
          <w:p>
            <w:pPr>
              <w:pStyle w:val="Compact"/>
              <w:jc w:val="left"/>
            </w:pPr>
            <w:r>
              <w:rPr>
                <w:rFonts w:ascii="Calibri" w:hAnsi="Calibri"/>
                <w:sz w:val="20"/>
              </w:rPr>
              <w:t xml:space="preserve">Tasa de política monetaria de la Reserva Federal (FED)</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jc w:val="left"/>
            </w:pPr>
            <w:r>
              <w:rPr>
                <w:rFonts w:ascii="Calibri" w:hAnsi="Calibri"/>
                <w:sz w:val="20"/>
              </w:rPr>
              <w:t xml:space="preserve">Promedio trimestral; tasa sombra en el límite cero; cambios de serie en 2009T1, 2016T1, 2020T2 y 2022T1 (sección 5.4)</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Índice VIX de la</w:t>
            </w:r>
            <w:r>
              <w:rPr>
                <w:rFonts w:ascii="Calibri" w:hAnsi="Calibri"/>
                <w:sz w:val="20"/>
              </w:rPr>
              <w:t xml:space="preserve"> </w:t>
            </w:r>
            <w:r>
              <w:rPr>
                <w:iCs/>
                <w:rFonts w:ascii="Calibri" w:hAnsi="Calibri"/>
                <w:i/>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jc w:val="lef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72"/>
    <w:bookmarkStart w:id="76"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Cs/>
          <w:i/>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 Se construye para 1996-2025, pero la extensión se estima desde 2002: hasta 2001 el BCRA operó con la autonomía formal de la Carta Orgánica de 1992 y bajo la Convertibilidad, con límites estrictos a la asistencia al Tesoro, y el criterio del FMI para consolidar al banco central con el gobierno es precisamente que lo financie o realice actividades cuasifiscales (sección 2.9). Antes de 2002 la consolidación no tiene fundamento en ese criterio. Por eso la extensión usa una muestra más corta que la especificación principal (sección 7.6). Aunque la serie se llama deuda consolidada con el BCRA, solo consolida al Tesoro con el BCRA y no descuenta la deuda del Tesoro en poder del FGS, de modo que no equivale a la deuda consolidada del FMI (sección 5.6):</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 title="" id="74" name="Picture"/>
            <a:graphic>
              <a:graphicData uri="http://schemas.openxmlformats.org/drawingml/2006/picture">
                <pic:pic>
                  <pic:nvPicPr>
                    <pic:cNvPr descr="../tesis/figuras/fig5_1_deuda_1996_2025.png" id="75" name="Picture"/>
                    <pic:cNvPicPr>
                      <a:picLocks noChangeArrowheads="1" noChangeAspect="1"/>
                    </pic:cNvPicPr>
                  </pic:nvPicPr>
                  <pic:blipFill>
                    <a:blip r:embed="rId7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w:t>
      </w:r>
    </w:p>
    <w:bookmarkEnd w:id="76"/>
    <w:bookmarkStart w:id="77"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la tesis usa una sola definición en las dos especificaciones: el resultado primario del Sector Público Nacional sin rentas de la propiedad. El FMI excluye de su resultado primario las transferencias de utilidades del BCRA al Tesoro (FMI, 2026, cuadro 1, nota 4), y la fuente pública no separa esas transferencias del resto de las rentas de la propiedad. La serie sin rentas es la que las excluye, a costa de dejar afuera también otras rentas menores. En el perímetro consolidado esas utilidades son, además, un flujo interno entre el BCRA y el Tesoro. La serie con rentas de la propiedad se informa como robustez (Apéndice, sección A.10). El máximo anual de 1996-2025 es 3,29% del PIB, en 2004; con rentas de la propiedad, 3,58%, en el mismo año.</w:t>
      </w:r>
    </w:p>
    <w:p>
      <w:pPr>
        <w:pStyle w:val="BodyText"/>
      </w:pPr>
      <w:r>
        <w:t xml:space="preserve">El PIB real es la serie del INDEC en base 2004, empalmada con la de base 1993 para 1996-2003; el empalme afecta el nivel y no las tasas de crecimiento que entran al modelo. Se usa la serie original porque la desestacionalizada empieza en 2004, y la estacionalidad la absorben las variables binarias.</w:t>
      </w:r>
    </w:p>
    <w:bookmarkEnd w:id="77"/>
    <w:bookmarkStart w:id="84" w:name="variables-financieras-y-externas"/>
    <w:p>
      <w:pPr>
        <w:pStyle w:val="Heading2"/>
      </w:pPr>
      <w:r>
        <w:t xml:space="preserve">5.4 Variables financieras y externas</w:t>
      </w:r>
    </w:p>
    <w:p>
      <w:pPr>
        <w:pStyle w:val="FirstParagraph"/>
      </w:pPr>
      <w:r>
        <w:t xml:space="preserve">El EMBI mide la diferencia de rendimiento (</w:t>
      </w:r>
      <w:r>
        <w:rPr>
          <w:iCs/>
          <w:i/>
        </w:rPr>
        <w:t xml:space="preserve">spread</w:t>
      </w:r>
      <w:r>
        <w:t xml:space="preserve">) entre los bonos soberanos argentinos en dólares y los bonos del Tesoro de Estados Unidos, en puntos básicos. Es el promedio trimestral de la serie diaria de J.P. Morgan que publica Ámbito Financiero desde el 11 de diciembre de 1998. El TCRM es el índice del BCRA, publicado desde enero de 1997, promediado por trimestre. El VIX es la volatilidad implícita del índice S&amp;P 500.</w:t>
      </w:r>
    </w:p>
    <w:p>
      <w:pPr>
        <w:pStyle w:val="BodyText"/>
      </w:pPr>
      <w:r>
        <w:t xml:space="preserve">El EMBI de 1996T1-1998T3 y el TCRM de 1996 se completan con dos empalmes, cuya validación está en el Apéndice, sección A.2 (Figura A.1).</w:t>
      </w:r>
    </w:p>
    <w:p>
      <w:pPr>
        <w:pStyle w:val="BodyText"/>
      </w:pPr>
      <w:r>
        <w:rPr>
          <w:bCs/>
          <w:b/>
        </w:rPr>
        <w:t xml:space="preserve">EMBI de 1996T1-1998T3.</w:t>
      </w:r>
      <w:r>
        <w:t xml:space="preserve"> </w:t>
      </w:r>
      <w:r>
        <w:t xml:space="preserve">Para los trimestres anteriores a la serie diaria se usa el diferencial entre la tasa de préstamos interfinancieros en dólares del BCRA, serie oficial mensual desde octubre de 1994, y la tasa de fondos federales. Durante la convertibilidad, lo que costaba el dólar en el sistema financiero argentino por encima de la tasa de Estados Unidos reflejaba el riesgo argentino. La relación se estima en la superposición de las dos series, 1998T4-2001T3 (12 trimestres), que termina antes del corralito de diciembre de 2001 porque este interrumpió el mercado interbancario en dólares: EMBI = 550,3 + 1,171 × diferencial, con un R² de 0,89 y una correlación de 0,944. En la validación cruzada que deja un trimestre afuera, el error típico es de 102 puntos básicos, frente a un desvío del EMBI de 240. Estimada solo con 1998T4-2000T4, la relación pronostica para los tres primeros trimestres de 2001 valores de 744, 801 y 1.033 puntos básicos, contra 750, 973 y 1.469 observados: acierta el nivel y subestima el salto de la crisis. Si el empalme tiene un sesgo, atenúa la volatilidad de 1996-1998 y vuelve conservadoras las probabilidades.</w:t>
      </w:r>
    </w:p>
    <w:p>
      <w:pPr>
        <w:pStyle w:val="BodyText"/>
      </w:pPr>
      <w:r>
        <w:rPr>
          <w:bCs/>
          <w:b/>
        </w:rPr>
        <w:t xml:space="preserve">TCRM de 1996.</w:t>
      </w:r>
      <w:r>
        <w:t xml:space="preserve"> </w:t>
      </w:r>
      <w:r>
        <w:t xml:space="preserve">El índice del BCRA se encadena hacia atrás con las variaciones del tipo de cambio real efectivo amplio de Argentina que publica el Banco de Pagos Internacionales (Bank for International Settlements [BIS], s. f.), invertido porque ese índice sube cuando el peso se aprecia. Las variaciones trimestrales de los dos índices tienen una correlación de 0,92 entre 1997 y 2025 y de 0,98 en 1997-2001. Con dos rezagos, los valores de 1996 no entran en la estimación, que empieza en 1998T2; los usa la variante a la manera del FMI, cuyos impulsores anuales empiezan en 1997.</w:t>
      </w:r>
    </w:p>
    <w:p>
      <w:pPr>
        <w:pStyle w:val="BodyText"/>
      </w:pPr>
      <w:r>
        <w:rPr>
          <w:bCs/>
          <w:b/>
        </w:rPr>
        <w:t xml:space="preserve">Los resultados no dependen de los empalmes.</w:t>
      </w:r>
      <w:r>
        <w:t xml:space="preserve"> </w:t>
      </w:r>
      <w:r>
        <w:t xml:space="preserve">Con datos desde 1999, que solo usan el EMBI observado, la probabilidad de no estabilización de la deuda federal bruta en 2031, con la métrica anual, es de 29,5% [22,5; 36,7], contra 27,7% [20,6; 34,7] con la ventana completa, y las conclusiones sobre la condición (i) de H1a y sobre el efecto de la FED en la probabilidad no cambian (Apéndice, sección A.10).</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La serie cambia de tramo cuatro veces: entra al límite cero en 2009T1 y 2020T2 y sale de él en 2016T1 y 2022T1. En cada una de esas transiciones la variación se calcula con la tasa efectiva en ambos trimestres, para no confundir el cambio de serie con un cambio de política; sin esa corrección, la variación de 2009T1 saldría de la diferencia entre una tasa sombra y una efectiva. Dentro de cada tramo se usa la propia serie. Su desvío estándar en la muestra, 0,501 puntos, es el tamaño del primer escenario de la FED (sección 4.6). Las Figuras 5.2 y 5.3 muestran las variables endógenas y las exógenas.</w:t>
      </w:r>
    </w:p>
    <w:p>
      <w:pPr>
        <w:pStyle w:val="CaptionedFigure"/>
      </w:pPr>
      <w:r>
        <w:drawing>
          <wp:inline>
            <wp:extent cx="5334000" cy="4114800"/>
            <wp:effectExtent b="0" l="0" r="0" t="0"/>
            <wp:docPr descr="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 title="" id="79" name="Picture"/>
            <a:graphic>
              <a:graphicData uri="http://schemas.openxmlformats.org/drawingml/2006/picture">
                <pic:pic>
                  <pic:nvPicPr>
                    <pic:cNvPr descr="../tesis/figuras/fig5_2_variables_endogenas.png" id="80" name="Picture"/>
                    <pic:cNvPicPr>
                      <a:picLocks noChangeArrowheads="1" noChangeAspect="1"/>
                    </pic:cNvPicPr>
                  </pic:nvPicPr>
                  <pic:blipFill>
                    <a:blip r:embed="rId78"/>
                    <a:stretch>
                      <a:fillRect/>
                    </a:stretch>
                  </pic:blipFill>
                  <pic:spPr bwMode="auto">
                    <a:xfrm>
                      <a:off x="0" y="0"/>
                      <a:ext cx="5334000" cy="4114800"/>
                    </a:xfrm>
                    <a:prstGeom prst="rect">
                      <a:avLst/>
                    </a:prstGeom>
                    <a:noFill/>
                    <a:ln w="9525">
                      <a:noFill/>
                      <a:headEnd/>
                      <a:tailEnd/>
                    </a:ln>
                  </pic:spPr>
                </pic:pic>
              </a:graphicData>
            </a:graphic>
          </wp:inline>
        </w:drawing>
      </w:r>
    </w:p>
    <w:p>
      <w:pPr>
        <w:pStyle w:val="ImageCaption"/>
      </w:pPr>
      <w:r>
        <w:t xml:space="preserve">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82" name="Picture"/>
            <a:graphic>
              <a:graphicData uri="http://schemas.openxmlformats.org/drawingml/2006/picture">
                <pic:pic>
                  <pic:nvPicPr>
                    <pic:cNvPr descr="../tesis/figuras/fig5_3_fed_y_vix.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84"/>
    <w:bookmarkStart w:id="86" w:name="contraste-con-el-fmi"/>
    <w:p>
      <w:pPr>
        <w:pStyle w:val="Heading2"/>
      </w:pPr>
      <w:r>
        <w:t xml:space="preserve">5.5 Contraste con el FMI</w:t>
      </w:r>
    </w:p>
    <w:p>
      <w:pPr>
        <w:pStyle w:val="FirstParagraph"/>
      </w:pPr>
      <w:r>
        <w:rPr>
          <w:bCs/>
          <w:b/>
        </w:rPr>
        <w:t xml:space="preserve">Tabla 5.2. Deuda pública: esta tesis y FMI (% del PIB,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Concepto</w:t>
            </w:r>
          </w:p>
        </w:tc>
        <w:tc>
          <w:tcPr/>
          <w:p>
            <w:pPr>
              <w:pStyle w:val="Compact"/>
              <w:jc w:val="left"/>
            </w:pPr>
            <w:r>
              <w:rPr>
                <w:rFonts w:ascii="Calibri" w:hAnsi="Calibri"/>
                <w:sz w:val="20"/>
              </w:rPr>
              <w:t xml:space="preserve">2023, tesis</w:t>
            </w:r>
          </w:p>
        </w:tc>
        <w:tc>
          <w:tcPr/>
          <w:p>
            <w:pPr>
              <w:pStyle w:val="Compact"/>
              <w:jc w:val="left"/>
            </w:pPr>
            <w:r>
              <w:rPr>
                <w:rFonts w:ascii="Calibri" w:hAnsi="Calibri"/>
                <w:sz w:val="20"/>
              </w:rPr>
              <w:t xml:space="preserve">2023, FMI</w:t>
            </w:r>
          </w:p>
        </w:tc>
        <w:tc>
          <w:tcPr/>
          <w:p>
            <w:pPr>
              <w:pStyle w:val="Compact"/>
              <w:jc w:val="left"/>
            </w:pPr>
            <w:r>
              <w:rPr>
                <w:rFonts w:ascii="Calibri" w:hAnsi="Calibri"/>
                <w:sz w:val="20"/>
              </w:rPr>
              <w:t xml:space="preserve">2024, tesis</w:t>
            </w:r>
          </w:p>
        </w:tc>
        <w:tc>
          <w:tcPr/>
          <w:p>
            <w:pPr>
              <w:pStyle w:val="Compact"/>
              <w:jc w:val="left"/>
            </w:pPr>
            <w:r>
              <w:rPr>
                <w:rFonts w:ascii="Calibri" w:hAnsi="Calibri"/>
                <w:sz w:val="20"/>
              </w:rPr>
              <w:t xml:space="preserve">2024, FMI</w:t>
            </w:r>
          </w:p>
        </w:tc>
        <w:tc>
          <w:tcPr/>
          <w:p>
            <w:pPr>
              <w:pStyle w:val="Compact"/>
              <w:jc w:val="left"/>
            </w:pPr>
            <w:r>
              <w:rPr>
                <w:rFonts w:ascii="Calibri" w:hAnsi="Calibri"/>
                <w:sz w:val="20"/>
              </w:rPr>
              <w:t xml:space="preserve">2025, tesis</w:t>
            </w:r>
          </w:p>
        </w:tc>
        <w:tc>
          <w:tcPr/>
          <w:p>
            <w:pPr>
              <w:pStyle w:val="Compact"/>
              <w:jc w:val="left"/>
            </w:pPr>
            <w:r>
              <w:rPr>
                <w:rFonts w:ascii="Calibri" w:hAnsi="Calibri"/>
                <w:sz w:val="20"/>
              </w:rPr>
              <w:t xml:space="preserve">2025, FMI</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153,5</w:t>
            </w:r>
          </w:p>
        </w:tc>
        <w:tc>
          <w:tcPr/>
          <w:p>
            <w:pPr>
              <w:pStyle w:val="Compact"/>
              <w:jc w:val="left"/>
            </w:pPr>
            <w:r>
              <w:rPr>
                <w:rFonts w:ascii="Calibri" w:hAnsi="Calibri"/>
                <w:sz w:val="20"/>
              </w:rPr>
              <w:t xml:space="preserve">154,6</w:t>
            </w:r>
          </w:p>
        </w:tc>
        <w:tc>
          <w:tcPr/>
          <w:p>
            <w:pPr>
              <w:pStyle w:val="Compact"/>
              <w:jc w:val="left"/>
            </w:pPr>
            <w:r>
              <w:rPr>
                <w:rFonts w:ascii="Calibri" w:hAnsi="Calibri"/>
                <w:sz w:val="20"/>
              </w:rPr>
              <w:t xml:space="preserve">82,1</w:t>
            </w:r>
          </w:p>
        </w:tc>
        <w:tc>
          <w:tcPr/>
          <w:p>
            <w:pPr>
              <w:pStyle w:val="Compact"/>
              <w:jc w:val="left"/>
            </w:pPr>
            <w:r>
              <w:rPr>
                <w:rFonts w:ascii="Calibri" w:hAnsi="Calibri"/>
                <w:sz w:val="20"/>
              </w:rPr>
              <w:t xml:space="preserve">84,7</w:t>
            </w:r>
          </w:p>
        </w:tc>
        <w:tc>
          <w:tcPr/>
          <w:p>
            <w:pPr>
              <w:pStyle w:val="Compact"/>
              <w:jc w:val="left"/>
            </w:pPr>
            <w:r>
              <w:rPr>
                <w:rFonts w:ascii="Calibri" w:hAnsi="Calibri"/>
                <w:sz w:val="20"/>
              </w:rPr>
              <w:t xml:space="preserve">77,7</w:t>
            </w:r>
          </w:p>
        </w:tc>
        <w:tc>
          <w:tcPr/>
          <w:p>
            <w:pPr>
              <w:pStyle w:val="Compact"/>
              <w:jc w:val="left"/>
            </w:pPr>
            <w:r>
              <w:rPr>
                <w:rFonts w:ascii="Calibri" w:hAnsi="Calibri"/>
                <w:sz w:val="20"/>
              </w:rPr>
              <w:t xml:space="preserve">80,3</w:t>
            </w:r>
          </w:p>
        </w:tc>
      </w:tr>
      <w:tr>
        <w:tc>
          <w:tcPr/>
          <w:p>
            <w:pPr>
              <w:pStyle w:val="Compact"/>
              <w:jc w:val="left"/>
            </w:pPr>
            <w:r>
              <w:rPr>
                <w:rFonts w:ascii="Calibri" w:hAnsi="Calibri"/>
                <w:sz w:val="20"/>
              </w:rPr>
              <w:t xml:space="preserve">Deuda del Tesoro en poder del sector público</w:t>
            </w:r>
          </w:p>
        </w:tc>
        <w:tc>
          <w:tcPr/>
          <w:p>
            <w:pPr>
              <w:pStyle w:val="Compact"/>
              <w:jc w:val="left"/>
            </w:pPr>
            <w:r>
              <w:rPr>
                <w:rFonts w:ascii="Calibri" w:hAnsi="Calibri"/>
                <w:sz w:val="20"/>
              </w:rPr>
              <w:t xml:space="preserve">39,4 (solo BCRA)</w:t>
            </w:r>
          </w:p>
        </w:tc>
        <w:tc>
          <w:tcPr/>
          <w:p>
            <w:pPr>
              <w:pStyle w:val="Compact"/>
              <w:jc w:val="left"/>
            </w:pPr>
            <w:r>
              <w:rPr>
                <w:rFonts w:ascii="Calibri" w:hAnsi="Calibri"/>
                <w:sz w:val="20"/>
              </w:rPr>
              <w:t xml:space="preserve">62,1 (BCRA y FGS)</w:t>
            </w:r>
          </w:p>
        </w:tc>
        <w:tc>
          <w:tcPr/>
          <w:p>
            <w:pPr>
              <w:pStyle w:val="Compact"/>
              <w:jc w:val="left"/>
            </w:pPr>
            <w:r>
              <w:rPr>
                <w:rFonts w:ascii="Calibri" w:hAnsi="Calibri"/>
                <w:sz w:val="20"/>
              </w:rPr>
              <w:t xml:space="preserve">20,4 (solo BCRA)</w:t>
            </w:r>
          </w:p>
        </w:tc>
        <w:tc>
          <w:tcPr/>
          <w:p>
            <w:pPr>
              <w:pStyle w:val="Compact"/>
              <w:jc w:val="left"/>
            </w:pPr>
            <w:r>
              <w:rPr>
                <w:rFonts w:ascii="Calibri" w:hAnsi="Calibri"/>
                <w:sz w:val="20"/>
              </w:rPr>
              <w:t xml:space="preserve">33,7 (BCRA y FGS)</w:t>
            </w:r>
          </w:p>
        </w:tc>
        <w:tc>
          <w:tcPr/>
          <w:p>
            <w:pPr>
              <w:pStyle w:val="Compact"/>
              <w:jc w:val="left"/>
            </w:pPr>
            <w:r>
              <w:rPr>
                <w:rFonts w:ascii="Calibri" w:hAnsi="Calibri"/>
                <w:sz w:val="20"/>
              </w:rPr>
              <w:t xml:space="preserve">17,2 (solo BCRA)</w:t>
            </w:r>
          </w:p>
        </w:tc>
        <w:tc>
          <w:tcPr/>
          <w:p>
            <w:pPr>
              <w:pStyle w:val="Compact"/>
              <w:jc w:val="left"/>
            </w:pPr>
            <w:r>
              <w:rPr>
                <w:rFonts w:ascii="Calibri" w:hAnsi="Calibri"/>
                <w:sz w:val="20"/>
              </w:rPr>
              <w:t xml:space="preserve">31,4 (BCRA y FGS)</w:t>
            </w:r>
          </w:p>
        </w:tc>
      </w:tr>
      <w:tr>
        <w:tc>
          <w:tcPr/>
          <w:p>
            <w:pPr>
              <w:pStyle w:val="Compact"/>
              <w:jc w:val="left"/>
            </w:pPr>
            <w:r>
              <w:rPr>
                <w:rFonts w:ascii="Calibri" w:hAnsi="Calibri"/>
                <w:sz w:val="20"/>
              </w:rPr>
              <w:t xml:space="preserve">Pasivos del BCRA</w:t>
            </w:r>
          </w:p>
        </w:tc>
        <w:tc>
          <w:tcPr/>
          <w:p>
            <w:pPr>
              <w:pStyle w:val="Compact"/>
              <w:jc w:val="left"/>
            </w:pPr>
            <w:r>
              <w:rPr>
                <w:rFonts w:ascii="Calibri" w:hAnsi="Calibri"/>
                <w:sz w:val="20"/>
              </w:rPr>
              <w:t xml:space="preserve">14,6</w:t>
            </w:r>
          </w:p>
        </w:tc>
        <w:tc>
          <w:tcPr/>
          <w:p>
            <w:pPr>
              <w:pStyle w:val="Compact"/>
              <w:jc w:val="left"/>
            </w:pPr>
            <w:r>
              <w:rPr>
                <w:rFonts w:ascii="Calibri" w:hAnsi="Calibri"/>
                <w:sz w:val="20"/>
              </w:rPr>
              <w:t xml:space="preserve">19,2</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2,6</w:t>
            </w:r>
          </w:p>
        </w:tc>
        <w:tc>
          <w:tcPr/>
          <w:p>
            <w:pPr>
              <w:pStyle w:val="Compact"/>
              <w:jc w:val="left"/>
            </w:pPr>
            <w:r>
              <w:rPr>
                <w:rFonts w:ascii="Calibri" w:hAnsi="Calibri"/>
                <w:sz w:val="20"/>
              </w:rPr>
              <w:t xml:space="preserve">1,3</w:t>
            </w:r>
          </w:p>
        </w:tc>
        <w:tc>
          <w:tcPr/>
          <w:p>
            <w:pPr>
              <w:pStyle w:val="Compact"/>
              <w:jc w:val="left"/>
            </w:pPr>
            <w:r>
              <w:rPr>
                <w:rFonts w:ascii="Calibri" w:hAnsi="Calibri"/>
                <w:sz w:val="20"/>
              </w:rPr>
              <w:t xml:space="preserve">3,3</w:t>
            </w:r>
          </w:p>
        </w:tc>
      </w:tr>
      <w:tr>
        <w:tc>
          <w:tcPr/>
          <w:p>
            <w:pPr>
              <w:pStyle w:val="Compact"/>
              <w:jc w:val="left"/>
            </w:pPr>
            <w:r>
              <w:rPr>
                <w:rFonts w:ascii="Calibri" w:hAnsi="Calibri"/>
                <w:sz w:val="20"/>
              </w:rPr>
              <w:t xml:space="preserve">Depósitos del Tesoro en el BCRA</w:t>
            </w:r>
          </w:p>
        </w:tc>
        <w:tc>
          <w:tcPr/>
          <w:p>
            <w:pPr>
              <w:pStyle w:val="Compact"/>
              <w:jc w:val="left"/>
            </w:pPr>
            <w:r>
              <w:rPr>
                <w:rFonts w:ascii="Calibri" w:hAnsi="Calibri"/>
                <w:sz w:val="20"/>
              </w:rPr>
              <w:t xml:space="preserve">0,5</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0,8</w:t>
            </w:r>
          </w:p>
        </w:tc>
        <w:tc>
          <w:tcPr/>
          <w:p>
            <w:pPr>
              <w:pStyle w:val="Compact"/>
              <w:jc w:val="left"/>
            </w:pPr>
            <w:r>
              <w:rPr>
                <w:rFonts w:ascii="Calibri" w:hAnsi="Calibri"/>
                <w:sz w:val="20"/>
              </w:rPr>
              <w:t xml:space="preserve">no se restan</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128,2</w:t>
            </w:r>
          </w:p>
        </w:tc>
        <w:tc>
          <w:tcPr/>
          <w:p>
            <w:pPr>
              <w:pStyle w:val="Compact"/>
              <w:jc w:val="left"/>
            </w:pPr>
            <w:r>
              <w:rPr>
                <w:rFonts w:ascii="Calibri" w:hAnsi="Calibri"/>
                <w:sz w:val="20"/>
              </w:rPr>
              <w:t xml:space="preserve">111,1</w:t>
            </w:r>
          </w:p>
        </w:tc>
        <w:tc>
          <w:tcPr/>
          <w:p>
            <w:pPr>
              <w:pStyle w:val="Compact"/>
              <w:jc w:val="left"/>
            </w:pPr>
            <w:r>
              <w:rPr>
                <w:rFonts w:ascii="Calibri" w:hAnsi="Calibri"/>
                <w:sz w:val="20"/>
              </w:rPr>
              <w:t xml:space="preserve">61,1</w:t>
            </w:r>
          </w:p>
        </w:tc>
        <w:tc>
          <w:tcPr/>
          <w:p>
            <w:pPr>
              <w:pStyle w:val="Compact"/>
              <w:jc w:val="left"/>
            </w:pPr>
            <w:r>
              <w:rPr>
                <w:rFonts w:ascii="Calibri" w:hAnsi="Calibri"/>
                <w:sz w:val="20"/>
              </w:rPr>
              <w:t xml:space="preserve">53,6</w:t>
            </w:r>
          </w:p>
        </w:tc>
        <w:tc>
          <w:tcPr/>
          <w:p>
            <w:pPr>
              <w:pStyle w:val="Compact"/>
              <w:jc w:val="left"/>
            </w:pPr>
            <w:r>
              <w:rPr>
                <w:rFonts w:ascii="Calibri" w:hAnsi="Calibri"/>
                <w:sz w:val="20"/>
              </w:rPr>
              <w:t xml:space="preserve">61,0</w:t>
            </w:r>
          </w:p>
        </w:tc>
        <w:tc>
          <w:tcPr/>
          <w:p>
            <w:pPr>
              <w:pStyle w:val="Compact"/>
              <w:jc w:val="left"/>
            </w:pPr>
            <w:r>
              <w:rPr>
                <w:rFonts w:ascii="Calibri" w:hAnsi="Calibri"/>
                <w:sz w:val="20"/>
              </w:rPr>
              <w:t xml:space="preserve">52,1</w:t>
            </w:r>
          </w:p>
        </w:tc>
      </w:tr>
    </w:tbl>
    <w:p>
      <w:pPr>
        <w:pStyle w:val="BodyText"/>
      </w:pPr>
      <w:r>
        <w:t xml:space="preserve">Fuente: elaboración propia con datos del MECON, el BCRA y el INDEC;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Cs/>
          <w:i/>
        </w:rPr>
        <w:t xml:space="preserve">swap</w:t>
      </w:r>
      <w:r>
        <w:rPr>
          <w:rStyle w:val="FootnoteReference"/>
        </w:rPr>
        <w:footnoteReference w:id="85"/>
      </w:r>
      <w:r>
        <w:t xml:space="preserve"> </w:t>
      </w:r>
      <w:r>
        <w:t xml:space="preserve">con el Banco Popular de China, que no tiene serie pública (0,9% del PIB en 2024 y en 2025 según el FMI).</w:t>
      </w:r>
    </w:p>
    <w:bookmarkEnd w:id="86"/>
    <w:bookmarkStart w:id="87"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p>
      <w:pPr>
        <w:pStyle w:val="BodyText"/>
      </w:pPr>
      <w:r>
        <w:t xml:space="preserve">La muestra de estimación empieza en 1998T2, de modo que incluye seis años de la Convertibilidad y su crisis, y para esos años varias series no son observaciones directas. La deuda federal bruta trimestral del MECON empieza en 1998T1; los seis trimestres que no son de diciembre en 1996-1997 se interpolan linealmente en dólares, y solo intervienen en la detección de quiebres, no en la estimación. El PIB real de 1996-2003 proviene de la base 1993 del INDEC, empalmada a la base 2004 con un coeficiente de enlace (k = 1,751): el nivel anterior a 2004 depende de ese año de enlace, pero las tasas de crecimiento, que son lo que entra al modelo, no. El EMBI de 1996T1-1998T3 y el TCRM de 1996 se reconstruyen con variables puente (sección 5.4), y la estimación con datos desde 1999, sin ellos, se informa en la Tabla 6.6. El resultado primario es mensual y no se interpola.</w:t>
      </w:r>
    </w:p>
    <w:bookmarkEnd w:id="87"/>
    <w:bookmarkEnd w:id="88"/>
    <w:bookmarkStart w:id="110" w:name="resultados"/>
    <w:p>
      <w:pPr>
        <w:pStyle w:val="Heading1"/>
      </w:pPr>
      <w:r>
        <w:t xml:space="preserve">6. Resultados</w:t>
      </w:r>
    </w:p>
    <w:p>
      <w:pPr>
        <w:pStyle w:val="FirstParagraph"/>
      </w:pPr>
      <w:r>
        <w:t xml:space="preserve">Todos los resultados de este capítulo provienen de la ventana 1996-2025, con la muestra de estimación descripta en la sección 4.5, y del escenario base del análisis de sostenibilidad más reciente del FMI (2026) para 2026-2035. La especificación principal mide la deuda federal bruta, que parte de 80,3% del PIB a fines de 2025, como en el FMI, y usa el resultado primario sin rentas de la propiedad (sección 4.2). Los intervalos son de 90% y salen del</w:t>
      </w:r>
      <w:r>
        <w:t xml:space="preserve"> </w:t>
      </w:r>
      <w:r>
        <w:rPr>
          <w:iCs/>
          <w:i/>
        </w:rPr>
        <w:t xml:space="preserve">bootstrap</w:t>
      </w:r>
      <w:r>
        <w:t xml:space="preserve"> </w:t>
      </w:r>
      <w:r>
        <w:t xml:space="preserve">descripto en la sección 4.5. Los</w:t>
      </w:r>
      <w:r>
        <w:t xml:space="preserve"> </w:t>
      </w:r>
      <w:r>
        <w:rPr>
          <w:iCs/>
          <w:i/>
        </w:rPr>
        <w:t xml:space="preserve">shocks</w:t>
      </w:r>
      <w:r>
        <w:t xml:space="preserve"> </w:t>
      </w:r>
      <w:r>
        <w:t xml:space="preserve">domésticos se identifican con restricciones de impacto en la línea de Blanchard y Perotti (2002) para el bloque fiscal y de actividad, con un bloque cambiario y de riesgo (EMBI y TCRM) identificado en conjunto (sección 4.4).</w:t>
      </w:r>
    </w:p>
    <w:bookmarkStart w:id="92" w:name="el-svarx-estimado"/>
    <w:p>
      <w:pPr>
        <w:pStyle w:val="Heading2"/>
      </w:pPr>
      <w:r>
        <w:t xml:space="preserve">6.1 El SVARX estimado</w:t>
      </w:r>
    </w:p>
    <w:p>
      <w:pPr>
        <w:pStyle w:val="FirstParagraph"/>
      </w:pPr>
      <w:r>
        <w:rPr>
          <w:bCs/>
          <w:b/>
        </w:rPr>
        <w:t xml:space="preserve">Propiedades de las series.</w:t>
      </w:r>
      <w:r>
        <w:t xml:space="preserve"> </w:t>
      </w:r>
      <w:r>
        <w:t xml:space="preserve">El resultado primario se comporta como una serie con raíz unitaria, el VIX como estacionaria, y en el resto ADF y KPSS no coinciden (Apéndice, sección A.3), lo esperable en series cortas con cambios de régimen (Perron, 1989). El procedimiento de Bai y Perron (2003) encuentra tres quiebres en la deuda federal bruta, en 2001T4, 2006T2 y 2018T1; el de 2001T4 coincide con el inicio del gobierno de Duhalde y lo reemplazan las binarias presidenciales (Apéndice, sección A.3), de modo que el modelo conserva los de 2006T2 y 2018T1. Zivot y Andrews (1992) ubican uno en 2005T1, sin rechazar la raíz unitaria.</w:t>
      </w:r>
    </w:p>
    <w:p>
      <w:pPr>
        <w:pStyle w:val="BodyText"/>
      </w:pPr>
      <w:r>
        <w:rPr>
          <w:bCs/>
          <w:b/>
        </w:rPr>
        <w:t xml:space="preserve">Rezagos y diagnósticos.</w:t>
      </w:r>
      <w:r>
        <w:t xml:space="preserve"> </w:t>
      </w:r>
      <w:r>
        <w:t xml:space="preserve">Con dos rezagos (sección 4.5), el sistema es estable: el autovalor máximo es 0,776, y su mediana entre las réplicas del</w:t>
      </w:r>
      <w:r>
        <w:t xml:space="preserve"> </w:t>
      </w:r>
      <w:r>
        <w:rPr>
          <w:iCs/>
          <w:i/>
        </w:rPr>
        <w:t xml:space="preserve">bootstrap</w:t>
      </w:r>
      <w:r>
        <w:t xml:space="preserve">, 0,773. El criterio de Schwarz elige un rezago, pero con ese orden el Portmanteau rechaza la ausencia de autocorrelación; ningún orden estable que lo pase existe en esta muestra, y se adopta el de mayor p-valor entre los estables que no están por debajo del de Schwarz (Portmanteau, p = 0,031; sección 4.5 y Apéndice, sección A.4). Esa autocorrelación residual leve es una limitación (sección 7.6). Los residuos no muestran heterocedasticidad condicional al 5% en tres de las cuatro ecuaciones (ARCH-LM; Engle, 1982); en la del TCRM sí (p &lt; 0,001). Rechazan la normalidad multivariada (Jarque y Bera, 1987; p &lt; 0,001), lo que justifica remuestrear</w:t>
      </w:r>
      <w:r>
        <w:t xml:space="preserve"> </w:t>
      </w:r>
      <w:r>
        <w:rPr>
          <w:iCs/>
          <w:i/>
        </w:rPr>
        <w:t xml:space="preserve">shocks</w:t>
      </w:r>
      <w:r>
        <w:t xml:space="preserve"> </w:t>
      </w:r>
      <w:r>
        <w:t xml:space="preserve">históricos (Apéndice, sección A.5).</w:t>
      </w:r>
    </w:p>
    <w:p>
      <w:pPr>
        <w:pStyle w:val="BodyText"/>
      </w:pPr>
      <w:r>
        <w:rPr>
          <w:bCs/>
          <w:b/>
        </w:rPr>
        <w:t xml:space="preserve">Binarias presidenciales.</w:t>
      </w:r>
      <w:r>
        <w:t xml:space="preserve"> </w:t>
      </w:r>
      <w:r>
        <w:t xml:space="preserve">Las binarias de mandato entran como exógenas (sección 4.3). Los contrastes de Wald las rechazan conjuntamente en las ecuaciones del resultado primario (p = 0,014), del EMBI (p &lt; 0,001) y del TCRM (p = 0,005), no en la del crecimiento (p = 0,127), y la razón de verosimilitud del sistema completo las rechaza (p &lt; 0,001; Apéndice, sección A.3). Pesan en los resultados: modifican varias cifras de las secciones 6.3 y 6.5, por lo que la variante sin ellas se informa en la Tabla 6.6.</w:t>
      </w:r>
    </w:p>
    <w:p>
      <w:pPr>
        <w:pStyle w:val="BodyText"/>
      </w:pPr>
      <w:r>
        <w:rPr>
          <w:bCs/>
          <w:b/>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A.8). Los dos son positivos, con intervalos que excluyen el cero, en los dos perímetros.</w:t>
      </w:r>
    </w:p>
    <w:p>
      <w:pPr>
        <w:pStyle w:val="BodyText"/>
      </w:pPr>
      <w:r>
        <w:rPr>
          <w:bCs/>
          <w:b/>
        </w:rPr>
        <w:t xml:space="preserve">Tabla 6.1. Reacción fiscal según el perímetro de la deuda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Perímetro</w:t>
            </w:r>
          </w:p>
        </w:tc>
        <w:tc>
          <w:tcPr/>
          <w:p>
            <w:pPr>
              <w:pStyle w:val="Compact"/>
              <w:jc w:val="left"/>
            </w:pPr>
            <w:r>
              <w:rPr>
                <w:rFonts w:ascii="Calibri" w:hAnsi="Calibri"/>
                <w:sz w:val="20"/>
              </w:rPr>
              <w:t xml:space="preserve">Impacto</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Largo plazo</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Deuda federal bruta (principal)</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[0,0231; 0,0835]</w:t>
            </w:r>
          </w:p>
        </w:tc>
        <w:tc>
          <w:tcPr/>
          <w:p>
            <w:pPr>
              <w:pStyle w:val="Compact"/>
              <w:jc w:val="left"/>
            </w:pPr>
            <w:r>
              <w:rPr>
                <w:rFonts w:ascii="Calibri" w:hAnsi="Calibri"/>
                <w:sz w:val="20"/>
              </w:rPr>
              <w:t xml:space="preserve">0,079</w:t>
            </w:r>
          </w:p>
        </w:tc>
        <w:tc>
          <w:tcPr/>
          <w:p>
            <w:pPr>
              <w:pStyle w:val="Compact"/>
              <w:jc w:val="left"/>
            </w:pPr>
            <w:r>
              <w:rPr>
                <w:rFonts w:ascii="Calibri" w:hAnsi="Calibri"/>
                <w:sz w:val="20"/>
              </w:rPr>
              <w:t xml:space="preserve">[0,062; 0,147]</w:t>
            </w:r>
          </w:p>
        </w:tc>
      </w:tr>
      <w:tr>
        <w:tc>
          <w:tcPr/>
          <w:p>
            <w:pPr>
              <w:pStyle w:val="Compact"/>
              <w:jc w:val="left"/>
            </w:pPr>
            <w:r>
              <w:rPr>
                <w:rFonts w:ascii="Calibri" w:hAnsi="Calibri"/>
                <w:sz w:val="20"/>
              </w:rPr>
              <w:t xml:space="preserve">Deuda consolidada con el BCRA (extensión)</w:t>
            </w:r>
          </w:p>
        </w:tc>
        <w:tc>
          <w:tcPr/>
          <w:p>
            <w:pPr>
              <w:pStyle w:val="Compact"/>
              <w:jc w:val="left"/>
            </w:pPr>
            <w:r>
              <w:rPr>
                <w:rFonts w:ascii="Calibri" w:hAnsi="Calibri"/>
                <w:sz w:val="20"/>
              </w:rPr>
              <w:t xml:space="preserve">0,0481</w:t>
            </w:r>
          </w:p>
        </w:tc>
        <w:tc>
          <w:tcPr/>
          <w:p>
            <w:pPr>
              <w:pStyle w:val="Compact"/>
              <w:jc w:val="left"/>
            </w:pPr>
            <w:r>
              <w:rPr>
                <w:rFonts w:ascii="Calibri" w:hAnsi="Calibri"/>
                <w:sz w:val="20"/>
              </w:rPr>
              <w:t xml:space="preserve">[0,0106; 0,0887]</w:t>
            </w:r>
          </w:p>
        </w:tc>
        <w:tc>
          <w:tcPr/>
          <w:p>
            <w:pPr>
              <w:pStyle w:val="Compact"/>
              <w:jc w:val="left"/>
            </w:pPr>
            <w:r>
              <w:rPr>
                <w:rFonts w:ascii="Calibri" w:hAnsi="Calibri"/>
                <w:sz w:val="20"/>
              </w:rPr>
              <w:t xml:space="preserve">0,062</w:t>
            </w:r>
          </w:p>
        </w:tc>
        <w:tc>
          <w:tcPr/>
          <w:p>
            <w:pPr>
              <w:pStyle w:val="Compact"/>
              <w:jc w:val="left"/>
            </w:pPr>
            <w:r>
              <w:rPr>
                <w:rFonts w:ascii="Calibri" w:hAnsi="Calibri"/>
                <w:sz w:val="20"/>
              </w:rPr>
              <w:t xml:space="preserve">[0,019; 0,117]</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Cs/>
          <w:i/>
        </w:rPr>
        <w:t xml:space="preserve">shocks</w:t>
      </w:r>
      <w:r>
        <w:t xml:space="preserve"> </w:t>
      </w:r>
      <w:r>
        <w:t xml:space="preserve">que enfrenta. El coeficiente de largo plazo de la deuda federal, 0,079, es del orden de los 0,05 que se asocian a Bohn (1998) y, en el sentido de la sección 3.2, estabilizaría la deuda solo si el diferencial entre la tasa efectiva y el crecimiento, (r − g)/(1 + g), se mantuviera por debajo de unos ocho puntos; el límite inferior del intervalo, 0,062, lo baja a seis. Como los años de estrés de la historia argentina superan esos valores, el coeficiente positivo no equivale a suficiencia, que es lo que H1a pone a prueba.</w:t>
      </w:r>
    </w:p>
    <w:p>
      <w:pPr>
        <w:pStyle w:val="BodyText"/>
      </w:pPr>
      <w:r>
        <w:rPr>
          <w:bCs/>
          <w:b/>
        </w:rPr>
        <w:t xml:space="preserve">Retroalimentación de la deuda.</w:t>
      </w:r>
      <w:r>
        <w:t xml:space="preserve"> </w:t>
      </w:r>
      <w:r>
        <w:t xml:space="preserve">La deuda rezagada entra en las cuatro ecuaciones del sistema (Favero y Giavazzi, 2007). Fuera de la ecuación fiscal, el efecto sobre el riesgo país, medido por el diferencial del índice EMBI de J.P. Morgan para Argentina (EMBI), es distinguible del cero: la estimación puntual es de unos 35 puntos básicos por punto de deuda, con un intervalo de 90% de [13,9; 47,6] (36,7 [13,1; 52,4] en la deuda consolidada). Sin las binarias presidenciales el intervalo incluye el cero (15,3 [-5,3; 30,4]), de modo que el resultado depende de controlar por los mandatos y se lo trata como una estimación sujeta a esa especificación. El efecto sobre el crecimiento, 0,07 con un intervalo de [-0,001; 0,126], roza el cero y es de signo positivo, y con el tipo de cambio real multilateral (TCRM) no hay relación.</w:t>
      </w:r>
    </w:p>
    <w:p>
      <w:pPr>
        <w:pStyle w:val="BodyText"/>
      </w:pPr>
      <w:r>
        <w:rPr>
          <w:bCs/>
          <w:b/>
        </w:rPr>
        <w:t xml:space="preserve">Respuesta a la tasa de la FED.</w:t>
      </w:r>
      <w:r>
        <w:t xml:space="preserve"> </w:t>
      </w:r>
      <w:r>
        <w:t xml:space="preserve">Un aumento de un desvío estándar en la variación de la tasa de política monetaria de la Reserva Federal (FED), de 0,501 puntos, no produce respuestas sistemáticas de las variables domésticas (Figura 6.1). De las 84 respuestas estimadas (cuatro variables en 21 horizontes), 11 tienen un intervalo que excluye el cero: la del resultado primario en el impacto (+0,32) y de cinco a nueve trimestres después (negativas, de -0,05 a -0,11), las del EMBI a cuatro, cinco y seis trimestres (de +43 a +63 puntos básicos) y las del TCRM a dos y tres trimestres, con signo de apreciación real. Con intervalos de 90% y 84 respuestas, el azar produciría unas ocho exclusiones aunque la FED no tuviera efecto, así que 11 es poco más de lo esperable; el EMBI y el resultado primario muestran un patrón coherente en el tiempo (tasa más alta, mayor riesgo país algunos trimestres después), aunque ninguna respuesta aislada resiste una corrección por comparaciones múltiples. El modelo no distingue con claridad los efectos indirectos de la FED del ruido.</w:t>
      </w:r>
    </w:p>
    <w:p>
      <w:pPr>
        <w:pStyle w:val="CaptionedFigure"/>
      </w:pPr>
      <w:r>
        <w:drawing>
          <wp:inline>
            <wp:extent cx="5334000" cy="3505200"/>
            <wp:effectExtent b="0" l="0" r="0" t="0"/>
            <wp:docPr descr="Figura 6.1. Respuestas al impulso ante una suba de la tasa de la FED. Aumento de un desvío estándar (0,501 puntos porcentuales) en la variación trimestral de la tasa; deuda federal bruta, dos rezagos, parámetros de mínimos cuadrados e intervalos de 90% del bootstrap. Fuente: elaboración propia." title="" id="90" name="Picture"/>
            <a:graphic>
              <a:graphicData uri="http://schemas.openxmlformats.org/drawingml/2006/picture">
                <pic:pic>
                  <pic:nvPicPr>
                    <pic:cNvPr descr="../tesis/figuras/fig6_1_respuesta_fed.png" id="91" name="Picture"/>
                    <pic:cNvPicPr>
                      <a:picLocks noChangeArrowheads="1" noChangeAspect="1"/>
                    </pic:cNvPicPr>
                  </pic:nvPicPr>
                  <pic:blipFill>
                    <a:blip r:embed="rId89"/>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(0,501 puntos porcentuales) en la variación trimestral de la tasa; deuda federal bruta, dos rezagos, parámetros de mínimos cuadrados e intervalos de 90% del</w:t>
      </w:r>
      <w:r>
        <w:t xml:space="preserve"> </w:t>
      </w:r>
      <w:r>
        <w:rPr>
          <w:iCs/>
          <w:i/>
        </w:rPr>
        <w:t xml:space="preserve">bootstrap</w:t>
      </w:r>
      <w:r>
        <w:t xml:space="preserve">. Fuente: elaboración propia.</w:t>
      </w:r>
    </w:p>
    <w:bookmarkEnd w:id="92"/>
    <w:bookmarkStart w:id="96"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52,9% en 2031 y a 41,4%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45,0%, por encima de la mediana, y el percentil 95 supera el punto de partida.</w:t>
      </w:r>
    </w:p>
    <w:p>
      <w:pPr>
        <w:pStyle w:val="BodyText"/>
      </w:pPr>
      <w:r>
        <w:rPr>
          <w:bCs/>
          <w:b/>
        </w:rPr>
        <w:t xml:space="preserve">Tabla 6.2. Deuda federal bruta simulada (% del PIB), percentiles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Año</w:t>
            </w:r>
          </w:p>
        </w:tc>
        <w:tc>
          <w:tcPr/>
          <w:p>
            <w:pPr>
              <w:pStyle w:val="Compact"/>
              <w:jc w:val="left"/>
            </w:pPr>
            <w:r>
              <w:rPr>
                <w:rFonts w:ascii="Calibri" w:hAnsi="Calibri"/>
                <w:sz w:val="20"/>
              </w:rPr>
              <w:t xml:space="preserve">p5</w:t>
            </w:r>
          </w:p>
        </w:tc>
        <w:tc>
          <w:tcPr/>
          <w:p>
            <w:pPr>
              <w:pStyle w:val="Compact"/>
              <w:jc w:val="left"/>
            </w:pPr>
            <w:r>
              <w:rPr>
                <w:rFonts w:ascii="Calibri" w:hAnsi="Calibri"/>
                <w:sz w:val="20"/>
              </w:rPr>
              <w:t xml:space="preserve">p25</w:t>
            </w:r>
          </w:p>
        </w:tc>
        <w:tc>
          <w:tcPr/>
          <w:p>
            <w:pPr>
              <w:pStyle w:val="Compact"/>
              <w:jc w:val="left"/>
            </w:pPr>
            <w:r>
              <w:rPr>
                <w:rFonts w:ascii="Calibri" w:hAnsi="Calibri"/>
                <w:sz w:val="20"/>
              </w:rPr>
              <w:t xml:space="preserve">Mediana</w:t>
            </w:r>
          </w:p>
        </w:tc>
        <w:tc>
          <w:tcPr/>
          <w:p>
            <w:pPr>
              <w:pStyle w:val="Compact"/>
              <w:jc w:val="left"/>
            </w:pPr>
            <w:r>
              <w:rPr>
                <w:rFonts w:ascii="Calibri" w:hAnsi="Calibri"/>
                <w:sz w:val="20"/>
              </w:rPr>
              <w:t xml:space="preserve">p75</w:t>
            </w:r>
          </w:p>
        </w:tc>
        <w:tc>
          <w:tcPr/>
          <w:p>
            <w:pPr>
              <w:pStyle w:val="Compact"/>
              <w:jc w:val="left"/>
            </w:pPr>
            <w:r>
              <w:rPr>
                <w:rFonts w:ascii="Calibri" w:hAnsi="Calibri"/>
                <w:sz w:val="20"/>
              </w:rPr>
              <w:t xml:space="preserve">p95</w:t>
            </w:r>
          </w:p>
        </w:tc>
      </w:tr>
      <w:tr>
        <w:tc>
          <w:tcPr/>
          <w:p>
            <w:pPr>
              <w:pStyle w:val="Compact"/>
              <w:jc w:val="left"/>
            </w:pPr>
            <w:r>
              <w:rPr>
                <w:rFonts w:ascii="Calibri" w:hAnsi="Calibri"/>
                <w:sz w:val="20"/>
              </w:rPr>
              <w:t xml:space="preserve">2026</w:t>
            </w:r>
          </w:p>
        </w:tc>
        <w:tc>
          <w:tcPr/>
          <w:p>
            <w:pPr>
              <w:pStyle w:val="Compact"/>
              <w:jc w:val="left"/>
            </w:pPr>
            <w:r>
              <w:rPr>
                <w:rFonts w:ascii="Calibri" w:hAnsi="Calibri"/>
                <w:sz w:val="20"/>
              </w:rPr>
              <w:t xml:space="preserve">67,2</w:t>
            </w:r>
          </w:p>
        </w:tc>
        <w:tc>
          <w:tcPr/>
          <w:p>
            <w:pPr>
              <w:pStyle w:val="Compact"/>
              <w:jc w:val="left"/>
            </w:pPr>
            <w:r>
              <w:rPr>
                <w:rFonts w:ascii="Calibri" w:hAnsi="Calibri"/>
                <w:sz w:val="20"/>
              </w:rPr>
              <w:t xml:space="preserve">70,3</w:t>
            </w:r>
          </w:p>
        </w:tc>
        <w:tc>
          <w:tcPr/>
          <w:p>
            <w:pPr>
              <w:pStyle w:val="Compact"/>
              <w:jc w:val="left"/>
            </w:pPr>
            <w:r>
              <w:rPr>
                <w:rFonts w:ascii="Calibri" w:hAnsi="Calibri"/>
                <w:sz w:val="20"/>
              </w:rPr>
              <w:t xml:space="preserve">72,5</w:t>
            </w:r>
          </w:p>
        </w:tc>
        <w:tc>
          <w:tcPr/>
          <w:p>
            <w:pPr>
              <w:pStyle w:val="Compact"/>
              <w:jc w:val="left"/>
            </w:pPr>
            <w:r>
              <w:rPr>
                <w:rFonts w:ascii="Calibri" w:hAnsi="Calibri"/>
                <w:sz w:val="20"/>
              </w:rPr>
              <w:t xml:space="preserve">74,9</w:t>
            </w:r>
          </w:p>
        </w:tc>
        <w:tc>
          <w:tcPr/>
          <w:p>
            <w:pPr>
              <w:pStyle w:val="Compact"/>
              <w:jc w:val="left"/>
            </w:pPr>
            <w:r>
              <w:rPr>
                <w:rFonts w:ascii="Calibri" w:hAnsi="Calibri"/>
                <w:sz w:val="20"/>
              </w:rPr>
              <w:t xml:space="preserve">87,7</w:t>
            </w:r>
          </w:p>
        </w:tc>
      </w:tr>
      <w:tr>
        <w:tc>
          <w:tcPr/>
          <w:p>
            <w:pPr>
              <w:pStyle w:val="Compact"/>
              <w:jc w:val="left"/>
            </w:pPr>
            <w:r>
              <w:rPr>
                <w:rFonts w:ascii="Calibri" w:hAnsi="Calibri"/>
                <w:sz w:val="20"/>
              </w:rPr>
              <w:t xml:space="preserve">2028</w:t>
            </w:r>
          </w:p>
        </w:tc>
        <w:tc>
          <w:tcPr/>
          <w:p>
            <w:pPr>
              <w:pStyle w:val="Compact"/>
              <w:jc w:val="left"/>
            </w:pPr>
            <w:r>
              <w:rPr>
                <w:rFonts w:ascii="Calibri" w:hAnsi="Calibri"/>
                <w:sz w:val="20"/>
              </w:rPr>
              <w:t xml:space="preserve">54,1</w:t>
            </w:r>
          </w:p>
        </w:tc>
        <w:tc>
          <w:tcPr/>
          <w:p>
            <w:pPr>
              <w:pStyle w:val="Compact"/>
              <w:jc w:val="left"/>
            </w:pPr>
            <w:r>
              <w:rPr>
                <w:rFonts w:ascii="Calibri" w:hAnsi="Calibri"/>
                <w:sz w:val="20"/>
              </w:rPr>
              <w:t xml:space="preserve">60,4</w:t>
            </w:r>
          </w:p>
        </w:tc>
        <w:tc>
          <w:tcPr/>
          <w:p>
            <w:pPr>
              <w:pStyle w:val="Compact"/>
              <w:jc w:val="left"/>
            </w:pPr>
            <w:r>
              <w:rPr>
                <w:rFonts w:ascii="Calibri" w:hAnsi="Calibri"/>
                <w:sz w:val="20"/>
              </w:rPr>
              <w:t xml:space="preserve">64,8</w:t>
            </w:r>
          </w:p>
        </w:tc>
        <w:tc>
          <w:tcPr/>
          <w:p>
            <w:pPr>
              <w:pStyle w:val="Compact"/>
              <w:jc w:val="left"/>
            </w:pPr>
            <w:r>
              <w:rPr>
                <w:rFonts w:ascii="Calibri" w:hAnsi="Calibri"/>
                <w:sz w:val="20"/>
              </w:rPr>
              <w:t xml:space="preserve">70,2</w:t>
            </w:r>
          </w:p>
        </w:tc>
        <w:tc>
          <w:tcPr/>
          <w:p>
            <w:pPr>
              <w:pStyle w:val="Compact"/>
              <w:jc w:val="left"/>
            </w:pPr>
            <w:r>
              <w:rPr>
                <w:rFonts w:ascii="Calibri" w:hAnsi="Calibri"/>
                <w:sz w:val="20"/>
              </w:rPr>
              <w:t xml:space="preserve">80,4</w:t>
            </w:r>
          </w:p>
        </w:tc>
      </w:tr>
      <w:tr>
        <w:tc>
          <w:tcPr/>
          <w:p>
            <w:pPr>
              <w:pStyle w:val="Compact"/>
              <w:jc w:val="left"/>
            </w:pPr>
            <w:r>
              <w:rPr>
                <w:rFonts w:ascii="Calibri" w:hAnsi="Calibri"/>
                <w:sz w:val="20"/>
              </w:rPr>
              <w:t xml:space="preserve">2031</w:t>
            </w:r>
          </w:p>
        </w:tc>
        <w:tc>
          <w:tcPr/>
          <w:p>
            <w:pPr>
              <w:pStyle w:val="Compact"/>
              <w:jc w:val="left"/>
            </w:pPr>
            <w:r>
              <w:rPr>
                <w:rFonts w:ascii="Calibri" w:hAnsi="Calibri"/>
                <w:sz w:val="20"/>
              </w:rPr>
              <w:t xml:space="preserve">36,0</w:t>
            </w:r>
          </w:p>
        </w:tc>
        <w:tc>
          <w:tcPr/>
          <w:p>
            <w:pPr>
              <w:pStyle w:val="Compact"/>
              <w:jc w:val="left"/>
            </w:pPr>
            <w:r>
              <w:rPr>
                <w:rFonts w:ascii="Calibri" w:hAnsi="Calibri"/>
                <w:sz w:val="20"/>
              </w:rPr>
              <w:t xml:space="preserve">45,7</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61,4</w:t>
            </w:r>
          </w:p>
        </w:tc>
        <w:tc>
          <w:tcPr/>
          <w:p>
            <w:pPr>
              <w:pStyle w:val="Compact"/>
              <w:jc w:val="left"/>
            </w:pPr>
            <w:r>
              <w:rPr>
                <w:rFonts w:ascii="Calibri" w:hAnsi="Calibri"/>
                <w:sz w:val="20"/>
              </w:rPr>
              <w:t xml:space="preserve">76,5</w:t>
            </w:r>
          </w:p>
        </w:tc>
      </w:tr>
      <w:tr>
        <w:tc>
          <w:tcPr/>
          <w:p>
            <w:pPr>
              <w:pStyle w:val="Compact"/>
              <w:jc w:val="left"/>
            </w:pPr>
            <w:r>
              <w:rPr>
                <w:rFonts w:ascii="Calibri" w:hAnsi="Calibri"/>
                <w:sz w:val="20"/>
              </w:rPr>
              <w:t xml:space="preserve">2033</w:t>
            </w:r>
          </w:p>
        </w:tc>
        <w:tc>
          <w:tcPr/>
          <w:p>
            <w:pPr>
              <w:pStyle w:val="Compact"/>
              <w:jc w:val="left"/>
            </w:pPr>
            <w:r>
              <w:rPr>
                <w:rFonts w:ascii="Calibri" w:hAnsi="Calibri"/>
                <w:sz w:val="20"/>
              </w:rPr>
              <w:t xml:space="preserve">26,7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47,4</w:t>
            </w:r>
          </w:p>
        </w:tc>
        <w:tc>
          <w:tcPr/>
          <w:p>
            <w:pPr>
              <w:pStyle w:val="Compact"/>
              <w:jc w:val="left"/>
            </w:pPr>
            <w:r>
              <w:rPr>
                <w:rFonts w:ascii="Calibri" w:hAnsi="Calibri"/>
                <w:sz w:val="20"/>
              </w:rPr>
              <w:t xml:space="preserve">58,6</w:t>
            </w:r>
          </w:p>
        </w:tc>
        <w:tc>
          <w:tcPr/>
          <w:p>
            <w:pPr>
              <w:pStyle w:val="Compact"/>
              <w:jc w:val="left"/>
            </w:pPr>
            <w:r>
              <w:rPr>
                <w:rFonts w:ascii="Calibri" w:hAnsi="Calibri"/>
                <w:sz w:val="20"/>
              </w:rPr>
              <w:t xml:space="preserve">78,9</w:t>
            </w:r>
          </w:p>
        </w:tc>
      </w:tr>
      <w:tr>
        <w:tc>
          <w:tcPr/>
          <w:p>
            <w:pPr>
              <w:pStyle w:val="Compact"/>
              <w:jc w:val="left"/>
            </w:pPr>
            <w:r>
              <w:rPr>
                <w:rFonts w:ascii="Calibri" w:hAnsi="Calibri"/>
                <w:sz w:val="20"/>
              </w:rPr>
              <w:t xml:space="preserve">2035</w:t>
            </w:r>
          </w:p>
        </w:tc>
        <w:tc>
          <w:tcPr/>
          <w:p>
            <w:pPr>
              <w:pStyle w:val="Compact"/>
              <w:jc w:val="left"/>
            </w:pPr>
            <w:r>
              <w:rPr>
                <w:rFonts w:ascii="Calibri" w:hAnsi="Calibri"/>
                <w:sz w:val="20"/>
              </w:rPr>
              <w:t xml:space="preserve">17,7</w:t>
            </w:r>
          </w:p>
        </w:tc>
        <w:tc>
          <w:tcPr/>
          <w:p>
            <w:pPr>
              <w:pStyle w:val="Compact"/>
              <w:jc w:val="left"/>
            </w:pPr>
            <w:r>
              <w:rPr>
                <w:rFonts w:ascii="Calibri" w:hAnsi="Calibri"/>
                <w:sz w:val="20"/>
              </w:rPr>
              <w:t xml:space="preserve">30,4</w:t>
            </w:r>
          </w:p>
        </w:tc>
        <w:tc>
          <w:tcPr/>
          <w:p>
            <w:pPr>
              <w:pStyle w:val="Compact"/>
              <w:jc w:val="left"/>
            </w:pPr>
            <w:r>
              <w:rPr>
                <w:rFonts w:ascii="Calibri" w:hAnsi="Calibri"/>
                <w:sz w:val="20"/>
              </w:rPr>
              <w:t xml:space="preserve">41,4</w:t>
            </w:r>
          </w:p>
        </w:tc>
        <w:tc>
          <w:tcPr/>
          <w:p>
            <w:pPr>
              <w:pStyle w:val="Compact"/>
              <w:jc w:val="left"/>
            </w:pPr>
            <w:r>
              <w:rPr>
                <w:rFonts w:ascii="Calibri" w:hAnsi="Calibri"/>
                <w:sz w:val="20"/>
              </w:rPr>
              <w:t xml:space="preserve">55,9</w:t>
            </w:r>
          </w:p>
        </w:tc>
        <w:tc>
          <w:tcPr/>
          <w:p>
            <w:pPr>
              <w:pStyle w:val="Compact"/>
              <w:jc w:val="left"/>
            </w:pPr>
            <w:r>
              <w:rPr>
                <w:rFonts w:ascii="Calibri" w:hAnsi="Calibri"/>
                <w:sz w:val="20"/>
              </w:rPr>
              <w:t xml:space="preserve">84,3</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94" name="Picture"/>
            <a:graphic>
              <a:graphicData uri="http://schemas.openxmlformats.org/drawingml/2006/picture">
                <pic:pic>
                  <pic:nvPicPr>
                    <pic:cNvPr descr="../tesis/figuras/fig6_2_abanico_deuda.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Cs/>
          <w:i/>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40,5 puntos en 2031, con un intervalo de [32,4; 54,5]. El del FMI para la misma deuda es 71,5 (FMI, 2026, cuadro 7). El Capítulo 7 analiza por qué un abanico más angosto convive, con la métrica anual, con una probabilidad de no estabilización mayor.</w:t>
      </w:r>
    </w:p>
    <w:bookmarkEnd w:id="96"/>
    <w:bookmarkStart w:id="10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TCRM y el riesgo país. La Tabla 6.3 descompone la varianza de la deuda simulada en 2035 según el bloque de</w:t>
      </w:r>
      <w:r>
        <w:t xml:space="preserve"> </w:t>
      </w:r>
      <w:r>
        <w:rPr>
          <w:iCs/>
          <w:i/>
        </w:rPr>
        <w:t xml:space="preserve">shocks</w:t>
      </w:r>
      <w:r>
        <w:t xml:space="preserve">. El bloque externo explica 59,4% y el cambiario y de riesgo 28,3%; el de actividad, 10,7%, y el fiscal, 1,6%. La diferencia entre los</w:t>
      </w:r>
      <w:r>
        <w:t xml:space="preserve"> </w:t>
      </w:r>
      <w:r>
        <w:rPr>
          <w:iCs/>
          <w:i/>
        </w:rPr>
        <w:t xml:space="preserve">shocks</w:t>
      </w:r>
      <w:r>
        <w:t xml:space="preserve"> </w:t>
      </w:r>
      <w:r>
        <w:t xml:space="preserve">no fiscales y el fiscal es de 96,8 puntos, con un intervalo de [90,8; 99,8] que excluye el cero. Con el criterio de la Tabla 4.4, la condición de varianza se cumple. Dos cautelas acompañan esa conclusión. Primera, la participación fiscal es tan baja en parte porque las binarias presidenciales absorben variación del resultado primario que, sin ellas, recogería el</w:t>
      </w:r>
      <w:r>
        <w:t xml:space="preserve"> </w:t>
      </w:r>
      <w:r>
        <w:rPr>
          <w:iCs/>
          <w:i/>
        </w:rPr>
        <w:t xml:space="preserve">shock</w:t>
      </w:r>
      <w:r>
        <w:t xml:space="preserve"> </w:t>
      </w:r>
      <w:r>
        <w:t xml:space="preserve">fiscal: sin ellas la diferencia es de 77,9 puntos [67,3; 99,4] (Tabla 6.6), todavía a favor de H1a. Segunda, la participación del bloque fiscal no mide la importancia de la política fiscal, sino cuánta incertidumbre de la deuda proviene de</w:t>
      </w:r>
      <w:r>
        <w:t xml:space="preserve"> </w:t>
      </w:r>
      <w:r>
        <w:rPr>
          <w:iCs/>
          <w:i/>
        </w:rPr>
        <w:t xml:space="preserve">shocks</w:t>
      </w:r>
      <w:r>
        <w:t xml:space="preserve"> </w:t>
      </w:r>
      <w:r>
        <w:t xml:space="preserve">no anticipados del resultado primario respecto del escenario del FMI.</w:t>
      </w:r>
    </w:p>
    <w:p>
      <w:pPr>
        <w:pStyle w:val="BodyText"/>
      </w:pPr>
      <w:r>
        <w:rPr>
          <w:bCs/>
          <w:b/>
        </w:rPr>
        <w:t xml:space="preserve">Tabla 6.3. Participación de cada bloque de</w:t>
      </w:r>
      <w:r>
        <w:rPr>
          <w:bCs/>
          <w:b/>
        </w:rPr>
        <w:t xml:space="preserve"> </w:t>
      </w:r>
      <w:r>
        <w:rPr>
          <w:iCs/>
          <w:i/>
          <w:bCs/>
          <w:b/>
        </w:rPr>
        <w:t xml:space="preserve">shocks</w:t>
      </w:r>
      <w:r>
        <w:rPr>
          <w:bCs/>
          <w:b/>
        </w:rPr>
        <w:t xml:space="preserve"> </w:t>
      </w:r>
      <w:r>
        <w:rPr>
          <w:bCs/>
          <w:b/>
        </w:rPr>
        <w:t xml:space="preserve">en la varianza de la deuda en 2035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Bloque de</w:t>
            </w:r>
            <w:r>
              <w:rPr>
                <w:rFonts w:ascii="Calibri" w:hAnsi="Calibri"/>
                <w:sz w:val="20"/>
              </w:rPr>
              <w:t xml:space="preserve"> </w:t>
            </w:r>
            <w:r>
              <w:rPr>
                <w:iCs/>
                <w:rFonts w:ascii="Calibri" w:hAnsi="Calibri"/>
                <w:i/>
                <w:sz w:val="20"/>
              </w:rPr>
              <w:t xml:space="preserve">shocks</w:t>
            </w:r>
          </w:p>
        </w:tc>
        <w:tc>
          <w:tcPr/>
          <w:p>
            <w:pPr>
              <w:pStyle w:val="Compact"/>
              <w:jc w:val="left"/>
            </w:pPr>
            <w:r>
              <w:rPr>
                <w:rFonts w:ascii="Calibri" w:hAnsi="Calibri"/>
                <w:sz w:val="20"/>
              </w:rPr>
              <w:t xml:space="preserve">Participación</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Fiscal</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Actividad</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Cambiario y de riesgo (EMBI y TCRM)</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Externo (FED y VIX)</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  VIX solo</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  Tasa de la FED sola</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  Tasa de la FED, solo efecto directo en la identidad</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No fiscal menos fiscal (diferencia)</w:t>
            </w:r>
          </w:p>
        </w:tc>
        <w:tc>
          <w:tcPr/>
          <w:p>
            <w:pPr>
              <w:pStyle w:val="Compact"/>
              <w:jc w:val="left"/>
            </w:pPr>
            <w:r>
              <w:rPr>
                <w:rFonts w:ascii="Calibri" w:hAnsi="Calibri"/>
                <w:sz w:val="20"/>
              </w:rPr>
              <w:t xml:space="preserve">96,8 puntos</w:t>
            </w:r>
          </w:p>
        </w:tc>
        <w:tc>
          <w:tcPr/>
          <w:p>
            <w:pPr>
              <w:pStyle w:val="Compact"/>
              <w:jc w:val="left"/>
            </w:pPr>
            <w:r>
              <w:rPr>
                <w:rFonts w:ascii="Calibri" w:hAnsi="Calibri"/>
                <w:sz w:val="20"/>
              </w:rPr>
              <w:t xml:space="preserve">[90,8; 99,8]</w:t>
            </w:r>
          </w:p>
        </w:tc>
      </w:tr>
    </w:tbl>
    <w:p>
      <w:pPr>
        <w:pStyle w:val="BodyText"/>
      </w:pPr>
      <w:r>
        <w:t xml:space="preserve">Fuente: elaboración propia. Los intervalos son percentiles 5 y 95 de las réplicas, sin corrección de sesgo, porque las participaciones están acotadas. Las tres filas del VIX y la FED abren el bloque externo; no son aditivas y su base es la suma de las varianzas de los cuatro bloques (sección 4.6), por lo que el VIX solo puede superar 100%.</w:t>
      </w:r>
    </w:p>
    <w:p>
      <w:pPr>
        <w:pStyle w:val="BodyText"/>
      </w:pPr>
      <w:r>
        <w:t xml:space="preserve">El VIX solo explica más que el bloque externo completo (113,2% contra 59,4%) porque sus efectos se compensan en parte con los de la tasa de la FED: como los</w:t>
      </w:r>
      <w:r>
        <w:t xml:space="preserve"> </w:t>
      </w:r>
      <w:r>
        <w:rPr>
          <w:iCs/>
          <w:i/>
        </w:rPr>
        <w:t xml:space="preserve">shocks</w:t>
      </w:r>
      <w:r>
        <w:t xml:space="preserve"> </w:t>
      </w:r>
      <w:r>
        <w:t xml:space="preserve">se remuestrean por fecha, los picos del VIX coinciden con los recortes de la tasa de la FED de 2008 y de 2020, y la deuda que generan uno y otro por separado se mueve en sentidos opuestos. Por eso las aperturas no suman; lo que importa es el orden de magnitud: dentro del bloque externo, el costo directo de la tasa de la FED es una parte menor (7,6%) y su efecto indirecto, la diferencia entre 13,3% y 7,6%, es pequeño, con intervalos que incluyen el cero.</w:t>
      </w:r>
    </w:p>
    <w:p>
      <w:pPr>
        <w:pStyle w:val="BodyText"/>
      </w:pPr>
      <w:r>
        <w:t xml:space="preserve">En la descomposición (Figura 6.3), los intervalos de los bloques externo y cambiario y de riesgo se superponen y no permiten ordenarlos entre sí.</w:t>
      </w:r>
    </w:p>
    <w:p>
      <w:pPr>
        <w:pStyle w:val="CaptionedFigure"/>
      </w:pPr>
      <w:r>
        <w:drawing>
          <wp:inline>
            <wp:extent cx="5334000" cy="2032000"/>
            <wp:effectExtent b="0" l="0" r="0" t="0"/>
            <wp:docPr descr="Figura 6.3. Varianza de la deuda en 2035 por bloque de shocks. Participación de los bloques fiscal, de actividad, cambiario y de riesgo, y externo en la varianza de la deuda federal bruta simulada en 2035; estimación central e intervalos de 90%. Fuente: elaboración propia." title="" id="98" name="Picture"/>
            <a:graphic>
              <a:graphicData uri="http://schemas.openxmlformats.org/drawingml/2006/picture">
                <pic:pic>
                  <pic:nvPicPr>
                    <pic:cNvPr descr="../tesis/figuras/fig6_3_varianza_por_bloque.png" id="99" name="Picture"/>
                    <pic:cNvPicPr>
                      <a:picLocks noChangeArrowheads="1" noChangeAspect="1"/>
                    </pic:cNvPicPr>
                  </pic:nvPicPr>
                  <pic:blipFill>
                    <a:blip r:embed="rId97"/>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Cs/>
          <w:i/>
        </w:rPr>
        <w:t xml:space="preserve">shocks</w:t>
      </w:r>
      <w:r>
        <w:t xml:space="preserve">. Participación de los bloques fiscal, de actividad, cambiario y de riesgo, y externo en la varianza de la deuda federal bruta simulada en 2035; estimación central e intervalos de 90%. Fuente: elaboración propia.</w:t>
      </w:r>
    </w:p>
    <w:p>
      <w:pPr>
        <w:pStyle w:val="BodyText"/>
      </w:pPr>
      <w:r>
        <w:t xml:space="preserve">El resultado se sostiene en las 20 especificaciones en que se informa el reparto de la varianza (sección 6.6; en la consolidada no se informa). El menor límite inferior, 67,3 puntos, aparece en la variante sin binarias presidenciales; entre las variantes de identificación, el ordenamiento de Cholesky con el resultado primario primero y la elasticidad cíclica de cero dan 85,6 [72,3; 99,5].</w:t>
      </w:r>
    </w:p>
    <w:p>
      <w:pPr>
        <w:pStyle w:val="BodyText"/>
      </w:pPr>
      <w:r>
        <w:rPr>
          <w:bCs/>
          <w:b/>
        </w:rPr>
        <w:t xml:space="preserve">Suficiencia del superávit.</w:t>
      </w:r>
      <w:r>
        <w:t xml:space="preserve"> </w:t>
      </w:r>
      <w:r>
        <w:t xml:space="preserve">La segunda condición de H1a (Tabla 4.4) se evalúa desplazando en la misma magnitud el resultado primario de todos los años del escenario base (Figura 6.4). El máximo anual de 1996-2025 es 3,29% del PIB, en 2004, con la definición de la tesis (sin rentas de la propiedad); con rentas de la propiedad es 3,58%, el mismo año. Con un desplazamiento uniforme que lleva el resultado primario de 2031 a ese máximo, la probabilidad de no estabilización en 2031 con la métrica anual es 23,0% (el de 2026 queda en 2,39%, porque el escenario base del FMI parte de 1,40% en 2026 y de 2,30% en 2031); con el máximo de la variante con rentas es 21,6%. Para llevarla al 1% que estima el FMI para Argentina hay que sumar 7,25 puntos al resultado primario del escenario en todos los años: un superávit de 8,65% del PIB en 2026 y de 9,55% en 2031, casi el triple del máximo observado. Con la métrica anual se cumple, entonces, la segunda condición de H1a (sección 4.7): aun con el resultado primario de 2031 en el máximo histórico, la probabilidad queda más de veinte veces por encima de la cifra del FMI, de modo que el superávit por sí solo no basta. Con la definición operativa del FMI la condición no se cumple: ya sin desplazamiento, el intervalo de la probabilidad de 2031, 3,1% [0,0; 6,3], incluye la cifra del FMI, y con el resultado primario de 2031 en el máximo histórico la estimación central baja a 0,9%; alcanza un desplazamiento de 1,00 punto. H1a queda respaldada con la métrica anual; con la definición operativa se sostiene la condición (i), que no depende de la métrica, pero no la (ii).</w:t>
      </w:r>
    </w:p>
    <w:p>
      <w:pPr>
        <w:pStyle w:val="BodyText"/>
      </w:pPr>
      <w:r>
        <w:t xml:space="preserve">Con la métrica anual, la relación en 2035 no es monótona. La probabilidad baja hasta 0,12% con un desplazamiento de 6,25 puntos y vuelve a subir, a 1,99% con 10,00 puntos. Con superávits tan altos la deuda queda cerca de cero, y la métrica, que compara el resultado primario necesario con el previsto año por año, se activa con</w:t>
      </w:r>
      <w:r>
        <w:t xml:space="preserve"> </w:t>
      </w:r>
      <w:r>
        <w:rPr>
          <w:iCs/>
          <w:i/>
        </w:rPr>
        <w:t xml:space="preserve">shocks</w:t>
      </w:r>
      <w:r>
        <w:t xml:space="preserve"> </w:t>
      </w:r>
      <w:r>
        <w:t xml:space="preserve">pequeños.</w:t>
      </w:r>
    </w:p>
    <w:p>
      <w:pPr>
        <w:pStyle w:val="CaptionedFigure"/>
      </w:pPr>
      <w:r>
        <w:drawing>
          <wp:inline>
            <wp:extent cx="5334000" cy="2790092"/>
            <wp:effectExtent b="0" l="0" r="0" t="0"/>
            <wp:docPr descr="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 title="" id="101" name="Picture"/>
            <a:graphic>
              <a:graphicData uri="http://schemas.openxmlformats.org/drawingml/2006/picture">
                <pic:pic>
                  <pic:nvPicPr>
                    <pic:cNvPr descr="../tesis/figuras/fig6_5_suficiencia_superavit.png" id="102" name="Picture"/>
                    <pic:cNvPicPr>
                      <a:picLocks noChangeArrowheads="1" noChangeAspect="1"/>
                    </pic:cNvPicPr>
                  </pic:nvPicPr>
                  <pic:blipFill>
                    <a:blip r:embed="rId100"/>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w:t>
      </w:r>
    </w:p>
    <w:bookmarkEnd w:id="103"/>
    <w:bookmarkStart w:id="104"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y el mismo escenario, cada horizonte se contrasta contra la cifra del FMI correspondiente con las dos métricas de la sección 4.6 (Tabla 6.4).</w:t>
      </w:r>
    </w:p>
    <w:p>
      <w:pPr>
        <w:pStyle w:val="BodyText"/>
      </w:pPr>
      <w:r>
        <w:rPr>
          <w:bCs/>
          <w:b/>
        </w:rPr>
        <w:t xml:space="preserve">Tabla 6.4. Contraste de H1b</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Horizonte</w:t>
            </w:r>
          </w:p>
        </w:tc>
        <w:tc>
          <w:tcPr/>
          <w:p>
            <w:pPr>
              <w:pStyle w:val="Compact"/>
              <w:jc w:val="left"/>
            </w:pPr>
            <w:r>
              <w:rPr>
                <w:rFonts w:ascii="Calibri" w:hAnsi="Calibri"/>
                <w:sz w:val="20"/>
              </w:rPr>
              <w:t xml:space="preserve">Métrica</w:t>
            </w:r>
          </w:p>
        </w:tc>
        <w:tc>
          <w:tcPr/>
          <w:p>
            <w:pPr>
              <w:pStyle w:val="Compact"/>
              <w:jc w:val="left"/>
            </w:pPr>
            <w:r>
              <w:rPr>
                <w:rFonts w:ascii="Calibri" w:hAnsi="Calibri"/>
                <w:sz w:val="20"/>
              </w:rPr>
              <w:t xml:space="preserve">Probabilidad de no estabilización</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Cifra del FMI</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Anual</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Se cumple</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Definición operativa del FMI</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Anual</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Se cumple</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Definición operativa del FMI</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No se cumple</w:t>
            </w:r>
          </w:p>
        </w:tc>
      </w:tr>
    </w:tbl>
    <w:p>
      <w:pPr>
        <w:pStyle w:val="BodyText"/>
      </w:pPr>
      <w:r>
        <w:t xml:space="preserve">Fuente: elaboración propia. Error de Monte Carlo de la estimación central con la métrica anual: 0,32 puntos. Los límites inferiores de Hall que caen por debajo de cero se informan como cero.</w:t>
      </w:r>
    </w:p>
    <w:p>
      <w:pPr>
        <w:pStyle w:val="BodyText"/>
      </w:pPr>
      <w:r>
        <w:t xml:space="preserve">Con la métrica anual, en los dos horizontes el intervalo queda entero muy por encima de la cifra del FMI, y la conclusión se mantiene con la corrección de Bonferroni (límites inferiores de 19,0% y 24,1%). Las medidas alternativas van en la misma dirección: con el resultado primario simulado en lugar del previsto, la probabilidad en 2031 es 29,7% [23,5; 37,3], y la probabilidad de que la deuda de 2031 supere a la de 2029 es 20,0% [17,3; 26,7]. En las 21 especificaciones el límite inferior supera las cifras del FMI; el menor, 16,2% en 2031, corresponde a la variante de tres rezagos, y en 2035 es 18,0% (la variante sin ajuste stock-flujo y la del escenario de 2025).</w:t>
      </w:r>
    </w:p>
    <w:p>
      <w:pPr>
        <w:pStyle w:val="BodyText"/>
      </w:pPr>
      <w:r>
        <w:t xml:space="preserve">Con la definición operativa del FMI el resultado es otro. La estimación central triplica la cifra del FMI en 2031 (3,1% contra 1%) y la supera en 2035 (5,1% contra menos de 3%), pero los intervalos incluyen esas cifras, de modo que no se distinguen de ellas. El límite inferior supera la cifra del FMI, en los dos horizontes, solo en 2 de las 21 especificaciones: la deuda consolidada (11,0% [2,7; 20,2] en 2031) y el canal de tasas en pesos (9,0% [2,7; 17,0]). Con la lectura literal del recuadro 3, que promedia también el escenario, la probabilidad es 0,0% en 2031 y 0,9% en 2035. En el SVARX, la diferencia entre las dos métricas es la volatilidad de un solo año: la anual se activa con que la deuda suba un año por una depreciación real o un crecimiento bajo; la definición operativa promedia los</w:t>
      </w:r>
      <w:r>
        <w:t xml:space="preserve"> </w:t>
      </w:r>
      <w:r>
        <w:rPr>
          <w:iCs/>
          <w:i/>
        </w:rPr>
        <w:t xml:space="preserve">shocks</w:t>
      </w:r>
      <w:r>
        <w:t xml:space="preserve"> </w:t>
      </w:r>
      <w:r>
        <w:t xml:space="preserve">de toda la trayectoria y deja afuera el tipo de cambio real, de modo que solo se activa con un deterioro persistente de la tasa o del crecimiento (sección 7.2).</w:t>
      </w:r>
    </w:p>
    <w:p>
      <w:pPr>
        <w:pStyle w:val="BodyText"/>
      </w:pPr>
      <w:r>
        <w:t xml:space="preserve">H1b queda respaldada con la métrica anual y no respaldada con la definición operativa del FMI. Con la métrica anual, el 1% y el menos de 3% son cifras de referencia calculadas con otra definición: el veredicto compara la probabilidad de un evento más amplio con la del FMI, y por eso no prueba que el organismo subestime el riesgo. La tesis informa los dos resultados; los argumentos a favor de cada métrica se discuten en la sección 7.1.</w:t>
      </w:r>
    </w:p>
    <w:bookmarkEnd w:id="104"/>
    <w:bookmarkStart w:id="105" w:name="contraste-de-h2"/>
    <w:p>
      <w:pPr>
        <w:pStyle w:val="Heading2"/>
      </w:pPr>
      <w:r>
        <w:t xml:space="preserve">6.5 Contraste de H2</w:t>
      </w:r>
    </w:p>
    <w:p>
      <w:pPr>
        <w:pStyle w:val="FirstParagraph"/>
      </w:pPr>
      <w:r>
        <w:rPr>
          <w:bCs/>
          <w:b/>
        </w:rPr>
        <w:t xml:space="preserve">Tabla 6.5. Efecto de la FED sobre la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Escenario</w:t>
            </w:r>
          </w:p>
        </w:tc>
        <w:tc>
          <w:tcPr/>
          <w:p>
            <w:pPr>
              <w:pStyle w:val="Compact"/>
              <w:jc w:val="left"/>
            </w:pPr>
            <w:r>
              <w:rPr>
                <w:rFonts w:ascii="Calibri" w:hAnsi="Calibri"/>
                <w:sz w:val="20"/>
              </w:rPr>
              <w:t xml:space="preserve">Probabilidad en 2031 (pp)</w:t>
            </w:r>
          </w:p>
        </w:tc>
        <w:tc>
          <w:tcPr/>
          <w:p>
            <w:pPr>
              <w:pStyle w:val="Compact"/>
              <w:jc w:val="left"/>
            </w:pPr>
            <w:r>
              <w:rPr>
                <w:rFonts w:ascii="Calibri" w:hAnsi="Calibri"/>
                <w:sz w:val="20"/>
              </w:rPr>
              <w:t xml:space="preserve">Probabilidad en 2035 (pp)</w:t>
            </w:r>
          </w:p>
        </w:tc>
        <w:tc>
          <w:tcPr/>
          <w:p>
            <w:pPr>
              <w:pStyle w:val="Compact"/>
              <w:jc w:val="left"/>
            </w:pPr>
            <w:r>
              <w:rPr>
                <w:rFonts w:ascii="Calibri" w:hAnsi="Calibri"/>
                <w:sz w:val="20"/>
              </w:rPr>
              <w:t xml:space="preserve">Deuda media 2035 (pp del PIB)</w:t>
            </w:r>
          </w:p>
        </w:tc>
      </w:tr>
      <w:tr>
        <w:tc>
          <w:tcPr/>
          <w:p>
            <w:pPr>
              <w:pStyle w:val="Compact"/>
              <w:jc w:val="left"/>
            </w:pPr>
            <w:r>
              <w:rPr>
                <w:rFonts w:ascii="Calibri" w:hAnsi="Calibri"/>
                <w:sz w:val="20"/>
              </w:rPr>
              <w:t xml:space="preserve">Nivel 0,501 pp más alto desde 2026T1</w:t>
            </w:r>
          </w:p>
        </w:tc>
        <w:tc>
          <w:tcPr/>
          <w:p>
            <w:pPr>
              <w:pStyle w:val="Compact"/>
              <w:jc w:val="left"/>
            </w:pPr>
            <w:r>
              <w:rPr>
                <w:rFonts w:ascii="Calibri" w:hAnsi="Calibri"/>
                <w:sz w:val="20"/>
              </w:rPr>
              <w:t xml:space="preserve">+1,0 [-0,3; 1,6]</w:t>
            </w:r>
          </w:p>
        </w:tc>
        <w:tc>
          <w:tcPr/>
          <w:p>
            <w:pPr>
              <w:pStyle w:val="Compact"/>
              <w:jc w:val="left"/>
            </w:pPr>
            <w:r>
              <w:rPr>
                <w:rFonts w:ascii="Calibri" w:hAnsi="Calibri"/>
                <w:sz w:val="20"/>
              </w:rPr>
              <w:t xml:space="preserve">+1,9 [0,3; 3,2]</w:t>
            </w:r>
          </w:p>
        </w:tc>
        <w:tc>
          <w:tcPr/>
          <w:p>
            <w:pPr>
              <w:pStyle w:val="Compact"/>
              <w:jc w:val="left"/>
            </w:pPr>
            <w:r>
              <w:rPr>
                <w:rFonts w:ascii="Calibri" w:hAnsi="Calibri"/>
                <w:sz w:val="20"/>
              </w:rPr>
              <w:t xml:space="preserve">+2,0 [0,4; 3,2]</w:t>
            </w:r>
          </w:p>
        </w:tc>
      </w:tr>
      <w:tr>
        <w:tc>
          <w:tcPr/>
          <w:p>
            <w:pPr>
              <w:pStyle w:val="Compact"/>
              <w:jc w:val="left"/>
            </w:pPr>
            <w:r>
              <w:rPr>
                <w:rFonts w:ascii="Calibri" w:hAnsi="Calibri"/>
                <w:sz w:val="20"/>
              </w:rPr>
              <w:t xml:space="preserve">Senda de 2022-2025 repetida en 2026-2029</w:t>
            </w:r>
          </w:p>
        </w:tc>
        <w:tc>
          <w:tcPr/>
          <w:p>
            <w:pPr>
              <w:pStyle w:val="Compact"/>
              <w:jc w:val="left"/>
            </w:pPr>
            <w:r>
              <w:rPr>
                <w:rFonts w:ascii="Calibri" w:hAnsi="Calibri"/>
                <w:sz w:val="20"/>
              </w:rPr>
              <w:t xml:space="preserve">+6,7 [0,6; 12,8]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bl>
    <w:p>
      <w:pPr>
        <w:pStyle w:val="BodyText"/>
      </w:pPr>
      <w:r>
        <w:t xml:space="preserve">Fuente: elaboración propia. Diferencias respecto del escenario base; entre corchetes, intervalos de 90%.</w:t>
      </w:r>
    </w:p>
    <w:p>
      <w:pPr>
        <w:pStyle w:val="BodyText"/>
      </w:pPr>
      <w:r>
        <w:t xml:space="preserve">Con el criterio de la Tabla 4.4, que pide que el intervalo excluya el cero en la probabilidad y en la deuda esperada de 2035, el resultado es mixto. El escenario de un desvío estándar lo cumple en las dos medidas, con un efecto pequeño: 1,9 puntos de probabilidad y 2,0 de deuda. El de la senda de 2022-2025 lo cumple en la probabilidad (+18,4 puntos [6,3; 29,1]) pero no en la deuda esperada, cuyo intervalo [-0,3; 31,3] incluye el cero por un margen mínimo. El efecto en 2031, que se acumula menos, tiene un límite inferior negativo en el escenario de un desvío estándar.</w:t>
      </w:r>
    </w:p>
    <w:p>
      <w:pPr>
        <w:pStyle w:val="BodyText"/>
      </w:pPr>
      <w:r>
        <w:t xml:space="preserve">La evidencia más sólida es la del efecto de la senda de 2022-2025 sobre la probabilidad. Con la corrección de Bonferroni, ese efecto sigue excluyendo el cero, con un intervalo de 95% de [4,1; 30,8]. El del escenario de un desvío estándar sobre la probabilidad ([-0,1; 3,3]) y los dos efectos sobre la deuda esperada ([-0,4; 3,4] y [-8,4; 32,8]) no lo excluyen. Entre las especificaciones de robustez, el efecto de la senda sobre la probabilidad excluye el cero en 20 de 21; la excepción son los datos desde 2004. El efecto sobre la deuda esperada lo incluye en 7 de las 21, lo excluye en 11 (en cuatro de ellas con un límite inferior menor que 0,1 punto), tiene un límite inferior de 0,00 en una (sin los</w:t>
      </w:r>
      <w:r>
        <w:t xml:space="preserve"> </w:t>
      </w:r>
      <w:r>
        <w:rPr>
          <w:iCs/>
          <w:i/>
        </w:rPr>
        <w:t xml:space="preserve">shocks</w:t>
      </w:r>
      <w:r>
        <w:t xml:space="preserve"> </w:t>
      </w:r>
      <w:r>
        <w:t xml:space="preserve">de 2001T4-2005T3) y no se informa en dos. En el escenario de un desvío estándar, el efecto sobre la probabilidad incluye el cero en 2 de 21 (datos desde 2004 y sin binarias presidenciales), y el efecto sobre la deuda, en 4, y no se informa en 2.</w:t>
      </w:r>
    </w:p>
    <w:p>
      <w:pPr>
        <w:pStyle w:val="BodyText"/>
      </w:pPr>
      <w:r>
        <w:t xml:space="preserve">Con la definición operativa del FMI, el efecto de la senda de 2022-2025 sobre la probabilidad de 2035 es parecido, 17,1 puntos [0,6; 32,6], y también excluye el cero, aunque no resiste la corrección de Bonferroni ([-3,6; 33,6]); el del escenario de un desvío estándar, 1,1 [-0,5; 2,2], lo incluye. Las medidas de la deuda esperada no dependen de la métrica.</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14,8 de los 19,3 puntos de aumento de la deuda en 2035 (77%); el resto, 4,5 puntos, corresponde a la respuesta del EMBI, el TCRM y el crecimiento, que individualmente no se distinguen con claridad del azar (sección 6.1).</w:t>
      </w:r>
    </w:p>
    <w:p>
      <w:pPr>
        <w:pStyle w:val="BodyText"/>
      </w:pPr>
      <w:r>
        <w:t xml:space="preserve">El resultado sobre H2 depende de la especificación con binarias presidenciales: sin ellas, el efecto de la senda de 2022-2025 es de +9,7 puntos de probabilidad y +9,2 de deuda [-0,2; 17,1], es decir, la mitad (Tabla 6.6). H2 queda parcialmente respaldada: el efecto sobre la probabilidad de no estabilización en el escenario de la senda de 2022-2025 excluye el cero con las dos métricas, con Bonferroni en la anual y en 20 de las 21 especificaciones, aunque su magnitud depende de las binarias presidenciales y de la velocidad de refinanciamiento (de 11,1 puntos con λ = 0,15 a 23,0 con λ = 0,40); el efecto sobre la deuda esperada es positivo en la especificación principal y en casi todas las variantes, pero su intervalo incluye el cero en el escenario de mayor impacto, y el escenario de un desvío estándar es estadísticamente distinguible pero de magnitud pequeña. El mecanismo principal es el costo directo de la deuda en dólares; la transmisión por los canales domésticos de la sección 4.3 solo se verifica en parte, con las respuestas del EMBI.</w:t>
      </w:r>
    </w:p>
    <w:bookmarkEnd w:id="105"/>
    <w:bookmarkStart w:id="109" w:name="robustez"/>
    <w:p>
      <w:pPr>
        <w:pStyle w:val="Heading2"/>
      </w:pPr>
      <w:r>
        <w:t xml:space="preserve">6.6 Robustez</w:t>
      </w:r>
    </w:p>
    <w:p>
      <w:pPr>
        <w:pStyle w:val="FirstParagraph"/>
      </w:pPr>
      <w:r>
        <w:t xml:space="preserve">La Tabla 6.6 resume las especificaciones alternativas más relevantes. Las probabilidades de la tabla usan la métrica anual. La tabla completa, con las 21 especificaciones del SVARX, la probabilidad de 2031 con la definición operativa del FMI, las dos filas a la manera del FMI y la cifra del FMI, está en el Apéndice, sección A.10.</w:t>
      </w:r>
    </w:p>
    <w:p>
      <w:pPr>
        <w:pStyle w:val="BodyText"/>
      </w:pPr>
      <w:r>
        <w:rPr>
          <w:bCs/>
          <w:b/>
        </w:rPr>
        <w:t xml:space="preserve">Tabla 6.6. Robustez (selección)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w:t>
            </w:r>
          </w:p>
        </w:tc>
        <w:tc>
          <w:tcPr/>
          <w:p>
            <w:pPr>
              <w:pStyle w:val="Compact"/>
              <w:jc w:val="left"/>
            </w:pPr>
            <w:r>
              <w:rPr>
                <w:rFonts w:ascii="Calibri" w:hAnsi="Calibri"/>
                <w:sz w:val="20"/>
              </w:rPr>
              <w:t xml:space="preserve">No estabilización 2035</w:t>
            </w:r>
          </w:p>
        </w:tc>
        <w:tc>
          <w:tcPr/>
          <w:p>
            <w:pPr>
              <w:pStyle w:val="Compact"/>
              <w:jc w:val="left"/>
            </w:pPr>
            <w:r>
              <w:rPr>
                <w:rFonts w:ascii="Calibri" w:hAnsi="Calibri"/>
                <w:sz w:val="20"/>
              </w:rPr>
              <w:t xml:space="preserve">Ancho en 2031</w:t>
            </w:r>
          </w:p>
        </w:tc>
        <w:tc>
          <w:tcPr/>
          <w:p>
            <w:pPr>
              <w:pStyle w:val="Compact"/>
              <w:jc w:val="left"/>
            </w:pPr>
            <w:r>
              <w:rPr>
                <w:rFonts w:ascii="Calibri" w:hAnsi="Calibri"/>
                <w:sz w:val="20"/>
              </w:rPr>
              <w:t xml:space="preserve">No fiscal menos fiscal</w:t>
            </w:r>
          </w:p>
        </w:tc>
        <w:tc>
          <w:tcPr/>
          <w:p>
            <w:pPr>
              <w:pStyle w:val="Compact"/>
              <w:jc w:val="left"/>
            </w:pPr>
            <w:r>
              <w:rPr>
                <w:rFonts w:ascii="Calibri" w:hAnsi="Calibri"/>
                <w:sz w:val="20"/>
              </w:rPr>
              <w:t xml:space="preserve">Senda de la FED: probabilidad 2035</w:t>
            </w:r>
          </w:p>
        </w:tc>
        <w:tc>
          <w:tcPr/>
          <w:p>
            <w:pPr>
              <w:pStyle w:val="Compact"/>
              <w:jc w:val="left"/>
            </w:pPr>
            <w:r>
              <w:rPr>
                <w:rFonts w:ascii="Calibri" w:hAnsi="Calibri"/>
                <w:sz w:val="20"/>
              </w:rPr>
              <w:t xml:space="preserve">Senda de la FED: deuda 2035</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r>
        <w:tc>
          <w:tcPr/>
          <w:p>
            <w:pPr>
              <w:pStyle w:val="Compact"/>
              <w:jc w:val="left"/>
            </w:pPr>
            <w:r>
              <w:rPr>
                <w:rFonts w:ascii="Calibri" w:hAnsi="Calibri"/>
                <w:sz w:val="20"/>
              </w:rPr>
              <w:t xml:space="preserve">Sin binarias presidenciales</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 [-0,2; 17,1]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 [3,5; 34,7]</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 [7,8; 18,4]</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17,3 [8,1; 28,4]</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19,7 [-1,9; 32,6]</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25,0 [-11,6; 45,4]</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r>
        <w:t xml:space="preserve"> </w:t>
      </w:r>
      <w:r>
        <w:t xml:space="preserve">“</w:t>
      </w:r>
      <w:r>
        <w:t xml:space="preserve">No se informa</w:t>
      </w:r>
      <w:r>
        <w:t xml:space="preserve">”</w:t>
      </w:r>
      <w:r>
        <w:t xml:space="preserve">: la media de la deuda en 2035 es inestable en esas especificaciones, porque trayectorias explosivas dominan el promedio en una parte de las réplicas (368 de 1.000 con la deuda consolidada y 32 con los datos desde 2004). Las probabilidades no dependen de la media, pero sus intervalos salen de las mismas réplicas, de modo que en la deuda consolidada también son menos confiables. En la deuda consolidada tampoco se informa el reparto de la varianza, que esas trayectorias dominan.</w:t>
      </w:r>
    </w:p>
    <w:p>
      <w:pPr>
        <w:pStyle w:val="BodyText"/>
      </w:pPr>
      <w:r>
        <w:rPr>
          <w:bCs/>
          <w:b/>
        </w:rPr>
        <w:t xml:space="preserve">Hipótesis.</w:t>
      </w:r>
      <w:r>
        <w:t xml:space="preserve"> </w:t>
      </w:r>
      <w:r>
        <w:t xml:space="preserve">Con la métrica anual, H1b se cumple en todas las especificaciones, con límites inferiores de entre 16,2% (tres rezagos) y 27,7% (un rezago) en 2031 y de entre 18,0% y 32,3% en 2035, contra el 1% y el menos del 3% del FMI; con la definición operativa del FMI se cumple solo en 2 de las 21, la deuda consolidada y el canal de tasas en pesos. La condición (i) de H1a también se sostiene: la diferencia entre los</w:t>
      </w:r>
      <w:r>
        <w:t xml:space="preserve"> </w:t>
      </w:r>
      <w:r>
        <w:rPr>
          <w:iCs/>
          <w:i/>
        </w:rPr>
        <w:t xml:space="preserve">shocks</w:t>
      </w:r>
      <w:r>
        <w:t xml:space="preserve"> </w:t>
      </w:r>
      <w:r>
        <w:t xml:space="preserve">no fiscales y el fiscal excluye el cero en las 20 en que se informa, con un menor límite inferior de 67,3 puntos. El efecto de la senda de la FED sobre la probabilidad excluye el cero en todas menos la de los datos desde 2004, la especificación con menos observaciones; el efecto sobre la deuda esperada lo incluye en 7 de las 21, lo excluye en 11 (cuatro de ellas con un límite inferior menor que 0,1 punto), tiene un límite inferior de 0,00 en una y no se informa en dos. Las variantes de identificación, con dos ordenamientos de Cholesky (resultado primario primero y resultado primario último) y elasticidades cíclicas de 0 y 0,5, no modifican la estimación central de la probabilidad, porque todas las especificaciones comparten el sorteo y los</w:t>
      </w:r>
      <w:r>
        <w:t xml:space="preserve"> </w:t>
      </w:r>
      <w:r>
        <w:rPr>
          <w:iCs/>
          <w:i/>
        </w:rPr>
        <w:t xml:space="preserve">shocks</w:t>
      </w:r>
      <w:r>
        <w:t xml:space="preserve"> </w:t>
      </w:r>
      <w:r>
        <w:t xml:space="preserve">estructurales reconstruyen los mismos residuos (sección 4.6); cambian el reparto de la varianza entre bloques y, levemente, los intervalos, porque en cada réplica la matriz de identificación se reestima (sección 4.6).</w:t>
      </w:r>
    </w:p>
    <w:p>
      <w:pPr>
        <w:pStyle w:val="BodyText"/>
      </w:pPr>
      <w:r>
        <w:rPr>
          <w:bCs/>
          <w:b/>
        </w:rPr>
        <w:t xml:space="preserve">Resultado primario con rentas de la propiedad.</w:t>
      </w:r>
      <w:r>
        <w:t xml:space="preserve"> </w:t>
      </w:r>
      <w:r>
        <w:t xml:space="preserve">Con la serie que incluye las rentas de la propiedad, que contienen las utilidades del BCRA en los años en que el Tesoro las registró como ingreso, la probabilidad de no estabilización en 2031 es 28,5% [22,3; 36,0], contra 27,7% con la definición de la tesis. H1a y H1b no cambian; H2 se respalda en las dos medidas, porque el efecto de la senda de la FED sobre la deuda esperada, 21,3 [3,5; 34,7], excluye el cero.</w:t>
      </w:r>
    </w:p>
    <w:p>
      <w:pPr>
        <w:pStyle w:val="BodyText"/>
      </w:pPr>
      <w:r>
        <w:rPr>
          <w:bCs/>
          <w:b/>
        </w:rPr>
        <w:t xml:space="preserve">Empalme del EMBI.</w:t>
      </w:r>
      <w:r>
        <w:t xml:space="preserve"> </w:t>
      </w:r>
      <w:r>
        <w:t xml:space="preserve">Con datos desde 1999, que usan solo el EMBI observado, la probabilidad de no estabilización es 29,5% [22,5; 36,7] en 2031, contra 27,7% [20,6; 34,7] con la ventana completa, y en 2035 es 30,7%, contra 29,0%. La diferencia entre los</w:t>
      </w:r>
      <w:r>
        <w:t xml:space="preserve"> </w:t>
      </w:r>
      <w:r>
        <w:rPr>
          <w:iCs/>
          <w:i/>
        </w:rPr>
        <w:t xml:space="preserve">shocks</w:t>
      </w:r>
      <w:r>
        <w:t xml:space="preserve"> </w:t>
      </w:r>
      <w:r>
        <w:t xml:space="preserve">no fiscales y el fiscal y el efecto de la senda de la FED sobre la probabilidad siguen excluyendo el cero. Los resultados no dependen del empalme del EMBI, que en la especificación principal solo afecta a 1997T4-1998T3. La calidad del empalme del EMBI con la tasa interbancaria en dólares, que se apoya en 12 observaciones superpuestas, se discute en la sección 5.4.</w:t>
      </w:r>
    </w:p>
    <w:p>
      <w:pPr>
        <w:pStyle w:val="BodyText"/>
      </w:pPr>
      <w:r>
        <w:rPr>
          <w:bCs/>
          <w:b/>
        </w:rPr>
        <w:t xml:space="preserve">Extensión consolidada.</w:t>
      </w:r>
      <w:r>
        <w:t xml:space="preserve"> </w:t>
      </w:r>
      <w:r>
        <w:t xml:space="preserve">Con la deuda consolidada con el BCRA, que parte de 52,1% del PIB y se estima desde 2002, la senda base llega a 31,9% en 2031 y a 21,8% en 2035, pero el abanico es más ancho que el federal (55,2 contra 40,5 puntos en 2031). La probabilidad de no estabilización, 31,1% [27,6; 41,5] en 2031 y 35,0% [32,3; 49,8] en 2035, supera con holgura las cifras del FMI, y la senda de la FED eleva la probabilidad en 19,2 puntos [3,2; 33,8]. No se informan el reparto de la varianza ni el efecto sobre la deuda esperada, porque trayectorias explosivas dominan las varianzas y las medias en más de un tercio de las réplicas (368 de 1.000), y con 90 trimestres la estimación es poco estable. Por eso esta extensión se presenta como exploratoria: confirma el orden de magnitud de la probabilidad de no estabilización, pero no sirve para contrastar H1a ni la parte de H2 sobre la deuda esperada.</w:t>
      </w:r>
    </w:p>
    <w:p>
      <w:pPr>
        <w:pStyle w:val="BodyText"/>
      </w:pPr>
      <w:r>
        <w:rPr>
          <w:bCs/>
          <w:b/>
        </w:rPr>
        <w:t xml:space="preserve">Procedimiento del FMI.</w:t>
      </w:r>
      <w:r>
        <w:t xml:space="preserve"> </w:t>
      </w:r>
      <w:r>
        <w:t xml:space="preserve">Con</w:t>
      </w:r>
      <w:r>
        <w:t xml:space="preserve"> </w:t>
      </w:r>
      <w:r>
        <w:rPr>
          <w:iCs/>
          <w:i/>
        </w:rPr>
        <w:t xml:space="preserve">shocks</w:t>
      </w:r>
      <w:r>
        <w:t xml:space="preserve"> </w:t>
      </w:r>
      <w:r>
        <w:t xml:space="preserve">generados a la manera del FMI sobre la historia argentina de la ventana 1996-2025, la probabilidad en 2031 es 24,1% con la métrica anual, cerca de nueve décimas de la del SVARX (27,7%) y muy superior a la del FMI, con un abanico más de dos veces más ancho que el del organismo (148,4 contra 71,5 puntos; Capítulo 7). Con la definición operativa del FMI, ese procedimiento da 29,1% en 2031 y 19,1% en 2035, muy por encima del SVARX con la misma definición (3,1% y 5,1%): con la historia argentina, el procedimiento del propio FMI no reproduce el 1%, y la diferencia con el SVARX está en los</w:t>
      </w:r>
      <w:r>
        <w:t xml:space="preserve"> </w:t>
      </w:r>
      <w:r>
        <w:rPr>
          <w:iCs/>
          <w:i/>
        </w:rPr>
        <w:t xml:space="preserve">shocks</w:t>
      </w:r>
      <w:r>
        <w:t xml:space="preserve">, que en el SVARX son sorpresas y en ese procedimiento, desvíos respecto de una media de largo plazo.</w:t>
      </w:r>
    </w:p>
    <w:p>
      <w:pPr>
        <w:pStyle w:val="CaptionedFigure"/>
      </w:pPr>
      <w:r>
        <w:drawing>
          <wp:inline>
            <wp:extent cx="5334000" cy="2667000"/>
            <wp:effectExtent b="0" l="0" r="0" t="0"/>
            <wp:docPr descr="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 title="" id="107" name="Picture"/>
            <a:graphic>
              <a:graphicData uri="http://schemas.openxmlformats.org/drawingml/2006/picture">
                <pic:pic>
                  <pic:nvPicPr>
                    <pic:cNvPr descr="../tesis/figuras/fig6_4_probabilidad_no_estabilizacion.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w:t>
      </w:r>
    </w:p>
    <w:bookmarkEnd w:id="109"/>
    <w:bookmarkEnd w:id="110"/>
    <w:bookmarkStart w:id="123" w:name="discusión"/>
    <w:p>
      <w:pPr>
        <w:pStyle w:val="Heading1"/>
      </w:pPr>
      <w:r>
        <w:t xml:space="preserve">7. Discusión</w:t>
      </w:r>
    </w:p>
    <w:bookmarkStart w:id="111" w:name="Xd2bfaf14c1e57bc7fc44159cc760bdc22586e66"/>
    <w:p>
      <w:pPr>
        <w:pStyle w:val="Heading2"/>
      </w:pPr>
      <w:r>
        <w:t xml:space="preserve">7.1 Qué cambia respecto del diagnóstico del FMI</w:t>
      </w:r>
    </w:p>
    <w:p>
      <w:pPr>
        <w:pStyle w:val="FirstParagraph"/>
      </w:pPr>
      <w:r>
        <w:t xml:space="preserve">El FMI (2026) concluye que la deuda federal bruta argentina es sostenible pero no con alta probabilidad, y estima en 1% la probabilidad de que no se estabilice en el mediano plazo. Esta tesis mide la misma deuda desde el mismo punto de partida, con el mismo escenario y horizonte, y su conclusión depende de cómo se mida la no estabilización. Con la definición operativa del FMI, la probabilidad del SVARX en 2031 es 3,1% [0,0; 6,3]: del mismo orden que la del organismo y estadísticamente indistinguible de ella. Con la métrica anual es 27,7%.</w:t>
      </w:r>
    </w:p>
    <w:p>
      <w:pPr>
        <w:pStyle w:val="BodyText"/>
      </w:pPr>
      <w:r>
        <w:rPr>
          <w:bCs/>
          <w:b/>
        </w:rPr>
        <w:t xml:space="preserve">Qué métrica usar.</w:t>
      </w:r>
      <w:r>
        <w:t xml:space="preserve"> </w:t>
      </w:r>
      <w:r>
        <w:t xml:space="preserve">Las dos tienen argumentos. La definición operativa es la que el FMI usa para su cifra, de modo que, en la reconstrucción de la tesis, da la comparación más cercana, y mide un deterioro persistente de las condiciones de la deuda. La métrica anual conserva la valuación de la deuda en moneda extranjera, que en Argentina pesa más que en la mayoría de los países a los que se aplica el marco (57,8% de la deuda federal bruta está en moneda extranjera), pero se activa con que la deuda suba un solo año. La tesis informa las dos con el mismo peso, y los veredictos de H1a y H1b se leen con esa salvedad (Capítulo 8).</w:t>
      </w:r>
    </w:p>
    <w:p>
      <w:pPr>
        <w:pStyle w:val="BodyText"/>
      </w:pPr>
      <w:r>
        <w:t xml:space="preserve">El procedimiento del FMI aplicado a la historia argentina de la ventana 1996-2025 tampoco reproduce el 1%: da 24,1% con la métrica anual y 29,1% con la definición operativa. El FMI no publica la historia de</w:t>
      </w:r>
      <w:r>
        <w:t xml:space="preserve"> </w:t>
      </w:r>
      <w:r>
        <w:rPr>
          <w:iCs/>
          <w:i/>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Con la métrica anual, la retroalimentación explica poco de la distancia: sin ella, la probabilidad del SVARX en 2031 pasa de 27,7% a 27,2%. Con la definición operativa pesa más: sin ella la probabilidad pasa de 3,1% a 1,3%, cerca de la cifra del FMI, de modo que con esa métrica buena parte de la distancia que queda con el organismo corresponde a la retroalimentación que su abanico omite (Apéndice, sección A.10).</w:t>
      </w:r>
    </w:p>
    <w:p>
      <w:pPr>
        <w:pStyle w:val="BodyText"/>
      </w:pPr>
      <w:r>
        <w:rPr>
          <w:bCs/>
          <w:b/>
        </w:rPr>
        <w:t xml:space="preserve">Una comparación asimétrica.</w:t>
      </w:r>
      <w:r>
        <w:t xml:space="preserve"> </w:t>
      </w:r>
      <w:r>
        <w:t xml:space="preserve">El contraste de H1b enfrenta el intervalo de 90% de esta tesis con una cifra puntual del FMI, 1% a mediano plazo y menos de 3% a diez años, que no tiene intervalo público y forma parte de una evaluación que incluye juicio cualitativo del equipo técnico. Por eso H1b contrasta si el valor del FMI queda fuera del rango que sostienen los datos con su propio escenario, y no si dos intervalos se solapan. La asimetría tiene dos consecuencias: el resultado no puede leerse como una prueba de que el FMI esté equivocado, porque no se conoce la incertidumbre que el organismo asocia a su cifra, y el cálculo de esta tesis es mecánico, sin los ajustes de juicio que el equipo técnico puede aplicar a la suya.</w:t>
      </w:r>
    </w:p>
    <w:p>
      <w:pPr>
        <w:pStyle w:val="BodyText"/>
      </w:pPr>
      <w:r>
        <w:rPr>
          <w:bCs/>
          <w:b/>
        </w:rPr>
        <w:t xml:space="preserve">Federal y consolidada.</w:t>
      </w:r>
      <w:r>
        <w:t xml:space="preserve"> </w:t>
      </w:r>
      <w:r>
        <w:t xml:space="preserve">Consolidar con el BCRA baja el punto de partida a 52,1% del PIB. Su proporción en moneda extranjera es mayor, pero la deuda en moneda extranjera medida en puntos del PIB es menor. Con menos deuda expuesta a la tasa en dólares y a la depreciación real cabría esperar una probabilidad menor, y no ocurre: la de no estabilización de la deuda consolidada con el BCRA es 31,1% en 2031, por encima de la federal (27,7%), y el abanico es más ancho. La diferencia no puede atribuirse al perímetro, porque las dos estimaciones usan muestras distintas (la consolidada, desde 2002) y órdenes de rezagos distintos (sección 7.6). La reacción fiscal es parecida, con intervalos que se superponen (Tabla 6.1). Con la métrica anual, H1b lleva a la misma conclusión; con la definición operativa, la consolidada sí supera la cifra del FMI (11,0% [2,7; 20,2] en 2031), aunque con los intervalos poco confiables de esa extensión; H1a no se contrasta en la extensión, porque el reparto de la varianza no es estable (sección 6.6). La consolidación aporta, sobre todo, una medición distinta del</w:t>
      </w:r>
      <w:r>
        <w:t xml:space="preserve"> </w:t>
      </w:r>
      <w:r>
        <w:rPr>
          <w:iCs/>
          <w:i/>
        </w:rPr>
        <w:t xml:space="preserve">stock</w:t>
      </w:r>
      <w:r>
        <w:t xml:space="preserve"> </w:t>
      </w:r>
      <w:r>
        <w:t xml:space="preserve">expuesto a los</w:t>
      </w:r>
      <w:r>
        <w:t xml:space="preserve"> </w:t>
      </w:r>
      <w:r>
        <w:rPr>
          <w:iCs/>
          <w:i/>
        </w:rPr>
        <w:t xml:space="preserve">shocks</w:t>
      </w:r>
      <w:r>
        <w:t xml:space="preserve">, y una advertencia: el resultado de la probabilidad no es sensible al perímetro de manera previsible.</w:t>
      </w:r>
    </w:p>
    <w:bookmarkEnd w:id="111"/>
    <w:bookmarkStart w:id="118" w:name="X7b6dcdf9e1e567750029be8a049e3633abc5d7f"/>
    <w:p>
      <w:pPr>
        <w:pStyle w:val="Heading2"/>
      </w:pPr>
      <w:r>
        <w:t xml:space="preserve">7.2 Por qué el abanico es más angosto y, con la métrica anual, la probabilidad es mayor</w:t>
      </w:r>
    </w:p>
    <w:p>
      <w:pPr>
        <w:pStyle w:val="FirstParagraph"/>
      </w:pPr>
      <w:r>
        <w:t xml:space="preserve">El abanico del SVARX mide 40,5 puntos del PIB en 2031, contra 71,5 del FMI y 148,4 del procedimiento del FMI aplicado a la historia argentina, que comparte con el SVARX deuda, identidad y métricas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de la ventana 1996-2025. Fuente: elaboración propia." title="" id="113" name="Picture"/>
            <a:graphic>
              <a:graphicData uri="http://schemas.openxmlformats.org/drawingml/2006/picture">
                <pic:pic>
                  <pic:nvPicPr>
                    <pic:cNvPr descr="../tesis/figuras/fig7_1_abanico_svarx_vs_fmi.png" id="114" name="Picture"/>
                    <pic:cNvPicPr>
                      <a:picLocks noChangeArrowheads="1" noChangeAspect="1"/>
                    </pic:cNvPicPr>
                  </pic:nvPicPr>
                  <pic:blipFill>
                    <a:blip r:embed="rId11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Cs/>
          <w:i/>
        </w:rPr>
        <w:t xml:space="preserve">shocks</w:t>
      </w:r>
      <w:r>
        <w:t xml:space="preserve"> </w:t>
      </w:r>
      <w:r>
        <w:t xml:space="preserve">del SVARX y con</w:t>
      </w:r>
      <w:r>
        <w:t xml:space="preserve"> </w:t>
      </w:r>
      <w:r>
        <w:rPr>
          <w:iCs/>
          <w:i/>
        </w:rPr>
        <w:t xml:space="preserve">shocks</w:t>
      </w:r>
      <w:r>
        <w:t xml:space="preserve"> </w:t>
      </w:r>
      <w:r>
        <w:t xml:space="preserve">a la manera del FMI. Deuda federal bruta simulada, percentiles 5 y 95 y mediana (% del PIB); los</w:t>
      </w:r>
      <w:r>
        <w:t xml:space="preserve"> </w:t>
      </w:r>
      <w:r>
        <w:rPr>
          <w:iCs/>
          <w:i/>
        </w:rPr>
        <w:t xml:space="preserve">shocks</w:t>
      </w:r>
      <w:r>
        <w:t xml:space="preserve"> </w:t>
      </w:r>
      <w:r>
        <w:t xml:space="preserve">a la manera del FMI son bloques de dos años de desvíos históricos de los impulsores anuales de la ventana 1996-2025. Fuente: elaboración propia.</w:t>
      </w:r>
    </w:p>
    <w:p>
      <w:pPr>
        <w:pStyle w:val="BodyText"/>
      </w:pPr>
      <w:r>
        <w:t xml:space="preserve">El procedimiento del FMI mide los</w:t>
      </w:r>
      <w:r>
        <w:t xml:space="preserve"> </w:t>
      </w:r>
      <w:r>
        <w:rPr>
          <w:iCs/>
          <w:i/>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[ESM] (2023) señalan en su método: que la historia usada no sea representativa del futuro. La Tabla 7.1 repite la variante quitando 2002 o fijando cada impulsor en su media.</w:t>
      </w:r>
    </w:p>
    <w:p>
      <w:pPr>
        <w:pStyle w:val="CaptionedFigure"/>
      </w:pPr>
      <w:r>
        <w:drawing>
          <wp:inline>
            <wp:extent cx="5334000" cy="3505200"/>
            <wp:effectExtent b="0" l="0" r="0" t="0"/>
            <wp:docPr descr="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 title="" id="116" name="Picture"/>
            <a:graphic>
              <a:graphicData uri="http://schemas.openxmlformats.org/drawingml/2006/picture">
                <pic:pic>
                  <pic:nvPicPr>
                    <pic:cNvPr descr="../tesis/figuras/fig7_2_impulsores_historicos.png" id="117" name="Picture"/>
                    <pic:cNvPicPr>
                      <a:picLocks noChangeArrowheads="1" noChangeAspect="1"/>
                    </pic:cNvPicPr>
                  </pic:nvPicPr>
                  <pic:blipFill>
                    <a:blip r:embed="rId11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w:t>
      </w:r>
    </w:p>
    <w:p>
      <w:pPr>
        <w:pStyle w:val="BodyText"/>
      </w:pPr>
      <w:r>
        <w:rPr>
          <w:bCs/>
          <w:b/>
        </w:rPr>
        <w:t xml:space="preserve">Tabla 7.1. Diagnóstico de la variante con</w:t>
      </w:r>
      <w:r>
        <w:rPr>
          <w:bCs/>
          <w:b/>
        </w:rPr>
        <w:t xml:space="preserve"> </w:t>
      </w:r>
      <w:r>
        <w:rPr>
          <w:iCs/>
          <w:i/>
          <w:bCs/>
          <w:b/>
        </w:rPr>
        <w:t xml:space="preserve">shocks</w:t>
      </w:r>
      <w:r>
        <w:rPr>
          <w:bCs/>
          <w:b/>
        </w:rPr>
        <w:t xml:space="preserve"> </w:t>
      </w:r>
      <w:r>
        <w:rPr>
          <w:bCs/>
          <w:b/>
        </w:rPr>
        <w:t xml:space="preserve">a la manera del FMI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Variante</w:t>
            </w:r>
          </w:p>
        </w:tc>
        <w:tc>
          <w:tcPr/>
          <w:p>
            <w:pPr>
              <w:pStyle w:val="Compact"/>
              <w:jc w:val="left"/>
            </w:pPr>
            <w:r>
              <w:rPr>
                <w:rFonts w:ascii="Calibri" w:hAnsi="Calibri"/>
                <w:sz w:val="20"/>
              </w:rPr>
              <w:t xml:space="preserve">No estabilización 2031</w:t>
            </w:r>
          </w:p>
        </w:tc>
        <w:tc>
          <w:tcPr/>
          <w:p>
            <w:pPr>
              <w:pStyle w:val="Compact"/>
              <w:jc w:val="left"/>
            </w:pPr>
            <w:r>
              <w:rPr>
                <w:rFonts w:ascii="Calibri" w:hAnsi="Calibri"/>
                <w:sz w:val="20"/>
              </w:rPr>
              <w:t xml:space="preserve">No estabilización 2035</w:t>
            </w:r>
          </w:p>
        </w:tc>
        <w:tc>
          <w:tcPr/>
          <w:p>
            <w:pPr>
              <w:pStyle w:val="Compact"/>
              <w:jc w:val="left"/>
            </w:pPr>
            <w:r>
              <w:rPr>
                <w:rFonts w:ascii="Calibri" w:hAnsi="Calibri"/>
                <w:sz w:val="20"/>
              </w:rPr>
              <w:t xml:space="preserve">Ancho del abanico 2031</w:t>
            </w:r>
          </w:p>
        </w:tc>
      </w:tr>
      <w:tr>
        <w:tc>
          <w:tcPr/>
          <w:p>
            <w:pPr>
              <w:pStyle w:val="Compact"/>
              <w:jc w:val="left"/>
            </w:pPr>
            <w:r>
              <w:rPr>
                <w:rFonts w:ascii="Calibri" w:hAnsi="Calibri"/>
                <w:sz w:val="20"/>
              </w:rPr>
              <w:t xml:space="preserve">Todos los años de la ventana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r>
      <w:tr>
        <w:tc>
          <w:tcPr/>
          <w:p>
            <w:pPr>
              <w:pStyle w:val="Compact"/>
              <w:jc w:val="left"/>
            </w:pPr>
            <w:r>
              <w:rPr>
                <w:rFonts w:ascii="Calibri" w:hAnsi="Calibri"/>
                <w:sz w:val="20"/>
              </w:rPr>
              <w:t xml:space="preserve">Sin el año 2002</w:t>
            </w:r>
          </w:p>
        </w:tc>
        <w:tc>
          <w:tcPr/>
          <w:p>
            <w:pPr>
              <w:pStyle w:val="Compact"/>
              <w:jc w:val="left"/>
            </w:pPr>
            <w:r>
              <w:rPr>
                <w:rFonts w:ascii="Calibri" w:hAnsi="Calibri"/>
                <w:sz w:val="20"/>
              </w:rPr>
              <w:t xml:space="preserve">24,4%</w:t>
            </w:r>
          </w:p>
        </w:tc>
        <w:tc>
          <w:tcPr/>
          <w:p>
            <w:pPr>
              <w:pStyle w:val="Compact"/>
              <w:jc w:val="left"/>
            </w:pPr>
            <w:r>
              <w:rPr>
                <w:rFonts w:ascii="Calibri" w:hAnsi="Calibri"/>
                <w:sz w:val="20"/>
              </w:rPr>
              <w:t xml:space="preserve">21,9%</w:t>
            </w:r>
          </w:p>
        </w:tc>
        <w:tc>
          <w:tcPr/>
          <w:p>
            <w:pPr>
              <w:pStyle w:val="Compact"/>
              <w:jc w:val="left"/>
            </w:pPr>
            <w:r>
              <w:rPr>
                <w:rFonts w:ascii="Calibri" w:hAnsi="Calibri"/>
                <w:sz w:val="20"/>
              </w:rPr>
              <w:t xml:space="preserve">115,7</w:t>
            </w:r>
          </w:p>
        </w:tc>
      </w:tr>
      <w:tr>
        <w:tc>
          <w:tcPr/>
          <w:p>
            <w:pPr>
              <w:pStyle w:val="Compact"/>
              <w:jc w:val="left"/>
            </w:pPr>
            <w:r>
              <w:rPr>
                <w:rFonts w:ascii="Calibri" w:hAnsi="Calibri"/>
                <w:sz w:val="20"/>
              </w:rPr>
              <w:t xml:space="preserve">Depreciación real en su media</w:t>
            </w:r>
          </w:p>
        </w:tc>
        <w:tc>
          <w:tcPr/>
          <w:p>
            <w:pPr>
              <w:pStyle w:val="Compact"/>
              <w:jc w:val="left"/>
            </w:pPr>
            <w:r>
              <w:rPr>
                <w:rFonts w:ascii="Calibri" w:hAnsi="Calibri"/>
                <w:sz w:val="20"/>
              </w:rPr>
              <w:t xml:space="preserve">22,8%</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122,8</w:t>
            </w:r>
          </w:p>
        </w:tc>
      </w:tr>
      <w:tr>
        <w:tc>
          <w:tcPr/>
          <w:p>
            <w:pPr>
              <w:pStyle w:val="Compact"/>
              <w:jc w:val="left"/>
            </w:pPr>
            <w:r>
              <w:rPr>
                <w:rFonts w:ascii="Calibri" w:hAnsi="Calibri"/>
                <w:sz w:val="20"/>
              </w:rPr>
              <w:t xml:space="preserve">Tasa real efectiva en su media</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18,3%</w:t>
            </w:r>
          </w:p>
        </w:tc>
        <w:tc>
          <w:tcPr/>
          <w:p>
            <w:pPr>
              <w:pStyle w:val="Compact"/>
              <w:jc w:val="left"/>
            </w:pPr>
            <w:r>
              <w:rPr>
                <w:rFonts w:ascii="Calibri" w:hAnsi="Calibri"/>
                <w:sz w:val="20"/>
              </w:rPr>
              <w:t xml:space="preserve">92,3</w:t>
            </w:r>
          </w:p>
        </w:tc>
      </w:tr>
      <w:tr>
        <w:tc>
          <w:tcPr/>
          <w:p>
            <w:pPr>
              <w:pStyle w:val="Compact"/>
              <w:jc w:val="left"/>
            </w:pPr>
            <w:r>
              <w:rPr>
                <w:rFonts w:ascii="Calibri" w:hAnsi="Calibri"/>
                <w:sz w:val="20"/>
              </w:rPr>
              <w:t xml:space="preserve">Crecimiento en su media</w:t>
            </w:r>
          </w:p>
        </w:tc>
        <w:tc>
          <w:tcPr/>
          <w:p>
            <w:pPr>
              <w:pStyle w:val="Compact"/>
              <w:jc w:val="left"/>
            </w:pPr>
            <w:r>
              <w:rPr>
                <w:rFonts w:ascii="Calibri" w:hAnsi="Calibri"/>
                <w:sz w:val="20"/>
              </w:rPr>
              <w:t xml:space="preserve">30,0%</w:t>
            </w:r>
          </w:p>
        </w:tc>
        <w:tc>
          <w:tcPr/>
          <w:p>
            <w:pPr>
              <w:pStyle w:val="Compact"/>
              <w:jc w:val="left"/>
            </w:pPr>
            <w:r>
              <w:rPr>
                <w:rFonts w:ascii="Calibri" w:hAnsi="Calibri"/>
                <w:sz w:val="20"/>
              </w:rPr>
              <w:t xml:space="preserve">25,6%</w:t>
            </w:r>
          </w:p>
        </w:tc>
        <w:tc>
          <w:tcPr/>
          <w:p>
            <w:pPr>
              <w:pStyle w:val="Compact"/>
              <w:jc w:val="left"/>
            </w:pPr>
            <w:r>
              <w:rPr>
                <w:rFonts w:ascii="Calibri" w:hAnsi="Calibri"/>
                <w:sz w:val="20"/>
              </w:rPr>
              <w:t xml:space="preserve">129,7</w:t>
            </w:r>
          </w:p>
        </w:tc>
      </w:tr>
      <w:tr>
        <w:tc>
          <w:tcPr/>
          <w:p>
            <w:pPr>
              <w:pStyle w:val="Compact"/>
              <w:jc w:val="left"/>
            </w:pPr>
            <w:r>
              <w:rPr>
                <w:rFonts w:ascii="Calibri" w:hAnsi="Calibri"/>
                <w:sz w:val="20"/>
              </w:rPr>
              <w:t xml:space="preserve">Resultado primario en su media</w:t>
            </w:r>
          </w:p>
        </w:tc>
        <w:tc>
          <w:tcPr/>
          <w:p>
            <w:pPr>
              <w:pStyle w:val="Compact"/>
              <w:jc w:val="left"/>
            </w:pPr>
            <w:r>
              <w:rPr>
                <w:rFonts w:ascii="Calibri" w:hAnsi="Calibri"/>
                <w:sz w:val="20"/>
              </w:rPr>
              <w:t xml:space="preserve">24,2%</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155,9</w:t>
            </w:r>
          </w:p>
        </w:tc>
      </w:tr>
    </w:tbl>
    <w:p>
      <w:pPr>
        <w:pStyle w:val="BodyText"/>
      </w:pPr>
      <w:r>
        <w:t xml:space="preserve">Fuente: elaboración propia. Métrica anual; 20.000 trayectorias por variante, con los mismos números aleatorios que la Tabla 6.6.</w:t>
      </w:r>
    </w:p>
    <w:p>
      <w:pPr>
        <w:pStyle w:val="BodyText"/>
      </w:pPr>
      <w:r>
        <w:t xml:space="preserve">El ancho del abanico lo determinan unos pocos años extremos. Excluir el año 2002 lo reduce de 148,4 a 115,7 puntos, y fijar la tasa real efectiva en su media, a 92,3. La probabilidad se mueve mucho menos y no siempre en la misma dirección que el ancho. Sin el año 2002 casi no cambia (24,4%), porque los</w:t>
      </w:r>
      <w:r>
        <w:t xml:space="preserve"> </w:t>
      </w:r>
      <w:r>
        <w:rPr>
          <w:iCs/>
          <w:i/>
        </w:rPr>
        <w:t xml:space="preserve">shocks</w:t>
      </w:r>
      <w:r>
        <w:t xml:space="preserve"> </w:t>
      </w:r>
      <w:r>
        <w:t xml:space="preserve">de este procedimiento son desvíos respecto de la media histórica: la depreciación real media pasa de 3,0% a -2,0% y la proporción de años con depreciación por encima de la media sube de 28% a 43%. El abanico pierde su cola extrema y gana desvíos desfavorables moderados, que activan la métrica con más frecuencia. Fijar un impulsor en su media elimina sus desvíos en los dos sentidos, y como los impulsores están correlacionados (el crecimiento tiene una correlación de -0,48 con la depreciación real y de 0,42 con el resultado primario), el efecto sobre la probabilidad no puede anticiparse: con el crecimiento en su media sube a 30,0% y con la tasa real efectiva en su media baja a 20,5%.</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anual,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es decir, para que la deuda, con el resultado primario previsto, suba ese año, aunque la tendencia de varios años siga siendo descendente. La definición operativa del FMI evita ese efecto: promedia los</w:t>
      </w:r>
      <w:r>
        <w:t xml:space="preserve"> </w:t>
      </w:r>
      <w:r>
        <w:rPr>
          <w:iCs/>
          <w:i/>
        </w:rPr>
        <w:t xml:space="preserve">shocks</w:t>
      </w:r>
      <w:r>
        <w:t xml:space="preserve"> </w:t>
      </w:r>
      <w:r>
        <w:t xml:space="preserve">de toda la trayectoria y deja afuera el tipo de cambio real, y con ella la probabilidad del SVARX cae a 3,1% en 2031. Contribuye que en el escenario base la tasa real efectiva es menor que el crecimiento (M_T &lt; 1): el resultado primario que estabiliza la deuda es negativo y baja cuando la deuda sube, de modo que, si los</w:t>
      </w:r>
      <w:r>
        <w:t xml:space="preserve"> </w:t>
      </w:r>
      <w:r>
        <w:rPr>
          <w:iCs/>
          <w:i/>
        </w:rPr>
        <w:t xml:space="preserve">shocks</w:t>
      </w:r>
      <w:r>
        <w:t xml:space="preserve"> </w:t>
      </w:r>
      <w:r>
        <w:t xml:space="preserve">se promedian, una deuda más alta por depreciaciones anteriores hace la no estabilización menos probable y no más. Con los</w:t>
      </w:r>
      <w:r>
        <w:t xml:space="preserve"> </w:t>
      </w:r>
      <w:r>
        <w:rPr>
          <w:iCs/>
          <w:i/>
        </w:rPr>
        <w:t xml:space="preserve">shocks</w:t>
      </w:r>
      <w:r>
        <w:t xml:space="preserve"> </w:t>
      </w:r>
      <w:r>
        <w:t xml:space="preserve">a la manera del FMI la relación entre las métricas se invierte (29,1% con la definición operativa contra 24,1% con la anual): esos</w:t>
      </w:r>
      <w:r>
        <w:t xml:space="preserve"> </w:t>
      </w:r>
      <w:r>
        <w:rPr>
          <w:iCs/>
          <w:i/>
        </w:rPr>
        <w:t xml:space="preserve">shocks</w:t>
      </w:r>
      <w:r>
        <w:t xml:space="preserve"> </w:t>
      </w:r>
      <w:r>
        <w:t xml:space="preserve">son desvíos persistentes respecto de una media de largo plazo, que el promedio no cancela. Entre las dos queda la medida que exige que la deuda suba en dos años: la probabilidad de que la deuda de 2031 supere a la de 2029 es 20,0% [17,3; 26,7]. Esa medida no se compara con la cifra del FMI, porque mide otra cosa, pero muestra que una parte de las subas que capta la métrica anual dura más de un año. La métrica anual se interpreta, además, con cautela en 2035, donde su relación con el superávit deja de ser monótona (sección 6.3).</w:t>
      </w:r>
    </w:p>
    <w:bookmarkEnd w:id="118"/>
    <w:bookmarkStart w:id="119" w:name="el-papel-del-superávit-primario"/>
    <w:p>
      <w:pPr>
        <w:pStyle w:val="Heading2"/>
      </w:pPr>
      <w:r>
        <w:t xml:space="preserve">7.3 El papel del superávit primario</w:t>
      </w:r>
    </w:p>
    <w:p>
      <w:pPr>
        <w:pStyle w:val="FirstParagraph"/>
      </w:pPr>
      <w:r>
        <w:t xml:space="preserve">El resultado primario respondió a la deuda en la ventana 1996-2025, como pide la condición de Bohn (1998), pero el bloque fiscal explica una fracción mínima de la varianza de la deuda en 2035 (1,6%), y los bloques externo y cambiario y de riesgo, casi nueve décimas (59,4% y 28,3%). La cifra fiscal depende en parte de las binarias presidenciales, que absorben variación del resultado primario: sin ellas, la diferencia a favor de los</w:t>
      </w:r>
      <w:r>
        <w:t xml:space="preserve"> </w:t>
      </w:r>
      <w:r>
        <w:rPr>
          <w:iCs/>
          <w:i/>
        </w:rPr>
        <w:t xml:space="preserve">shocks</w:t>
      </w:r>
      <w:r>
        <w:t xml:space="preserve"> </w:t>
      </w:r>
      <w:r>
        <w:t xml:space="preserve">no fiscales sigue excluyendo el cero, pero baja de 96,8 a 77,9 puntos [67,3; 99,4]. Por eso la conclusión relevante es el orden de magnitud y no la cifra puntual. La identificación usa restricciones de impacto en la línea de Blanchard y Perotti (2002) para el bloque fiscal y de actividad, con un bloque cambiario y de riesgo (EMBI y TCRM) identificado en conjunto, y la conclusión no depende de ella: en la variante de robustez en la que el</w:t>
      </w:r>
      <w:r>
        <w:t xml:space="preserve"> </w:t>
      </w:r>
      <w:r>
        <w:rPr>
          <w:iCs/>
          <w:i/>
        </w:rPr>
        <w:t xml:space="preserve">shock</w:t>
      </w:r>
      <w:r>
        <w:t xml:space="preserve"> </w:t>
      </w:r>
      <w:r>
        <w:t xml:space="preserve">fiscal absorbe toda la covarianza con el crecimiento, la diferencia a favor de los</w:t>
      </w:r>
      <w:r>
        <w:t xml:space="preserve"> </w:t>
      </w:r>
      <w:r>
        <w:rPr>
          <w:iCs/>
          <w:i/>
        </w:rPr>
        <w:t xml:space="preserve">shocks</w:t>
      </w:r>
      <w:r>
        <w:t xml:space="preserve"> </w:t>
      </w:r>
      <w:r>
        <w:t xml:space="preserve">no fiscales sigue excluyendo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desplazamiento uniforme del superávit que lleve el de 2031 al mejor año de la ventana, 3,29% del PIB en 2004, deja sin estabilizar la deuda de 2031 en casi una de cada cuatro trayectorias con la métrica anual (23,0%), y llevar la probabilidad a la cifra del FMI exigiría un superávit cercano al 9% del PIB todos los años, casi el triple del máximo y sin precedentes en la historia argentina. Con la definición operativa del FMI, en cambio, ese mismo superávit baja la probabilidad a 0,9%, debajo de la cifra del organismo: con esa métrica, la conclusión de que el superávit no basta no se sostiene. El superávit es necesario, y el escenario del FMI se apoya en él, pero no controla las fuentes de riesgo que dominan la varianza.</w:t>
      </w:r>
    </w:p>
    <w:bookmarkEnd w:id="119"/>
    <w:bookmarkStart w:id="120" w:name="el-shock-de-la-fed"/>
    <w:p>
      <w:pPr>
        <w:pStyle w:val="Heading2"/>
      </w:pPr>
      <w:r>
        <w:t xml:space="preserve">7.4 El</w:t>
      </w:r>
      <w:r>
        <w:t xml:space="preserve"> </w:t>
      </w:r>
      <w:r>
        <w:rPr>
          <w:iCs/>
          <w:i/>
        </w:rPr>
        <w:t xml:space="preserve">shock</w:t>
      </w:r>
      <w:r>
        <w:t xml:space="preserve"> </w:t>
      </w:r>
      <w:r>
        <w:t xml:space="preserve">de la FED</w:t>
      </w:r>
    </w:p>
    <w:p>
      <w:pPr>
        <w:pStyle w:val="FirstParagraph"/>
      </w:pPr>
      <w:r>
        <w:t xml:space="preserve">H2 queda parcialmente respaldada: en su efecto sobre la probabilidad en el escenario de la senda de 2022-2025, y no en su mecanismo ni en la deuda esperada de ese escenario. Repetir la senda de la tasa de política monetaria de la Reserva Federal (FED) de 2022-2025 eleva la probabilidad de no estabilización en 2035, con la métrica anual, en 18,4 puntos; el efecto resiste la corrección por contrastes múltiples y se sostiene en 20 de las 21 especificaciones (la excepción son los datos desde 2004). Con la definición operativa del FMI el efecto es parecido, 17,1 puntos [0,6; 32,6], pero no resiste Bonferroni. El efecto sobre la deuda esperada, +19,3 puntos del PIB, tiene un intervalo de [-0,3; 31,3] que incluye el cero por un margen mínimo, no resiste Bonferroni y excluye el cero en 11 de las 21 especificaciones (en 7 lo incluye, en una el límite inferior es 0,00 y en dos no se informa). El escenario de un desvío estándar cumple el criterio en la especificación principal, con un efecto pequeño (1,9 puntos de probabilidad), pero no resiste Bonferroni.</w:t>
      </w:r>
    </w:p>
    <w:p>
      <w:pPr>
        <w:pStyle w:val="BodyText"/>
      </w:pPr>
      <w:r>
        <w:t xml:space="preserve">El 77% del aumento de la deuda en 2035 (14,8 de 19,3 puntos) viene del mayor costo de la deuda en dólares, que el modelo incorpora por construcción a través de la identidad. El resto proviene de las respuestas del riesgo país, medido por el diferencial del índice EMBI de J.P. Morgan para Argentina (EMBI), del tipo de cambio real multilateral (TCRM) y del crecimiento. Con las binarias presidenciales, el EMBI responde a la FED cuatro a seis trimestres después del</w:t>
      </w:r>
      <w:r>
        <w:t xml:space="preserve"> </w:t>
      </w:r>
      <w:r>
        <w:rPr>
          <w:iCs/>
          <w:i/>
        </w:rPr>
        <w:t xml:space="preserve">shock</w:t>
      </w:r>
      <w:r>
        <w:t xml:space="preserve"> </w:t>
      </w:r>
      <w:r>
        <w:t xml:space="preserve">con intervalos que excluyen el cero (sección 6.1), un canal que la teoría predice; las respuestas del TCRM, con signo de apreciación real, son contrarias a lo esperado, y las del resultado primario, de signo cambiante, no tienen interpretación clara. Uribe y Yue (2006) y Canova (2005) documentan esos canales con paneles y muestras más largas; una sola serie trimestral argentina de treinta años no permite medirlos con precisión. El bloque externo es el de mayor participación en la varianza de la deuda, pero dentro de él pesa más el VIX que la tasa de la FED: la FED explica 13,3% de la varianza y solo 7,6% por el costo directo (Tabla 6.3). La magnitud del efecto de la senda de la FED depende, además, de las binarias presidenciales: sin ellas es de +9,7 puntos de probabilidad y +9,2 de deuda (Tabla 6.6).</w:t>
      </w:r>
    </w:p>
    <w:bookmarkEnd w:id="120"/>
    <w:bookmarkStart w:id="121" w:name="diálogo-con-la-literatura"/>
    <w:p>
      <w:pPr>
        <w:pStyle w:val="Heading2"/>
      </w:pPr>
      <w:r>
        <w:t xml:space="preserve">7.5 Diálogo con la literatura</w:t>
      </w:r>
    </w:p>
    <w:p>
      <w:pPr>
        <w:numPr>
          <w:ilvl w:val="0"/>
          <w:numId w:val="1005"/>
        </w:numPr>
        <w:pStyle w:val="Compact"/>
      </w:pPr>
      <w:r>
        <w:rPr>
          <w:bCs/>
          <w:b/>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Cs/>
          <w:i/>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numPr>
          <w:ilvl w:val="0"/>
          <w:numId w:val="1005"/>
        </w:numPr>
        <w:pStyle w:val="Compact"/>
      </w:pPr>
      <w:r>
        <w:rPr>
          <w:bCs/>
          <w:b/>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numPr>
          <w:ilvl w:val="0"/>
          <w:numId w:val="1005"/>
        </w:numPr>
        <w:pStyle w:val="Compact"/>
      </w:pPr>
      <w:r>
        <w:rPr>
          <w:bCs/>
          <w:b/>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21"/>
    <w:bookmarkStart w:id="122" w:name="limitaciones"/>
    <w:p>
      <w:pPr>
        <w:pStyle w:val="Heading2"/>
      </w:pPr>
      <w:r>
        <w:t xml:space="preserve">7.6 Limitaciones</w:t>
      </w:r>
    </w:p>
    <w:p>
      <w:pPr>
        <w:numPr>
          <w:ilvl w:val="0"/>
          <w:numId w:val="1006"/>
        </w:numPr>
        <w:pStyle w:val="Compact"/>
      </w:pPr>
      <w:r>
        <w:rPr>
          <w:bCs/>
          <w:b/>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numPr>
          <w:ilvl w:val="0"/>
          <w:numId w:val="1006"/>
        </w:numPr>
        <w:pStyle w:val="Compact"/>
      </w:pPr>
      <w:r>
        <w:rPr>
          <w:bCs/>
          <w:b/>
        </w:rPr>
        <w:t xml:space="preserve">Retroalimentación anual.</w:t>
      </w:r>
      <w:r>
        <w:t xml:space="preserve"> </w:t>
      </w:r>
      <w:r>
        <w:t xml:space="preserve">La deuda vuelve al sistema al cierre de cada año; dentro del año, las ecuaciones usan la del cierre anterior.</w:t>
      </w:r>
    </w:p>
    <w:p>
      <w:pPr>
        <w:numPr>
          <w:ilvl w:val="0"/>
          <w:numId w:val="1006"/>
        </w:numPr>
        <w:pStyle w:val="Compact"/>
      </w:pPr>
      <w:r>
        <w:rPr>
          <w:bCs/>
          <w:b/>
        </w:rPr>
        <w:t xml:space="preserve">Composición por monedas fija.</w:t>
      </w:r>
      <w:r>
        <w:t xml:space="preserve"> </w:t>
      </w:r>
      <w:r>
        <w:t xml:space="preserve">Si la depreciación real eleva la proporción en moneda extranjera, el riesgo cambiario está subestimado, como en el FMI.</w:t>
      </w:r>
    </w:p>
    <w:p>
      <w:pPr>
        <w:numPr>
          <w:ilvl w:val="0"/>
          <w:numId w:val="1006"/>
        </w:numPr>
        <w:pStyle w:val="Compact"/>
      </w:pPr>
      <w:r>
        <w:rPr>
          <w:bCs/>
          <w:b/>
        </w:rPr>
        <w:t xml:space="preserve">Variables externas.</w:t>
      </w:r>
      <w:r>
        <w:t xml:space="preserve"> </w:t>
      </w:r>
      <w:r>
        <w:t xml:space="preserve">Los procesos AR(1) del VIX y de la FED no se reestiman en cada réplica del</w:t>
      </w:r>
      <w:r>
        <w:t xml:space="preserve"> </w:t>
      </w:r>
      <w:r>
        <w:rPr>
          <w:iCs/>
          <w:i/>
        </w:rPr>
        <w:t xml:space="preserve">bootstrap</w:t>
      </w:r>
      <w:r>
        <w:t xml:space="preserve">, y el VIX no responde a la FED.</w:t>
      </w:r>
    </w:p>
    <w:p>
      <w:pPr>
        <w:numPr>
          <w:ilvl w:val="0"/>
          <w:numId w:val="1006"/>
        </w:numPr>
        <w:pStyle w:val="Compact"/>
      </w:pPr>
      <w:r>
        <w:rPr>
          <w:bCs/>
          <w:b/>
        </w:rPr>
        <w:t xml:space="preserve">Quiebres.</w:t>
      </w:r>
      <w:r>
        <w:t xml:space="preserve"> </w:t>
      </w:r>
      <w:r>
        <w:t xml:space="preserve">Sus fechas se estiman sobre la serie de deuda y se toman como conocidas; solo mueven el nivel de las ecuaciones, y el régimen posterior a 2024 casi no está en la muestra. El de 2001T4 lo reemplazan las binarias presidenciales, y los quiebres se recalculan al reestimar con otra muestra.</w:t>
      </w:r>
    </w:p>
    <w:p>
      <w:pPr>
        <w:numPr>
          <w:ilvl w:val="0"/>
          <w:numId w:val="1006"/>
        </w:numPr>
        <w:pStyle w:val="Compact"/>
      </w:pPr>
      <w:r>
        <w:rPr>
          <w:bCs/>
          <w:b/>
        </w:rPr>
        <w:t xml:space="preserve">Binarias presidenciales y grados de libertad.</w:t>
      </w:r>
      <w:r>
        <w:t xml:space="preserve"> </w:t>
      </w:r>
      <w:r>
        <w:t xml:space="preserve">La binaria de la administración Milei se apoya en nueve trimestres (2023T4-2025T4), de modo que su efecto sobre el nivel de cada ecuación se estima con muy pocas observaciones, y las siete binarias consumen grados de libertad en las cuatro ecuaciones. Como la simulación se hace en desvíos respecto del escenario base, no alteran la proyección 2026-2035, pero su precisión es limitada. Las binarias absorben diferencias de nivel entre gobiernos y no diferencias en la reacción fiscal, que exigirían más observaciones por mandato. La especificación sin binarias se informa en la sección 6.6; sus resultados no alteran la condición (i) de H1a ni el veredicto de H1b con cada métrica, pero reducen a la mitad el efecto de la senda de la FED, de modo que la magnitud de ese efecto depende de esa especificación.</w:t>
      </w:r>
    </w:p>
    <w:p>
      <w:pPr>
        <w:numPr>
          <w:ilvl w:val="0"/>
          <w:numId w:val="1006"/>
        </w:numPr>
        <w:pStyle w:val="Compact"/>
      </w:pPr>
      <w:r>
        <w:rPr>
          <w:bCs/>
          <w:b/>
        </w:rPr>
        <w:t xml:space="preserve">Series construidas antes de 2004.</w:t>
      </w:r>
      <w:r>
        <w:t xml:space="preserve"> </w:t>
      </w:r>
      <w:r>
        <w:t xml:space="preserve">La muestra incluye 1998T2-2003T4, años en los que el PIB real proviene de un empalme entre bases del INDEC, la deuda de 1996-1997 se interpola en los trimestres que no son de diciembre (solo para detectar quiebres) y el EMBI y el TCRM se reconstruyen con variables puente. Los errores de medición de esos años pueden afectar los coeficientes del tramo de la Convertibilidad y su crisis; la estimación desde 2004 (Tabla 6.6) mantiene H1a y H1b.</w:t>
      </w:r>
    </w:p>
    <w:p>
      <w:pPr>
        <w:numPr>
          <w:ilvl w:val="0"/>
          <w:numId w:val="1006"/>
        </w:numPr>
        <w:pStyle w:val="Compact"/>
      </w:pPr>
      <w:r>
        <w:rPr>
          <w:bCs/>
          <w:b/>
        </w:rPr>
        <w:t xml:space="preserve">Empalmes de 1996-1998.</w:t>
      </w:r>
      <w:r>
        <w:t xml:space="preserve"> </w:t>
      </w:r>
      <w:r>
        <w:t xml:space="preserve">El EMBI de 1996T1-1998T3 y el TCRM de 1996 no tienen dato publicado y se reconstruyen con variables puente (Apéndice, sección A.2). Su peso en la estimación es pequeño: como la muestra empieza en 1998T2, el TCRM de 1996 no entra, y el EMBI reconstruido solo aparece en 1998T2-1998T3 y como rezago en 1997T4-1998T1; el TCRM de 1996 sí entra en la variante a la manera del FMI, para calcular la depreciación real de 1997. En la validación fuera de muestra el empalme del EMBI acierta el nivel y subestima el salto de 2001, de modo que, si sesga, atenúa la volatilidad de esos años y vuelve conservadoras las probabilidades. Con datos desde 1999, sin empalme, la probabilidad de no estabilización en 2031 es 29,5% [22,5; 36,7], contra 27,7% con la ventana completa (métrica anual), y la condición (i) de H1a y el efecto de la FED sobre la probabilidad no cambian (sección 6.6). El empalme se apoya en 12 observaciones superpuestas y su error de predicción es grande (102 puntos básicos), de modo que cualquier uso del EMBI de 1996-1998 es aproximado.</w:t>
      </w:r>
    </w:p>
    <w:p>
      <w:pPr>
        <w:numPr>
          <w:ilvl w:val="0"/>
          <w:numId w:val="1006"/>
        </w:numPr>
        <w:pStyle w:val="Compact"/>
      </w:pPr>
      <w:r>
        <w:rPr>
          <w:bCs/>
          <w:b/>
        </w:rPr>
        <w:t xml:space="preserve">Definición operativa de la métrica.</w:t>
      </w:r>
      <w:r>
        <w:t xml:space="preserve"> </w:t>
      </w:r>
      <w:r>
        <w:t xml:space="preserve">El FMI no publica el cálculo con que obtiene su probabilidad de no estabilización. La tesis sigue el recuadro 3 de su guía (FMI, 2022), con los impulsores del escenario en el año final más el desvío promedio de la trayectoria; la lectura literal, que promedia también el escenario, da probabilidades aún menores (0,0% en 2031 y 0,9% en 2035). Las dos llevan al mismo veredicto sobre H1b.</w:t>
      </w:r>
    </w:p>
    <w:p>
      <w:pPr>
        <w:numPr>
          <w:ilvl w:val="0"/>
          <w:numId w:val="1006"/>
        </w:numPr>
        <w:pStyle w:val="Compact"/>
      </w:pPr>
      <w:r>
        <w:rPr>
          <w:bCs/>
          <w:b/>
        </w:rPr>
        <w:t xml:space="preserve">Rezagos y autocorrelación residual.</w:t>
      </w:r>
      <w:r>
        <w:t xml:space="preserve"> </w:t>
      </w:r>
      <w:r>
        <w:t xml:space="preserve">El criterio de Schwarz elige un rezago, pero con ese orden hay autocorrelación en los residuos; se adopta el orden de dos rezagos, el estable de mayor p-valor del Portmanteau (0,031), que sigue por debajo del 5%. Los resultados con tres rezagos están en la Tabla 6.6, y con uno y con tres, en el Apéndice A.10, y no cambian la condición (i) de H1a ni el veredicto de H1b con cada métrica.</w:t>
      </w:r>
    </w:p>
    <w:p>
      <w:pPr>
        <w:numPr>
          <w:ilvl w:val="0"/>
          <w:numId w:val="1006"/>
        </w:numPr>
        <w:pStyle w:val="Compact"/>
      </w:pPr>
      <w:r>
        <w:rPr>
          <w:bCs/>
          <w:b/>
        </w:rPr>
        <w:t xml:space="preserve">Media de la deuda simulada.</w:t>
      </w:r>
      <w:r>
        <w:t xml:space="preserve"> </w:t>
      </w:r>
      <w:r>
        <w:t xml:space="preserve">La media de la deuda en 2035 es sensible a trayectorias explosivas en una parte de las réplicas (más de un tercio en la consolidada y 32 de 1.000 con los datos desde 2004), de modo que las conclusiones se apoyan sobre todo en las probabilidades.</w:t>
      </w:r>
    </w:p>
    <w:p>
      <w:pPr>
        <w:numPr>
          <w:ilvl w:val="0"/>
          <w:numId w:val="1006"/>
        </w:numPr>
        <w:pStyle w:val="Compact"/>
      </w:pPr>
      <w:r>
        <w:rPr>
          <w:bCs/>
          <w:b/>
        </w:rPr>
        <w:t xml:space="preserve">Muestra y normalidad.</w:t>
      </w:r>
      <w:r>
        <w:t xml:space="preserve"> </w:t>
      </w:r>
      <w:r>
        <w:t xml:space="preserve">Con una sola serie trimestral de treinta años, los efectos de la FED y de la retroalimentación tienen intervalos amplios. Los residuos rechazan la normalidad; el remuestreo evita suponerla, pero la inferencia descansa en el</w:t>
      </w:r>
      <w:r>
        <w:t xml:space="preserve"> </w:t>
      </w:r>
      <w:r>
        <w:rPr>
          <w:iCs/>
          <w:i/>
        </w:rPr>
        <w:t xml:space="preserve">bootstrap</w:t>
      </w:r>
      <w:r>
        <w:t xml:space="preserve">.</w:t>
      </w:r>
    </w:p>
    <w:p>
      <w:pPr>
        <w:numPr>
          <w:ilvl w:val="0"/>
          <w:numId w:val="1006"/>
        </w:numPr>
        <w:pStyle w:val="Compact"/>
      </w:pPr>
      <w:r>
        <w:rPr>
          <w:bCs/>
          <w:b/>
        </w:rPr>
        <w:t xml:space="preserve">Extensión consolidada.</w:t>
      </w:r>
      <w:r>
        <w:t xml:space="preserve"> </w:t>
      </w:r>
      <w:r>
        <w:t xml:space="preserve">Usa el escenario del FMI construido para la deuda federal bruta, con el ajuste stock-flujo y la inflación relativa escalados, y su serie histórica no descuenta los títulos en poder del FGS. Se estima desde 2002, con una muestra efectiva más corta que la de la especificación principal (el Apéndice, sección A.4, da el número de observaciones y el orden del VAR, que se selecciona de nuevo para esa muestra). Las dos estimaciones no cubren el mismo período, de modo que sus diferencias mezclan el perímetro de la deuda con la muestra.</w:t>
      </w:r>
    </w:p>
    <w:p>
      <w:pPr>
        <w:numPr>
          <w:ilvl w:val="0"/>
          <w:numId w:val="1006"/>
        </w:numPr>
        <w:pStyle w:val="Compact"/>
      </w:pPr>
      <w:r>
        <w:rPr>
          <w:iCs/>
          <w:i/>
          <w:bCs/>
          <w:b/>
        </w:rPr>
        <w:t xml:space="preserve">Shock</w:t>
      </w:r>
      <w:r>
        <w:rPr>
          <w:bCs/>
          <w:b/>
        </w:rPr>
        <w:t xml:space="preserve"> </w:t>
      </w:r>
      <w:r>
        <w:rPr>
          <w:bCs/>
          <w:b/>
        </w:rPr>
        <w:t xml:space="preserve">de la FED.</w:t>
      </w:r>
      <w:r>
        <w:t xml:space="preserve"> </w:t>
      </w:r>
      <w:r>
        <w:t xml:space="preserve">Es la variación observada de la tasa y no un</w:t>
      </w:r>
      <w:r>
        <w:t xml:space="preserve"> </w:t>
      </w:r>
      <w:r>
        <w:rPr>
          <w:iCs/>
          <w:i/>
        </w:rPr>
        <w:t xml:space="preserve">shock</w:t>
      </w:r>
      <w:r>
        <w:t xml:space="preserve"> </w:t>
      </w:r>
      <w:r>
        <w:t xml:space="preserve">monetario identificado con datos de alta frecuencia.</w:t>
      </w:r>
    </w:p>
    <w:bookmarkEnd w:id="122"/>
    <w:bookmarkEnd w:id="123"/>
    <w:bookmarkStart w:id="124"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 1996-2025 sobre la deuda federal bruta, que es el perímetro del análisis de sostenibilidad del FMI, y se lo usó para simular la deuda alrededor del escenario base más reciente del FMI (2026), desde su mismo punto de partida, y la no estabilización se midió con una métrica anual y con la definición operativa del FMI. Las variables endógenas son el resultado primario, el crecimiento,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identificaron con restricciones de impacto en la línea de Blanchard y Perotti (2002) para el bloque fiscal y de actividad, con un bloque cambiario y de riesgo (EMBI y TCRM) identificado en conjunto. Como extensión, el ejercicio se repitió con la deuda consolidada con el BCRA.</w:t>
      </w:r>
    </w:p>
    <w:p>
      <w:pPr>
        <w:pStyle w:val="BodyText"/>
      </w:pPr>
      <w:r>
        <w:rPr>
          <w:bCs/>
          <w:b/>
        </w:rPr>
        <w:t xml:space="preserve">H1a.</w:t>
      </w:r>
      <w:r>
        <w:t xml:space="preserve"> </w:t>
      </w:r>
      <w:r>
        <w:t xml:space="preserve">Los</w:t>
      </w:r>
      <w:r>
        <w:t xml:space="preserve"> </w:t>
      </w:r>
      <w:r>
        <w:rPr>
          <w:iCs/>
          <w:i/>
        </w:rPr>
        <w:t xml:space="preserve">shocks</w:t>
      </w:r>
      <w:r>
        <w:t xml:space="preserve"> </w:t>
      </w:r>
      <w:r>
        <w:t xml:space="preserve">no fiscales explican la mayor parte de la incertidumbre sobre la deuda de 2035: su contribución a la varianza supera a la del</w:t>
      </w:r>
      <w:r>
        <w:t xml:space="preserve"> </w:t>
      </w:r>
      <w:r>
        <w:rPr>
          <w:iCs/>
          <w:i/>
        </w:rPr>
        <w:t xml:space="preserve">shock</w:t>
      </w:r>
      <w:r>
        <w:t xml:space="preserve"> </w:t>
      </w:r>
      <w:r>
        <w:t xml:space="preserve">fiscal en 96,8 puntos, con un intervalo de 90% de 90,8 a 99,8. El bloque externo (FED y VIX) aporta 59,4% de la varianza y el cambiario y de riesgo, 28,3%, frente a 1,6% del fiscal. La primera condición de H1a se cumple en las 20 especificaciones en que se informa; el menor límite inferior, 67,3 puntos, corresponde a la variante sin binarias presidenciales, en la que la diferencia es de 77,9 puntos: la cifra fiscal es tan baja en la especificación principal en parte porque esas binarias absorben variación del resultado primario, de modo que lo robusto es el orden de magnitud y no el valor puntual. La política fiscal respondió a la deuda en el período: el coeficiente de impacto de la deuda rezagada sobre el resultado primario trimestral es 0,0466, con un intervalo de 0,0231 a 0,0835, y el de largo plazo, 0,079 (0,062 a 0,147). La segunda condición de H1a, la suficiencia del superávit, se cumple con la métrica anual: con un desplazamiento uniforme del resultado primario que lleve el de 2031 a su máximo anual de 1996-2025 (3,29% del PIB, en 2004; el de 2026 quedaría en 2,39%), la probabilidad de no estabilización en 2031 sería de 23,0% (21,6% con el máximo de la serie con rentas, 3,58%), muy por encima del 1% del FMI, y llevarla a esa cifra requeriría sumar 7,25 puntos al resultado primario del escenario en todos los años (8,65% del PIB en 2026 y 9,55% en 2031). Con la definición operativa del FMI no se cumple: con el resultado primario de 2031 en su máximo histórico, la probabilidad baja a 0,9%. H1a queda respaldada con la métrica anual; con la definición operativa se sostiene solo la parte que no depende de la métrica, el predominio de los</w:t>
      </w:r>
      <w:r>
        <w:t xml:space="preserve"> </w:t>
      </w:r>
      <w:r>
        <w:rPr>
          <w:iCs/>
          <w:i/>
        </w:rPr>
        <w:t xml:space="preserve">shocks</w:t>
      </w:r>
      <w:r>
        <w:t xml:space="preserve"> </w:t>
      </w:r>
      <w:r>
        <w:t xml:space="preserve">no fiscales en la incertidumbre.</w:t>
      </w:r>
    </w:p>
    <w:p>
      <w:pPr>
        <w:pStyle w:val="BodyText"/>
      </w:pPr>
      <w:r>
        <w:rPr>
          <w:bCs/>
          <w:b/>
        </w:rPr>
        <w:t xml:space="preserve">H1b.</w:t>
      </w:r>
      <w:r>
        <w:t xml:space="preserve"> </w:t>
      </w:r>
      <w:r>
        <w:t xml:space="preserve">Con la métrica anual, la probabilidad de que la deuda federal bruta no se estabilice es de 27,7% en 2031 (intervalo de 90%: 20,6% a 34,7%) y de 29,0% en 2035 (25,0% a 36,1%), frente a alrededor de 1% y menos de 3% en el análisis del FMI con el mismo perímetro, punto de partida y escenario. Los límites inferiores superan las cifras del FMI con la corrección de Bonferroni (19,0% y 24,1%) y en las 21 especificaciones; el menor, 16,2%, corresponde a la variante de tres rezagos. Con la definición operativa del FMI, la probabilidad es de 3,1% en 2031 (0,0% a 6,3%) y de 5,1% en 2035 (0,0% a 10,2%): las estimaciones centrales superan las cifras del FMI, pero los intervalos las incluyen, y el límite inferior las supera solo en 2 de las 21 especificaciones. H1b queda respaldada con la métrica anual y no respaldada con la definición operativa del FMI. En el SVARX, la diferencia entre las dos proviene de que la anual recoge la volatilidad de un solo año, incluida la valuación de la deuda en moneda extranjera, y la operativa la promedia. Con la métrica anual, además, las cifras del FMI son una referencia calculada con otra definición, de modo que ese veredicto no prueba que el organismo subestime el riesgo. Con el procedimiento de</w:t>
      </w:r>
      <w:r>
        <w:t xml:space="preserve"> </w:t>
      </w:r>
      <w:r>
        <w:rPr>
          <w:iCs/>
          <w:i/>
        </w:rPr>
        <w:t xml:space="preserve">shocks</w:t>
      </w:r>
      <w:r>
        <w:t xml:space="preserve"> </w:t>
      </w:r>
      <w:r>
        <w:t xml:space="preserve">del FMI aplicado a los impulsores anuales de la historia argentina, la probabilidad de 2031 es de 24,1% con la métrica anual y de 29,1% con la definición operativa, de modo que con la historia argentina tampoco se reproduce el 1%. La tesis no atribuye la diferencia con el organismo a una causa que no puede verificar, porque el FMI no publica su distribución de</w:t>
      </w:r>
      <w:r>
        <w:t xml:space="preserve"> </w:t>
      </w:r>
      <w:r>
        <w:rPr>
          <w:iCs/>
          <w:i/>
        </w:rPr>
        <w:t xml:space="preserve">shocks</w:t>
      </w:r>
      <w:r>
        <w:t xml:space="preserve">, y la comparación es asimétrica, porque su cifra no tiene intervalo (sección 7.1). Con la métrica anual, el resultado no depende de los empalmes del EMBI y del TCRM en 1996-1998 (Capítulo 5): con datos desde 1999, la probabilidad de 2031 es de 29,5%.</w:t>
      </w:r>
    </w:p>
    <w:p>
      <w:pPr>
        <w:pStyle w:val="BodyText"/>
      </w:pPr>
      <w:r>
        <w:rPr>
          <w:bCs/>
          <w:b/>
        </w:rPr>
        <w:t xml:space="preserve">H2.</w:t>
      </w:r>
      <w:r>
        <w:t xml:space="preserve"> </w:t>
      </w:r>
      <w:r>
        <w:t xml:space="preserve">Repetir en 2026-2029 la senda de la tasa de la FED de 2022-2025, que deja su nivel 3,82 puntos por encima del escenario base desde 2030, eleva la probabilidad de no estabilización de 2035 en 18,4 puntos (6,3 a 29,1; con la definición operativa del FMI, 17,1 puntos, de 0,6 a 32,6) y la deuda esperada de 2035 en 19,3 puntos del PIB (-0,3 a 31,3). Un nivel de la tasa 0,501 puntos más alto en forma permanente las eleva en 1,9 puntos (0,3 a 3,2) y 2,0 puntos del PIB (0,4 a 3,2). H2 queda parcialmente respaldada. El efecto de la senda de 2022-2025 sobre la probabilidad resiste la corrección de Bonferroni (4,1 a 30,8) y excluye el cero en 20 de las 21 especificaciones; la excepción son los datos desde 2004. El efecto de esa senda sobre la deuda esperada no excluye el cero por un margen mínimo en la especificación principal, no resiste Bonferroni y lo excluye en 11 de 21 (en 7 lo incluye, en una el límite inferior es 0,00 y en dos no se informa); el del nivel más alto en forma permanente cumple el criterio pero es pequeño y tampoco resiste esa corrección. Los canales por los que opera el</w:t>
      </w:r>
      <w:r>
        <w:t xml:space="preserve"> </w:t>
      </w:r>
      <w:r>
        <w:rPr>
          <w:iCs/>
          <w:i/>
        </w:rPr>
        <w:t xml:space="preserve">shock</w:t>
      </w:r>
      <w:r>
        <w:t xml:space="preserve"> </w:t>
      </w:r>
      <w:r>
        <w:t xml:space="preserve">(sección 4.3) se verifican solo en parte: de 84 intervalos de respuesta, 11 excluyen el cero, entre ellos tres del EMBI de cuatro a seis trimestres después del</w:t>
      </w:r>
      <w:r>
        <w:t xml:space="preserve"> </w:t>
      </w:r>
      <w:r>
        <w:rPr>
          <w:iCs/>
          <w:i/>
        </w:rPr>
        <w:t xml:space="preserve">shock</w:t>
      </w:r>
      <w:r>
        <w:t xml:space="preserve">. El 77% del efecto de la senda sobre la deuda de 2035 (14,8 de 19,3 puntos) es el costo directo de la deuda en dólares, que la identidad incorpora. Estos resultados dependen de las binarias presidenciales: sin ellas el efecto de la senda es de 9,7 puntos de probabilidad y 9,2 de deuda (-0,2 a 17,1).</w:t>
      </w:r>
    </w:p>
    <w:p>
      <w:pPr>
        <w:pStyle w:val="BodyText"/>
      </w:pPr>
      <w:r>
        <w:rPr>
          <w:bCs/>
          <w:b/>
        </w:rPr>
        <w:t xml:space="preserve">Extensión con la deuda consolidada.</w:t>
      </w:r>
      <w:r>
        <w:t xml:space="preserve"> </w:t>
      </w:r>
      <w:r>
        <w:t xml:space="preserve">Con la deuda consolidada con el BCRA, que parte de 52,1% del PIB y se estima desde 2002, la probabilidad de no estabilización es de 31,1% en 2031 (27,6% a 41,5%) y de 35,0% en 2035 (32,3% a 49,8%). La senda de la FED eleva la probabilidad de 2035 en 19,2 puntos (3,2 a 33,8). No se informan el reparto de la varianza ni la media de la deuda consolidada, porque trayectorias explosivas dominan esas medidas en 368 de las 1.000 réplicas, más de un tercio; por eso la extensión es exploratoria y solo respalda el orden de magnitud de la probabilidad de no estabilización, que supera la del FMI con las dos métricas (con la definición operativa, 11,0% en 2031, de 2,7% a 20,2%).</w:t>
      </w:r>
    </w:p>
    <w:p>
      <w:pPr>
        <w:pStyle w:val="BodyText"/>
      </w:pPr>
      <w:r>
        <w:rPr>
          <w:bCs/>
          <w:b/>
        </w:rPr>
        <w:t xml:space="preserve">Implicancia.</w:t>
      </w:r>
      <w:r>
        <w:t xml:space="preserve"> </w:t>
      </w:r>
      <w:r>
        <w:t xml:space="preserve">Si la deuda federal bruta argentina tiene más riesgo de no estabilizarse que el que informa el FMI depende de cómo se mida ese riesgo. Con la definición operativa del organismo, que promedia los</w:t>
      </w:r>
      <w:r>
        <w:t xml:space="preserve"> </w:t>
      </w:r>
      <w:r>
        <w:rPr>
          <w:iCs/>
          <w:i/>
        </w:rPr>
        <w:t xml:space="preserve">shocks</w:t>
      </w:r>
      <w:r>
        <w:t xml:space="preserve"> </w:t>
      </w:r>
      <w:r>
        <w:t xml:space="preserve">de la trayectoria, la dinámica histórica estimada da una probabilidad del mismo orden que la del FMI. Con la métrica anual, que incluye la valuación de la deuda en moneda extranjera año por año, la probabilidad es mucho mayor, y la de que la deuda de 2031 supere a la de 2029 es de 20,0%. Cuál de las dos es la referencia adecuada es una decisión de criterio, que la tesis deja explícita (sección 7.1). Lo que no depende de la métrica es de dónde viene la incertidumbre: la mayor parte proviene de</w:t>
      </w:r>
      <w:r>
        <w:t xml:space="preserve"> </w:t>
      </w:r>
      <w:r>
        <w:rPr>
          <w:iCs/>
          <w:i/>
        </w:rPr>
        <w:t xml:space="preserve">shocks</w:t>
      </w:r>
      <w:r>
        <w:t xml:space="preserve"> </w:t>
      </w:r>
      <w:r>
        <w:t xml:space="preserve">externos, cambiarios y de riesgo, que la política fiscal no controla, y la senda de la FED de 2022-2025 eleva la probabilidad de no estabilización con las dos métricas. Con la métrica anual, un superávit de 2031 en el máximo de 1996-2025 reduce la probabilidad, pero la deja lejos de la cifra del FMI; con la definición operativa, alcanza para llegar a ella. La tesis no simula cambios en la composición por moneda ni en los plazos de la deuda, de modo que no permite evaluar esas alternativas.</w:t>
      </w:r>
    </w:p>
    <w:p>
      <w:pPr>
        <w:pStyle w:val="BodyText"/>
      </w:pPr>
      <w:r>
        <w:rPr>
          <w:bCs/>
          <w:b/>
        </w:rPr>
        <w:t xml:space="preserve">Alcance.</w:t>
      </w:r>
      <w:r>
        <w:t xml:space="preserve"> </w:t>
      </w:r>
      <w:r>
        <w:t xml:space="preserve">Los resultados están condicionados al escenario base del FMI y a que la dinámica de 1996-2025 siga vigente. La proporción de la deuda en pesos queda fija en el escenario, el mismo supuesto que hace el FMI. Las limitaciones se detallan en la sección 7.6.</w:t>
      </w:r>
    </w:p>
    <w:p>
      <w:pPr>
        <w:pStyle w:val="BodyText"/>
      </w:pPr>
      <w:r>
        <w:rPr>
          <w:bCs/>
          <w:b/>
        </w:rPr>
        <w:t xml:space="preserve">Líneas de trabajo futuro.</w:t>
      </w:r>
    </w:p>
    <w:p>
      <w:pPr>
        <w:numPr>
          <w:ilvl w:val="0"/>
          <w:numId w:val="1007"/>
        </w:numPr>
        <w:pStyle w:val="Compact"/>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numPr>
          <w:ilvl w:val="0"/>
          <w:numId w:val="1007"/>
        </w:numPr>
        <w:pStyle w:val="Compact"/>
      </w:pPr>
      <w:r>
        <w:t xml:space="preserve">Reemplazar la variación de la tasa de la FED por</w:t>
      </w:r>
      <w:r>
        <w:t xml:space="preserve"> </w:t>
      </w:r>
      <w:r>
        <w:rPr>
          <w:iCs/>
          <w:i/>
        </w:rPr>
        <w:t xml:space="preserve">shocks</w:t>
      </w:r>
      <w:r>
        <w:t xml:space="preserve"> </w:t>
      </w:r>
      <w:r>
        <w:t xml:space="preserve">monetarios identificados con datos de alta frecuencia, que aíslan la parte no anticipada de la política de Estados Unidos.</w:t>
      </w:r>
    </w:p>
    <w:p>
      <w:pPr>
        <w:numPr>
          <w:ilvl w:val="0"/>
          <w:numId w:val="1007"/>
        </w:numPr>
        <w:pStyle w:val="Compact"/>
      </w:pPr>
      <w:r>
        <w:t xml:space="preserve">Incorporar los términos de intercambio como variable exógena, por su peso en la generación de divisas.</w:t>
      </w:r>
    </w:p>
    <w:p>
      <w:pPr>
        <w:numPr>
          <w:ilvl w:val="0"/>
          <w:numId w:val="1007"/>
        </w:numPr>
        <w:pStyle w:val="Compact"/>
      </w:pPr>
      <w:r>
        <w:t xml:space="preserve">Agregar un módulo de balanza de pagos, que permita contrastar el enfoque de la restricción externa que en esta tesis cumple un papel de contexto.</w:t>
      </w:r>
    </w:p>
    <w:bookmarkEnd w:id="124"/>
    <w:bookmarkStart w:id="138" w:name="apéndice-estadístico"/>
    <w:p>
      <w:pPr>
        <w:pStyle w:val="Heading1"/>
      </w:pPr>
      <w:r>
        <w:t xml:space="preserve">Apéndice estadístico</w:t>
      </w:r>
    </w:p>
    <w:p>
      <w:pPr>
        <w:pStyle w:val="FirstParagraph"/>
      </w:pPr>
      <w:r>
        <w:t xml:space="preserve">Fuente de todas las tablas, salvo indicación: elaboración propia.</w:t>
      </w:r>
    </w:p>
    <w:bookmarkStart w:id="125"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Media</w:t>
            </w:r>
          </w:p>
        </w:tc>
        <w:tc>
          <w:tcPr/>
          <w:p>
            <w:pPr>
              <w:pStyle w:val="Compact"/>
              <w:jc w:val="left"/>
            </w:pPr>
            <w:r>
              <w:rPr>
                <w:rFonts w:ascii="Calibri" w:hAnsi="Calibri"/>
                <w:sz w:val="20"/>
              </w:rPr>
              <w:t xml:space="preserve">Desvío estándar</w:t>
            </w:r>
          </w:p>
        </w:tc>
        <w:tc>
          <w:tcPr/>
          <w:p>
            <w:pPr>
              <w:pStyle w:val="Compact"/>
              <w:jc w:val="left"/>
            </w:pPr>
            <w:r>
              <w:rPr>
                <w:rFonts w:ascii="Calibri" w:hAnsi="Calibri"/>
                <w:sz w:val="20"/>
              </w:rPr>
              <w:t xml:space="preserve">Mínimo</w:t>
            </w:r>
          </w:p>
        </w:tc>
        <w:tc>
          <w:tcPr/>
          <w:p>
            <w:pPr>
              <w:pStyle w:val="Compact"/>
              <w:jc w:val="left"/>
            </w:pPr>
            <w:r>
              <w:rPr>
                <w:rFonts w:ascii="Calibri" w:hAnsi="Calibri"/>
                <w:sz w:val="20"/>
              </w:rPr>
              <w:t xml:space="preserve">Máximo</w:t>
            </w:r>
          </w:p>
        </w:tc>
      </w:tr>
      <w:tr>
        <w:tc>
          <w:tcPr/>
          <w:p>
            <w:pPr>
              <w:pStyle w:val="Compact"/>
              <w:jc w:val="left"/>
            </w:pPr>
            <w:r>
              <w:rPr>
                <w:rFonts w:ascii="Calibri" w:hAnsi="Calibri"/>
                <w:sz w:val="20"/>
              </w:rPr>
              <w:t xml:space="preserve">Resultado primario (% del PIB, trimestral anualizado)</w:t>
            </w:r>
          </w:p>
        </w:tc>
        <w:tc>
          <w:tcPr/>
          <w:p>
            <w:pPr>
              <w:pStyle w:val="Compact"/>
              <w:jc w:val="left"/>
            </w:pPr>
            <w:r>
              <w:rPr>
                <w:rFonts w:ascii="Calibri" w:hAnsi="Calibri"/>
                <w:sz w:val="20"/>
              </w:rPr>
              <w:t xml:space="preserve">-0,95</w:t>
            </w:r>
          </w:p>
        </w:tc>
        <w:tc>
          <w:tcPr/>
          <w:p>
            <w:pPr>
              <w:pStyle w:val="Compact"/>
              <w:jc w:val="left"/>
            </w:pPr>
            <w:r>
              <w:rPr>
                <w:rFonts w:ascii="Calibri" w:hAnsi="Calibri"/>
                <w:sz w:val="20"/>
              </w:rPr>
              <w:t xml:space="preserve">3,41</w:t>
            </w:r>
          </w:p>
        </w:tc>
        <w:tc>
          <w:tcPr/>
          <w:p>
            <w:pPr>
              <w:pStyle w:val="Compact"/>
              <w:jc w:val="left"/>
            </w:pPr>
            <w:r>
              <w:rPr>
                <w:rFonts w:ascii="Calibri" w:hAnsi="Calibri"/>
                <w:sz w:val="20"/>
              </w:rPr>
              <w:t xml:space="preserve">-12,53</w:t>
            </w:r>
          </w:p>
        </w:tc>
        <w:tc>
          <w:tcPr/>
          <w:p>
            <w:pPr>
              <w:pStyle w:val="Compact"/>
              <w:jc w:val="left"/>
            </w:pPr>
            <w:r>
              <w:rPr>
                <w:rFonts w:ascii="Calibri" w:hAnsi="Calibri"/>
                <w:sz w:val="20"/>
              </w:rPr>
              <w:t xml:space="preserve">6,92</w:t>
            </w:r>
          </w:p>
        </w:tc>
      </w:tr>
      <w:tr>
        <w:tc>
          <w:tcPr/>
          <w:p>
            <w:pPr>
              <w:pStyle w:val="Compact"/>
              <w:jc w:val="left"/>
            </w:pPr>
            <w:r>
              <w:rPr>
                <w:rFonts w:ascii="Calibri" w:hAnsi="Calibri"/>
                <w:sz w:val="20"/>
              </w:rPr>
              <w:t xml:space="preserve">Crecimiento real trimestral (%)</w:t>
            </w:r>
          </w:p>
        </w:tc>
        <w:tc>
          <w:tcPr/>
          <w:p>
            <w:pPr>
              <w:pStyle w:val="Compact"/>
              <w:jc w:val="left"/>
            </w:pPr>
            <w:r>
              <w:rPr>
                <w:rFonts w:ascii="Calibri" w:hAnsi="Calibri"/>
                <w:sz w:val="20"/>
              </w:rPr>
              <w:t xml:space="preserve">0,39</w:t>
            </w:r>
          </w:p>
        </w:tc>
        <w:tc>
          <w:tcPr/>
          <w:p>
            <w:pPr>
              <w:pStyle w:val="Compact"/>
              <w:jc w:val="left"/>
            </w:pPr>
            <w:r>
              <w:rPr>
                <w:rFonts w:ascii="Calibri" w:hAnsi="Calibri"/>
                <w:sz w:val="20"/>
              </w:rPr>
              <w:t xml:space="preserve">7,41</w:t>
            </w:r>
          </w:p>
        </w:tc>
        <w:tc>
          <w:tcPr/>
          <w:p>
            <w:pPr>
              <w:pStyle w:val="Compact"/>
              <w:jc w:val="left"/>
            </w:pPr>
            <w:r>
              <w:rPr>
                <w:rFonts w:ascii="Calibri" w:hAnsi="Calibri"/>
                <w:sz w:val="20"/>
              </w:rPr>
              <w:t xml:space="preserve">-13,77</w:t>
            </w:r>
          </w:p>
        </w:tc>
        <w:tc>
          <w:tcPr/>
          <w:p>
            <w:pPr>
              <w:pStyle w:val="Compact"/>
              <w:jc w:val="left"/>
            </w:pPr>
            <w:r>
              <w:rPr>
                <w:rFonts w:ascii="Calibri" w:hAnsi="Calibri"/>
                <w:sz w:val="20"/>
              </w:rPr>
              <w:t xml:space="preserve">18,21</w:t>
            </w:r>
          </w:p>
        </w:tc>
      </w:tr>
      <w:tr>
        <w:tc>
          <w:tcPr/>
          <w:p>
            <w:pPr>
              <w:pStyle w:val="Compact"/>
              <w:jc w:val="left"/>
            </w:pPr>
            <w:r>
              <w:rPr>
                <w:rFonts w:ascii="Calibri" w:hAnsi="Calibri"/>
                <w:sz w:val="20"/>
              </w:rPr>
              <w:t xml:space="preserve">EMBI (puntos básicos)</w:t>
            </w:r>
          </w:p>
        </w:tc>
        <w:tc>
          <w:tcPr/>
          <w:p>
            <w:pPr>
              <w:pStyle w:val="Compact"/>
              <w:jc w:val="left"/>
            </w:pPr>
            <w:r>
              <w:rPr>
                <w:rFonts w:ascii="Calibri" w:hAnsi="Calibri"/>
                <w:sz w:val="20"/>
              </w:rPr>
              <w:t xml:space="preserve">1.559,25</w:t>
            </w:r>
          </w:p>
        </w:tc>
        <w:tc>
          <w:tcPr/>
          <w:p>
            <w:pPr>
              <w:pStyle w:val="Compact"/>
              <w:jc w:val="left"/>
            </w:pPr>
            <w:r>
              <w:rPr>
                <w:rFonts w:ascii="Calibri" w:hAnsi="Calibri"/>
                <w:sz w:val="20"/>
              </w:rPr>
              <w:t xml:space="preserve">1.612,73</w:t>
            </w:r>
          </w:p>
        </w:tc>
        <w:tc>
          <w:tcPr/>
          <w:p>
            <w:pPr>
              <w:pStyle w:val="Compact"/>
              <w:jc w:val="left"/>
            </w:pPr>
            <w:r>
              <w:rPr>
                <w:rFonts w:ascii="Calibri" w:hAnsi="Calibri"/>
                <w:sz w:val="20"/>
              </w:rPr>
              <w:t xml:space="preserve">210,22</w:t>
            </w:r>
          </w:p>
        </w:tc>
        <w:tc>
          <w:tcPr/>
          <w:p>
            <w:pPr>
              <w:pStyle w:val="Compact"/>
              <w:jc w:val="left"/>
            </w:pPr>
            <w:r>
              <w:rPr>
                <w:rFonts w:ascii="Calibri" w:hAnsi="Calibri"/>
                <w:sz w:val="20"/>
              </w:rPr>
              <w:t xml:space="preserve">6.658,98</w:t>
            </w:r>
          </w:p>
        </w:tc>
      </w:tr>
      <w:tr>
        <w:tc>
          <w:tcPr/>
          <w:p>
            <w:pPr>
              <w:pStyle w:val="Compact"/>
              <w:jc w:val="left"/>
            </w:pPr>
            <w:r>
              <w:rPr>
                <w:rFonts w:ascii="Calibri" w:hAnsi="Calibri"/>
                <w:sz w:val="20"/>
              </w:rPr>
              <w:t xml:space="preserve">TCRM (diciembre de 2001 = 1)</w:t>
            </w:r>
          </w:p>
        </w:tc>
        <w:tc>
          <w:tcPr/>
          <w:p>
            <w:pPr>
              <w:pStyle w:val="Compact"/>
              <w:jc w:val="left"/>
            </w:pPr>
            <w:r>
              <w:rPr>
                <w:rFonts w:ascii="Calibri" w:hAnsi="Calibri"/>
                <w:sz w:val="20"/>
              </w:rPr>
              <w:t xml:space="preserve">1,66</w:t>
            </w:r>
          </w:p>
        </w:tc>
        <w:tc>
          <w:tcPr/>
          <w:p>
            <w:pPr>
              <w:pStyle w:val="Compact"/>
              <w:jc w:val="left"/>
            </w:pPr>
            <w:r>
              <w:rPr>
                <w:rFonts w:ascii="Calibri" w:hAnsi="Calibri"/>
                <w:sz w:val="20"/>
              </w:rPr>
              <w:t xml:space="preserve">0,45</w:t>
            </w:r>
          </w:p>
        </w:tc>
        <w:tc>
          <w:tcPr/>
          <w:p>
            <w:pPr>
              <w:pStyle w:val="Compact"/>
              <w:jc w:val="left"/>
            </w:pPr>
            <w:r>
              <w:rPr>
                <w:rFonts w:ascii="Calibri" w:hAnsi="Calibri"/>
                <w:sz w:val="20"/>
              </w:rPr>
              <w:t xml:space="preserve">0,98</w:t>
            </w:r>
          </w:p>
        </w:tc>
        <w:tc>
          <w:tcPr/>
          <w:p>
            <w:pPr>
              <w:pStyle w:val="Compact"/>
              <w:jc w:val="left"/>
            </w:pPr>
            <w:r>
              <w:rPr>
                <w:rFonts w:ascii="Calibri" w:hAnsi="Calibri"/>
                <w:sz w:val="20"/>
              </w:rPr>
              <w:t xml:space="preserve">2,76</w:t>
            </w:r>
          </w:p>
        </w:tc>
      </w:tr>
      <w:tr>
        <w:tc>
          <w:tcPr/>
          <w:p>
            <w:pPr>
              <w:pStyle w:val="Compact"/>
              <w:jc w:val="left"/>
            </w:pPr>
            <w:r>
              <w:rPr>
                <w:rFonts w:ascii="Calibri" w:hAnsi="Calibri"/>
                <w:sz w:val="20"/>
              </w:rPr>
              <w:t xml:space="preserve">Deuda federal bruta, rezagada (% del PIB)</w:t>
            </w:r>
          </w:p>
        </w:tc>
        <w:tc>
          <w:tcPr/>
          <w:p>
            <w:pPr>
              <w:pStyle w:val="Compact"/>
              <w:jc w:val="left"/>
            </w:pPr>
            <w:r>
              <w:rPr>
                <w:rFonts w:ascii="Calibri" w:hAnsi="Calibri"/>
                <w:sz w:val="20"/>
              </w:rPr>
              <w:t xml:space="preserve">66,56</w:t>
            </w:r>
          </w:p>
        </w:tc>
        <w:tc>
          <w:tcPr/>
          <w:p>
            <w:pPr>
              <w:pStyle w:val="Compact"/>
              <w:jc w:val="left"/>
            </w:pPr>
            <w:r>
              <w:rPr>
                <w:rFonts w:ascii="Calibri" w:hAnsi="Calibri"/>
                <w:sz w:val="20"/>
              </w:rPr>
              <w:t xml:space="preserve">31,45</w:t>
            </w:r>
          </w:p>
        </w:tc>
        <w:tc>
          <w:tcPr/>
          <w:p>
            <w:pPr>
              <w:pStyle w:val="Compact"/>
              <w:jc w:val="left"/>
            </w:pPr>
            <w:r>
              <w:rPr>
                <w:rFonts w:ascii="Calibri" w:hAnsi="Calibri"/>
                <w:sz w:val="20"/>
              </w:rPr>
              <w:t xml:space="preserve">32,18</w:t>
            </w:r>
          </w:p>
        </w:tc>
        <w:tc>
          <w:tcPr/>
          <w:p>
            <w:pPr>
              <w:pStyle w:val="Compact"/>
              <w:jc w:val="left"/>
            </w:pPr>
            <w:r>
              <w:rPr>
                <w:rFonts w:ascii="Calibri" w:hAnsi="Calibri"/>
                <w:sz w:val="20"/>
              </w:rPr>
              <w:t xml:space="preserve">154,59</w:t>
            </w:r>
          </w:p>
        </w:tc>
      </w:tr>
      <w:tr>
        <w:tc>
          <w:tcPr/>
          <w:p>
            <w:pPr>
              <w:pStyle w:val="Compact"/>
              <w:jc w:val="left"/>
            </w:pPr>
            <w:r>
              <w:rPr>
                <w:rFonts w:ascii="Calibri" w:hAnsi="Calibri"/>
                <w:sz w:val="20"/>
              </w:rPr>
              <w:t xml:space="preserve">Variación de la tasa de la FED (puntos)</w:t>
            </w:r>
          </w:p>
        </w:tc>
        <w:tc>
          <w:tcPr/>
          <w:p>
            <w:pPr>
              <w:pStyle w:val="Compact"/>
              <w:jc w:val="left"/>
            </w:pPr>
            <w:r>
              <w:rPr>
                <w:rFonts w:ascii="Calibri" w:hAnsi="Calibri"/>
                <w:sz w:val="20"/>
              </w:rPr>
              <w:t xml:space="preserve">-0,04</w:t>
            </w:r>
          </w:p>
        </w:tc>
        <w:tc>
          <w:tcPr/>
          <w:p>
            <w:pPr>
              <w:pStyle w:val="Compact"/>
              <w:jc w:val="left"/>
            </w:pPr>
            <w:r>
              <w:rPr>
                <w:rFonts w:ascii="Calibri" w:hAnsi="Calibri"/>
                <w:sz w:val="20"/>
              </w:rPr>
              <w:t xml:space="preserve">0,50</w:t>
            </w:r>
          </w:p>
        </w:tc>
        <w:tc>
          <w:tcPr/>
          <w:p>
            <w:pPr>
              <w:pStyle w:val="Compact"/>
              <w:jc w:val="left"/>
            </w:pPr>
            <w:r>
              <w:rPr>
                <w:rFonts w:ascii="Calibri" w:hAnsi="Calibri"/>
                <w:sz w:val="20"/>
              </w:rPr>
              <w:t xml:space="preserve">-1,43</w:t>
            </w:r>
          </w:p>
        </w:tc>
        <w:tc>
          <w:tcPr/>
          <w:p>
            <w:pPr>
              <w:pStyle w:val="Compact"/>
              <w:jc w:val="left"/>
            </w:pPr>
            <w:r>
              <w:rPr>
                <w:rFonts w:ascii="Calibri" w:hAnsi="Calibri"/>
                <w:sz w:val="20"/>
              </w:rPr>
              <w:t xml:space="preserve">1,46</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20,20</w:t>
            </w:r>
          </w:p>
        </w:tc>
        <w:tc>
          <w:tcPr/>
          <w:p>
            <w:pPr>
              <w:pStyle w:val="Compact"/>
              <w:jc w:val="left"/>
            </w:pPr>
            <w:r>
              <w:rPr>
                <w:rFonts w:ascii="Calibri" w:hAnsi="Calibri"/>
                <w:sz w:val="20"/>
              </w:rPr>
              <w:t xml:space="preserve">7,33</w:t>
            </w:r>
          </w:p>
        </w:tc>
        <w:tc>
          <w:tcPr/>
          <w:p>
            <w:pPr>
              <w:pStyle w:val="Compact"/>
              <w:jc w:val="left"/>
            </w:pPr>
            <w:r>
              <w:rPr>
                <w:rFonts w:ascii="Calibri" w:hAnsi="Calibri"/>
                <w:sz w:val="20"/>
              </w:rPr>
              <w:t xml:space="preserve">10,31</w:t>
            </w:r>
          </w:p>
        </w:tc>
        <w:tc>
          <w:tcPr/>
          <w:p>
            <w:pPr>
              <w:pStyle w:val="Compact"/>
              <w:jc w:val="left"/>
            </w:pPr>
            <w:r>
              <w:rPr>
                <w:rFonts w:ascii="Calibri" w:hAnsi="Calibri"/>
                <w:sz w:val="20"/>
              </w:rPr>
              <w:t xml:space="preserve">58,60</w:t>
            </w:r>
          </w:p>
        </w:tc>
      </w:tr>
    </w:tbl>
    <w:p>
      <w:pPr>
        <w:pStyle w:val="BodyText"/>
      </w:pPr>
      <w:r>
        <w:t xml:space="preserve">El máximo de la deuda federal bruta propia, 154,59%, corresponde a 2002T3, después de la devaluación de 2002. No proviene de la cifra del FMI para diciembre de 2023 (154,6%), con la que coincide por casualidad: la serie propia da 153,5% en esa fecha (Tabla 5.2).</w:t>
      </w:r>
    </w:p>
    <w:bookmarkEnd w:id="125"/>
    <w:bookmarkStart w:id="129" w:name="a.2-empalmes-de-1996-1998"/>
    <w:p>
      <w:pPr>
        <w:pStyle w:val="Heading2"/>
      </w:pPr>
      <w:r>
        <w:t xml:space="preserve">A.2 Empalmes de 1996-1998</w:t>
      </w:r>
    </w:p>
    <w:p>
      <w:pPr>
        <w:pStyle w:val="FirstParagraph"/>
      </w:pPr>
      <w:r>
        <w:t xml:space="preserve">La serie diaria pública del EMBI para Argentina comienza el 11 de diciembre de 1998 y el índice de tipo de cambio real multilateral del BCRA, en enero de 1997. Para completar la ventana 1996-2025, el EMBI de 1996T1-1998T3 se reconstruye con la relación EMBI = 550,3 + 1,171 × diferencial, estimada en la superposición, donde el diferencial es la tasa de préstamos interfinancieros en dólares del BCRA menos la tasa de fondos federales. La superposición termina en 2001T3 porque el corralito de diciembre de 2001 interrumpe el mercado interbancario en dólares. El TCRM de 1996 se encadena hacia atrás con las variaciones del tipo de cambio real efectivo del BIS. La Figura A.1 compara las series observadas con las reconstruidas.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Variable puente</w:t>
            </w:r>
          </w:p>
        </w:tc>
        <w:tc>
          <w:tcPr/>
          <w:p>
            <w:pPr>
              <w:pStyle w:val="Compact"/>
              <w:jc w:val="left"/>
            </w:pPr>
            <w:r>
              <w:rPr>
                <w:rFonts w:ascii="Calibri" w:hAnsi="Calibri"/>
                <w:sz w:val="20"/>
              </w:rPr>
              <w:t xml:space="preserve">Superposición</w:t>
            </w:r>
          </w:p>
        </w:tc>
        <w:tc>
          <w:tcPr/>
          <w:p>
            <w:pPr>
              <w:pStyle w:val="Compact"/>
              <w:jc w:val="left"/>
            </w:pPr>
            <w:r>
              <w:rPr>
                <w:rFonts w:ascii="Calibri" w:hAnsi="Calibri"/>
                <w:sz w:val="20"/>
              </w:rPr>
              <w:t xml:space="preserve">n</w:t>
            </w:r>
          </w:p>
        </w:tc>
        <w:tc>
          <w:tcPr/>
          <w:p>
            <w:pPr>
              <w:pStyle w:val="Compact"/>
              <w:jc w:val="left"/>
            </w:pPr>
            <w:r>
              <w:rPr>
                <w:rFonts w:ascii="Calibri" w:hAnsi="Calibri"/>
                <w:sz w:val="20"/>
              </w:rPr>
              <w:t xml:space="preserve">Correlación</w:t>
            </w:r>
          </w:p>
        </w:tc>
        <w:tc>
          <w:tcPr/>
          <w:p>
            <w:pPr>
              <w:pStyle w:val="Compact"/>
              <w:jc w:val="left"/>
            </w:pPr>
            <w:r>
              <w:rPr>
                <w:rFonts w:ascii="Calibri" w:hAnsi="Calibri"/>
                <w:sz w:val="20"/>
              </w:rPr>
              <w:t xml:space="preserve">R²</w:t>
            </w:r>
          </w:p>
        </w:tc>
        <w:tc>
          <w:tcPr/>
          <w:p>
            <w:pPr>
              <w:pStyle w:val="Compact"/>
              <w:jc w:val="left"/>
            </w:pPr>
            <w:r>
              <w:rPr>
                <w:rFonts w:ascii="Calibri" w:hAnsi="Calibri"/>
                <w:sz w:val="20"/>
              </w:rPr>
              <w:t xml:space="preserve">Validación</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Tasa de préstamos interfinancieros en dólares (BCRA) menos tasa de fondos federales</w:t>
            </w:r>
          </w:p>
        </w:tc>
        <w:tc>
          <w:tcPr/>
          <w:p>
            <w:pPr>
              <w:pStyle w:val="Compact"/>
              <w:jc w:val="left"/>
            </w:pPr>
            <w:r>
              <w:rPr>
                <w:rFonts w:ascii="Calibri" w:hAnsi="Calibri"/>
                <w:sz w:val="20"/>
              </w:rPr>
              <w:t xml:space="preserve">1998T4-2001T3</w:t>
            </w:r>
          </w:p>
        </w:tc>
        <w:tc>
          <w:tcPr/>
          <w:p>
            <w:pPr>
              <w:pStyle w:val="Compact"/>
              <w:jc w:val="left"/>
            </w:pPr>
            <w:r>
              <w:rPr>
                <w:rFonts w:ascii="Calibri" w:hAnsi="Calibri"/>
                <w:sz w:val="20"/>
              </w:rPr>
              <w:t xml:space="preserve">12</w:t>
            </w:r>
          </w:p>
        </w:tc>
        <w:tc>
          <w:tcPr/>
          <w:p>
            <w:pPr>
              <w:pStyle w:val="Compact"/>
              <w:jc w:val="left"/>
            </w:pPr>
            <w:r>
              <w:rPr>
                <w:rFonts w:ascii="Calibri" w:hAnsi="Calibri"/>
                <w:sz w:val="20"/>
              </w:rPr>
              <w:t xml:space="preserve">0,944</w:t>
            </w:r>
          </w:p>
        </w:tc>
        <w:tc>
          <w:tcPr/>
          <w:p>
            <w:pPr>
              <w:pStyle w:val="Compact"/>
              <w:jc w:val="left"/>
            </w:pPr>
            <w:r>
              <w:rPr>
                <w:rFonts w:ascii="Calibri" w:hAnsi="Calibri"/>
                <w:sz w:val="20"/>
              </w:rPr>
              <w:t xml:space="preserve">0,89</w:t>
            </w:r>
          </w:p>
        </w:tc>
        <w:tc>
          <w:tcPr/>
          <w:p>
            <w:pPr>
              <w:pStyle w:val="Compact"/>
              <w:jc w:val="left"/>
            </w:pPr>
            <w:r>
              <w:rPr>
                <w:rFonts w:ascii="Calibri" w:hAnsi="Calibri"/>
                <w:sz w:val="20"/>
              </w:rPr>
              <w:t xml:space="preserve">Error típico dejando un trimestre afuera: 102 pb (desvío del EMBI: 240 pb)</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Tipo de cambio real efectivo amplio del BIS (invertido)</w:t>
            </w:r>
          </w:p>
        </w:tc>
        <w:tc>
          <w:tcPr/>
          <w:p>
            <w:pPr>
              <w:pStyle w:val="Compact"/>
              <w:jc w:val="left"/>
            </w:pPr>
            <w:r>
              <w:rPr>
                <w:rFonts w:ascii="Calibri" w:hAnsi="Calibri"/>
                <w:sz w:val="20"/>
              </w:rPr>
              <w:t xml:space="preserve">1997T2-2025T4</w:t>
            </w:r>
          </w:p>
        </w:tc>
        <w:tc>
          <w:tcPr/>
          <w:p>
            <w:pPr>
              <w:pStyle w:val="Compact"/>
              <w:jc w:val="left"/>
            </w:pPr>
            <w:r>
              <w:rPr>
                <w:rFonts w:ascii="Calibri" w:hAnsi="Calibri"/>
                <w:sz w:val="20"/>
              </w:rPr>
              <w:t xml:space="preserve">115</w:t>
            </w:r>
          </w:p>
        </w:tc>
        <w:tc>
          <w:tcPr/>
          <w:p>
            <w:pPr>
              <w:pStyle w:val="Compact"/>
              <w:jc w:val="left"/>
            </w:pPr>
            <w:r>
              <w:rPr>
                <w:rFonts w:ascii="Calibri" w:hAnsi="Calibri"/>
                <w:sz w:val="20"/>
              </w:rPr>
              <w:t xml:space="preserve">0,923</w:t>
            </w:r>
          </w:p>
        </w:tc>
        <w:tc>
          <w:tcPr/>
          <w:p>
            <w:pPr>
              <w:pStyle w:val="Compact"/>
              <w:jc w:val="left"/>
            </w:pPr>
            <w:r>
              <w:rPr>
                <w:rFonts w:ascii="Calibri" w:hAnsi="Calibri"/>
                <w:sz w:val="20"/>
              </w:rPr>
              <w:t xml:space="preserve">0,85</w:t>
            </w:r>
          </w:p>
        </w:tc>
        <w:tc>
          <w:tcPr/>
          <w:p>
            <w:pPr>
              <w:pStyle w:val="Compact"/>
              <w:jc w:val="left"/>
            </w:pPr>
            <w:r>
              <w:rPr>
                <w:rFonts w:ascii="Calibri" w:hAnsi="Calibri"/>
                <w:sz w:val="20"/>
              </w:rPr>
              <w:t xml:space="preserve">Correlación de las variaciones en 1997-2001: 0,977</w:t>
            </w:r>
          </w:p>
        </w:tc>
      </w:tr>
    </w:tbl>
    <w:p>
      <w:pPr>
        <w:pStyle w:val="BodyText"/>
      </w:pPr>
      <w:r>
        <w:t xml:space="preserve">Fuente: elaboración propia con datos del BCRA, J.P. Morgan (serie diaria publicada por Ámbito Financiero), Reserva Federal y BIS. La correlación y el R² del EMBI son de niveles trimestrales, entre el EMBI y el diferencial; los del TCRM son de variaciones trimestrales, entre el índice del BCRA y el del BIS, porque el empalme encadena variaciones.</w:t>
      </w:r>
    </w:p>
    <w:p>
      <w:pPr>
        <w:pStyle w:val="BodyText"/>
      </w:pPr>
      <w:r>
        <w:t xml:space="preserve">Como la estimación empieza en 1998T2 (sección 4.5) y el modelo tiene dos rezagos, el TCRM de 1996 no entra en el SVARX y el EMBI reconstruido solo aparece en 1997T4-1998T3. El TCRM de 1996 sí entra en la variante a la manera del FMI, para calcular la depreciación real de 1997; el EMBI no se usa en esa variante.</w:t>
      </w:r>
    </w:p>
    <w:p>
      <w:pPr>
        <w:pStyle w:val="BodyText"/>
      </w:pPr>
      <w:r>
        <w:rPr>
          <w:bCs/>
          <w:b/>
        </w:rPr>
        <w:t xml:space="preserve">Validación fuera de muestra del empalme del EMBI.</w:t>
      </w:r>
      <w:r>
        <w:t xml:space="preserve"> </w:t>
      </w:r>
      <w:r>
        <w:t xml:space="preserve">Relación estimada solo con 1998T4-2000T4 y aplicada a 2001:</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observado</w:t>
            </w:r>
          </w:p>
        </w:tc>
        <w:tc>
          <w:tcPr/>
          <w:p>
            <w:pPr>
              <w:pStyle w:val="Compact"/>
              <w:jc w:val="left"/>
            </w:pPr>
            <w:r>
              <w:rPr>
                <w:rFonts w:ascii="Calibri" w:hAnsi="Calibri"/>
                <w:sz w:val="20"/>
              </w:rPr>
              <w:t xml:space="preserve">Pronóstico fuera de muestra</w:t>
            </w:r>
          </w:p>
        </w:tc>
      </w:tr>
      <w:tr>
        <w:tc>
          <w:tcPr/>
          <w:p>
            <w:pPr>
              <w:pStyle w:val="Compact"/>
              <w:jc w:val="left"/>
            </w:pPr>
            <w:r>
              <w:rPr>
                <w:rFonts w:ascii="Calibri" w:hAnsi="Calibri"/>
                <w:sz w:val="20"/>
              </w:rPr>
              <w:t xml:space="preserve">2001T1</w:t>
            </w:r>
          </w:p>
        </w:tc>
        <w:tc>
          <w:tcPr/>
          <w:p>
            <w:pPr>
              <w:pStyle w:val="Compact"/>
              <w:jc w:val="left"/>
            </w:pPr>
            <w:r>
              <w:rPr>
                <w:rFonts w:ascii="Calibri" w:hAnsi="Calibri"/>
                <w:sz w:val="20"/>
              </w:rPr>
              <w:t xml:space="preserve">750</w:t>
            </w:r>
          </w:p>
        </w:tc>
        <w:tc>
          <w:tcPr/>
          <w:p>
            <w:pPr>
              <w:pStyle w:val="Compact"/>
              <w:jc w:val="left"/>
            </w:pPr>
            <w:r>
              <w:rPr>
                <w:rFonts w:ascii="Calibri" w:hAnsi="Calibri"/>
                <w:sz w:val="20"/>
              </w:rPr>
              <w:t xml:space="preserve">744</w:t>
            </w:r>
          </w:p>
        </w:tc>
      </w:tr>
      <w:tr>
        <w:tc>
          <w:tcPr/>
          <w:p>
            <w:pPr>
              <w:pStyle w:val="Compact"/>
              <w:jc w:val="left"/>
            </w:pPr>
            <w:r>
              <w:rPr>
                <w:rFonts w:ascii="Calibri" w:hAnsi="Calibri"/>
                <w:sz w:val="20"/>
              </w:rPr>
              <w:t xml:space="preserve">2001T2</w:t>
            </w:r>
          </w:p>
        </w:tc>
        <w:tc>
          <w:tcPr/>
          <w:p>
            <w:pPr>
              <w:pStyle w:val="Compact"/>
              <w:jc w:val="left"/>
            </w:pPr>
            <w:r>
              <w:rPr>
                <w:rFonts w:ascii="Calibri" w:hAnsi="Calibri"/>
                <w:sz w:val="20"/>
              </w:rPr>
              <w:t xml:space="preserve">973</w:t>
            </w:r>
          </w:p>
        </w:tc>
        <w:tc>
          <w:tcPr/>
          <w:p>
            <w:pPr>
              <w:pStyle w:val="Compact"/>
              <w:jc w:val="left"/>
            </w:pPr>
            <w:r>
              <w:rPr>
                <w:rFonts w:ascii="Calibri" w:hAnsi="Calibri"/>
                <w:sz w:val="20"/>
              </w:rPr>
              <w:t xml:space="preserve">801</w:t>
            </w:r>
          </w:p>
        </w:tc>
      </w:tr>
      <w:tr>
        <w:tc>
          <w:tcPr/>
          <w:p>
            <w:pPr>
              <w:pStyle w:val="Compact"/>
              <w:jc w:val="left"/>
            </w:pPr>
            <w:r>
              <w:rPr>
                <w:rFonts w:ascii="Calibri" w:hAnsi="Calibri"/>
                <w:sz w:val="20"/>
              </w:rPr>
              <w:t xml:space="preserve">2001T3</w:t>
            </w:r>
          </w:p>
        </w:tc>
        <w:tc>
          <w:tcPr/>
          <w:p>
            <w:pPr>
              <w:pStyle w:val="Compact"/>
              <w:jc w:val="left"/>
            </w:pPr>
            <w:r>
              <w:rPr>
                <w:rFonts w:ascii="Calibri" w:hAnsi="Calibri"/>
                <w:sz w:val="20"/>
              </w:rPr>
              <w:t xml:space="preserve">1469</w:t>
            </w:r>
          </w:p>
        </w:tc>
        <w:tc>
          <w:tcPr/>
          <w:p>
            <w:pPr>
              <w:pStyle w:val="Compact"/>
              <w:jc w:val="left"/>
            </w:pPr>
            <w:r>
              <w:rPr>
                <w:rFonts w:ascii="Calibri" w:hAnsi="Calibri"/>
                <w:sz w:val="20"/>
              </w:rPr>
              <w:t xml:space="preserve">1033</w:t>
            </w:r>
          </w:p>
        </w:tc>
      </w:tr>
    </w:tbl>
    <w:p>
      <w:pPr>
        <w:pStyle w:val="BodyText"/>
      </w:pPr>
      <w:r>
        <w:t xml:space="preserve">El empalme reproduce el nivel y subestima el salto de la crisis de 2001: si tiene un sesgo, atenúa la volatilidad de 1996-1998 y vuelve más conservadoras las probabilidades. Con datos desde 1999, sin empalme, los resultados casi no cambian (sección A.10).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empalmado (pb)</w:t>
            </w:r>
          </w:p>
        </w:tc>
        <w:tc>
          <w:tcPr/>
          <w:p>
            <w:pPr>
              <w:pStyle w:val="Compact"/>
              <w:jc w:val="left"/>
            </w:pPr>
            <w:r>
              <w:rPr>
                <w:rFonts w:ascii="Calibri" w:hAnsi="Calibri"/>
                <w:sz w:val="20"/>
              </w:rPr>
              <w:t xml:space="preserve">TCRM empalmado</w:t>
            </w:r>
          </w:p>
        </w:tc>
      </w:tr>
      <w:tr>
        <w:tc>
          <w:tcPr/>
          <w:p>
            <w:pPr>
              <w:pStyle w:val="Compact"/>
              <w:jc w:val="left"/>
            </w:pPr>
            <w:r>
              <w:rPr>
                <w:rFonts w:ascii="Calibri" w:hAnsi="Calibri"/>
                <w:sz w:val="20"/>
              </w:rPr>
              <w:t xml:space="preserve">1996T1</w:t>
            </w:r>
          </w:p>
        </w:tc>
        <w:tc>
          <w:tcPr/>
          <w:p>
            <w:pPr>
              <w:pStyle w:val="Compact"/>
              <w:jc w:val="left"/>
            </w:pPr>
            <w:r>
              <w:rPr>
                <w:rFonts w:ascii="Calibri" w:hAnsi="Calibri"/>
                <w:sz w:val="20"/>
              </w:rPr>
              <w:t xml:space="preserve">598</w:t>
            </w:r>
          </w:p>
        </w:tc>
        <w:tc>
          <w:tcPr/>
          <w:p>
            <w:pPr>
              <w:pStyle w:val="Compact"/>
              <w:jc w:val="left"/>
            </w:pPr>
            <w:r>
              <w:rPr>
                <w:rFonts w:ascii="Calibri" w:hAnsi="Calibri"/>
                <w:sz w:val="20"/>
              </w:rPr>
              <w:t xml:space="preserve">1,235</w:t>
            </w:r>
          </w:p>
        </w:tc>
      </w:tr>
      <w:tr>
        <w:tc>
          <w:tcPr/>
          <w:p>
            <w:pPr>
              <w:pStyle w:val="Compact"/>
              <w:jc w:val="left"/>
            </w:pPr>
            <w:r>
              <w:rPr>
                <w:rFonts w:ascii="Calibri" w:hAnsi="Calibri"/>
                <w:sz w:val="20"/>
              </w:rPr>
              <w:t xml:space="preserve">1996T2</w:t>
            </w:r>
          </w:p>
        </w:tc>
        <w:tc>
          <w:tcPr/>
          <w:p>
            <w:pPr>
              <w:pStyle w:val="Compact"/>
              <w:jc w:val="left"/>
            </w:pPr>
            <w:r>
              <w:rPr>
                <w:rFonts w:ascii="Calibri" w:hAnsi="Calibri"/>
                <w:sz w:val="20"/>
              </w:rPr>
              <w:t xml:space="preserve">576</w:t>
            </w:r>
          </w:p>
        </w:tc>
        <w:tc>
          <w:tcPr/>
          <w:p>
            <w:pPr>
              <w:pStyle w:val="Compact"/>
              <w:jc w:val="left"/>
            </w:pPr>
            <w:r>
              <w:rPr>
                <w:rFonts w:ascii="Calibri" w:hAnsi="Calibri"/>
                <w:sz w:val="20"/>
              </w:rPr>
              <w:t xml:space="preserve">1,248</w:t>
            </w:r>
          </w:p>
        </w:tc>
      </w:tr>
      <w:tr>
        <w:tc>
          <w:tcPr/>
          <w:p>
            <w:pPr>
              <w:pStyle w:val="Compact"/>
              <w:jc w:val="left"/>
            </w:pPr>
            <w:r>
              <w:rPr>
                <w:rFonts w:ascii="Calibri" w:hAnsi="Calibri"/>
                <w:sz w:val="20"/>
              </w:rPr>
              <w:t xml:space="preserve">1996T3</w:t>
            </w:r>
          </w:p>
        </w:tc>
        <w:tc>
          <w:tcPr/>
          <w:p>
            <w:pPr>
              <w:pStyle w:val="Compact"/>
              <w:jc w:val="left"/>
            </w:pPr>
            <w:r>
              <w:rPr>
                <w:rFonts w:ascii="Calibri" w:hAnsi="Calibri"/>
                <w:sz w:val="20"/>
              </w:rPr>
              <w:t xml:space="preserve">645</w:t>
            </w:r>
          </w:p>
        </w:tc>
        <w:tc>
          <w:tcPr/>
          <w:p>
            <w:pPr>
              <w:pStyle w:val="Compact"/>
              <w:jc w:val="left"/>
            </w:pPr>
            <w:r>
              <w:rPr>
                <w:rFonts w:ascii="Calibri" w:hAnsi="Calibri"/>
                <w:sz w:val="20"/>
              </w:rPr>
              <w:t xml:space="preserve">1,252</w:t>
            </w:r>
          </w:p>
        </w:tc>
      </w:tr>
      <w:tr>
        <w:tc>
          <w:tcPr/>
          <w:p>
            <w:pPr>
              <w:pStyle w:val="Compact"/>
              <w:jc w:val="left"/>
            </w:pPr>
            <w:r>
              <w:rPr>
                <w:rFonts w:ascii="Calibri" w:hAnsi="Calibri"/>
                <w:sz w:val="20"/>
              </w:rPr>
              <w:t xml:space="preserve">1996T4</w:t>
            </w:r>
          </w:p>
        </w:tc>
        <w:tc>
          <w:tcPr/>
          <w:p>
            <w:pPr>
              <w:pStyle w:val="Compact"/>
              <w:jc w:val="left"/>
            </w:pPr>
            <w:r>
              <w:rPr>
                <w:rFonts w:ascii="Calibri" w:hAnsi="Calibri"/>
                <w:sz w:val="20"/>
              </w:rPr>
              <w:t xml:space="preserve">666</w:t>
            </w:r>
          </w:p>
        </w:tc>
        <w:tc>
          <w:tcPr/>
          <w:p>
            <w:pPr>
              <w:pStyle w:val="Compact"/>
              <w:jc w:val="left"/>
            </w:pPr>
            <w:r>
              <w:rPr>
                <w:rFonts w:ascii="Calibri" w:hAnsi="Calibri"/>
                <w:sz w:val="20"/>
              </w:rPr>
              <w:t xml:space="preserve">1,244</w:t>
            </w:r>
          </w:p>
        </w:tc>
      </w:tr>
      <w:tr>
        <w:tc>
          <w:tcPr/>
          <w:p>
            <w:pPr>
              <w:pStyle w:val="Compact"/>
              <w:jc w:val="left"/>
            </w:pPr>
            <w:r>
              <w:rPr>
                <w:rFonts w:ascii="Calibri" w:hAnsi="Calibri"/>
                <w:sz w:val="20"/>
              </w:rPr>
              <w:t xml:space="preserve">1997T1</w:t>
            </w:r>
          </w:p>
        </w:tc>
        <w:tc>
          <w:tcPr/>
          <w:p>
            <w:pPr>
              <w:pStyle w:val="Compact"/>
              <w:jc w:val="left"/>
            </w:pPr>
            <w:r>
              <w:rPr>
                <w:rFonts w:ascii="Calibri" w:hAnsi="Calibri"/>
                <w:sz w:val="20"/>
              </w:rPr>
              <w:t xml:space="preserve">637</w:t>
            </w:r>
          </w:p>
        </w:tc>
        <w:tc>
          <w:tcPr/>
          <w:p>
            <w:pPr>
              <w:pStyle w:val="Compact"/>
            </w:pPr>
          </w:p>
        </w:tc>
      </w:tr>
      <w:tr>
        <w:tc>
          <w:tcPr/>
          <w:p>
            <w:pPr>
              <w:pStyle w:val="Compact"/>
              <w:jc w:val="left"/>
            </w:pPr>
            <w:r>
              <w:rPr>
                <w:rFonts w:ascii="Calibri" w:hAnsi="Calibri"/>
                <w:sz w:val="20"/>
              </w:rPr>
              <w:t xml:space="preserve">1997T2</w:t>
            </w:r>
          </w:p>
        </w:tc>
        <w:tc>
          <w:tcPr/>
          <w:p>
            <w:pPr>
              <w:pStyle w:val="Compact"/>
              <w:jc w:val="left"/>
            </w:pPr>
            <w:r>
              <w:rPr>
                <w:rFonts w:ascii="Calibri" w:hAnsi="Calibri"/>
                <w:sz w:val="20"/>
              </w:rPr>
              <w:t xml:space="preserve">595</w:t>
            </w:r>
          </w:p>
        </w:tc>
        <w:tc>
          <w:tcPr/>
          <w:p>
            <w:pPr>
              <w:pStyle w:val="Compact"/>
            </w:pPr>
          </w:p>
        </w:tc>
      </w:tr>
      <w:tr>
        <w:tc>
          <w:tcPr/>
          <w:p>
            <w:pPr>
              <w:pStyle w:val="Compact"/>
              <w:jc w:val="left"/>
            </w:pPr>
            <w:r>
              <w:rPr>
                <w:rFonts w:ascii="Calibri" w:hAnsi="Calibri"/>
                <w:sz w:val="20"/>
              </w:rPr>
              <w:t xml:space="preserve">1997T3</w:t>
            </w:r>
          </w:p>
        </w:tc>
        <w:tc>
          <w:tcPr/>
          <w:p>
            <w:pPr>
              <w:pStyle w:val="Compact"/>
              <w:jc w:val="left"/>
            </w:pPr>
            <w:r>
              <w:rPr>
                <w:rFonts w:ascii="Calibri" w:hAnsi="Calibri"/>
                <w:sz w:val="20"/>
              </w:rPr>
              <w:t xml:space="preserve">667</w:t>
            </w:r>
          </w:p>
        </w:tc>
        <w:tc>
          <w:tcPr/>
          <w:p>
            <w:pPr>
              <w:pStyle w:val="Compact"/>
            </w:pPr>
          </w:p>
        </w:tc>
      </w:tr>
      <w:tr>
        <w:tc>
          <w:tcPr/>
          <w:p>
            <w:pPr>
              <w:pStyle w:val="Compact"/>
              <w:jc w:val="left"/>
            </w:pPr>
            <w:r>
              <w:rPr>
                <w:rFonts w:ascii="Calibri" w:hAnsi="Calibri"/>
                <w:sz w:val="20"/>
              </w:rPr>
              <w:t xml:space="preserve">1997T4</w:t>
            </w:r>
          </w:p>
        </w:tc>
        <w:tc>
          <w:tcPr/>
          <w:p>
            <w:pPr>
              <w:pStyle w:val="Compact"/>
              <w:jc w:val="left"/>
            </w:pPr>
            <w:r>
              <w:rPr>
                <w:rFonts w:ascii="Calibri" w:hAnsi="Calibri"/>
                <w:sz w:val="20"/>
              </w:rPr>
              <w:t xml:space="preserve">740</w:t>
            </w:r>
          </w:p>
        </w:tc>
        <w:tc>
          <w:tcPr/>
          <w:p>
            <w:pPr>
              <w:pStyle w:val="Compact"/>
            </w:pPr>
          </w:p>
        </w:tc>
      </w:tr>
      <w:tr>
        <w:tc>
          <w:tcPr/>
          <w:p>
            <w:pPr>
              <w:pStyle w:val="Compact"/>
              <w:jc w:val="left"/>
            </w:pPr>
            <w:r>
              <w:rPr>
                <w:rFonts w:ascii="Calibri" w:hAnsi="Calibri"/>
                <w:sz w:val="20"/>
              </w:rPr>
              <w:t xml:space="preserve">1998T1</w:t>
            </w:r>
          </w:p>
        </w:tc>
        <w:tc>
          <w:tcPr/>
          <w:p>
            <w:pPr>
              <w:pStyle w:val="Compact"/>
              <w:jc w:val="left"/>
            </w:pPr>
            <w:r>
              <w:rPr>
                <w:rFonts w:ascii="Calibri" w:hAnsi="Calibri"/>
                <w:sz w:val="20"/>
              </w:rPr>
              <w:t xml:space="preserve">672</w:t>
            </w:r>
          </w:p>
        </w:tc>
        <w:tc>
          <w:tcPr/>
          <w:p>
            <w:pPr>
              <w:pStyle w:val="Compact"/>
            </w:pPr>
          </w:p>
        </w:tc>
      </w:tr>
      <w:tr>
        <w:tc>
          <w:tcPr/>
          <w:p>
            <w:pPr>
              <w:pStyle w:val="Compact"/>
              <w:jc w:val="left"/>
            </w:pPr>
            <w:r>
              <w:rPr>
                <w:rFonts w:ascii="Calibri" w:hAnsi="Calibri"/>
                <w:sz w:val="20"/>
              </w:rPr>
              <w:t xml:space="preserve">1998T2</w:t>
            </w:r>
          </w:p>
        </w:tc>
        <w:tc>
          <w:tcPr/>
          <w:p>
            <w:pPr>
              <w:pStyle w:val="Compact"/>
              <w:jc w:val="left"/>
            </w:pPr>
            <w:r>
              <w:rPr>
                <w:rFonts w:ascii="Calibri" w:hAnsi="Calibri"/>
                <w:sz w:val="20"/>
              </w:rPr>
              <w:t xml:space="preserve">612</w:t>
            </w:r>
          </w:p>
        </w:tc>
        <w:tc>
          <w:tcPr/>
          <w:p>
            <w:pPr>
              <w:pStyle w:val="Compact"/>
            </w:pPr>
          </w:p>
        </w:tc>
      </w:tr>
      <w:tr>
        <w:tc>
          <w:tcPr/>
          <w:p>
            <w:pPr>
              <w:pStyle w:val="Compact"/>
              <w:jc w:val="left"/>
            </w:pPr>
            <w:r>
              <w:rPr>
                <w:rFonts w:ascii="Calibri" w:hAnsi="Calibri"/>
                <w:sz w:val="20"/>
              </w:rPr>
              <w:t xml:space="preserve">1998T3</w:t>
            </w:r>
          </w:p>
        </w:tc>
        <w:tc>
          <w:tcPr/>
          <w:p>
            <w:pPr>
              <w:pStyle w:val="Compact"/>
              <w:jc w:val="left"/>
            </w:pPr>
            <w:r>
              <w:rPr>
                <w:rFonts w:ascii="Calibri" w:hAnsi="Calibri"/>
                <w:sz w:val="20"/>
              </w:rPr>
              <w:t xml:space="preserve">712</w:t>
            </w:r>
          </w:p>
        </w:tc>
        <w:tc>
          <w:tcPr/>
          <w:p>
            <w:pPr>
              <w:pStyle w:val="Compact"/>
            </w:pPr>
          </w:p>
        </w:tc>
      </w:tr>
    </w:tbl>
    <w:p>
      <w:pPr>
        <w:pStyle w:val="BodyText"/>
      </w:pPr>
      <w:r>
        <w:t xml:space="preserve">Fuente: elaboración propia.</w:t>
      </w:r>
    </w:p>
    <w:p>
      <w:pPr>
        <w:pStyle w:val="CaptionedFigure"/>
      </w:pPr>
      <w:r>
        <w:drawing>
          <wp:inline>
            <wp:extent cx="5334000" cy="3962400"/>
            <wp:effectExtent b="0" l="0" r="0" t="0"/>
            <wp:docPr descr="Figura A.1. Empalmes del EMBI y del TCRM. Series observadas y reconstruidas con las variables puente; el sombreado marca la superposición del EMBI. Fuente: elaboración propia con datos del BCRA, J.P. Morgan, Reserva Federal y BIS." title="" id="127" name="Picture"/>
            <a:graphic>
              <a:graphicData uri="http://schemas.openxmlformats.org/drawingml/2006/picture">
                <pic:pic>
                  <pic:nvPicPr>
                    <pic:cNvPr descr="../tesis/figuras/figA_1_empalmes.png" id="128" name="Picture"/>
                    <pic:cNvPicPr>
                      <a:picLocks noChangeArrowheads="1" noChangeAspect="1"/>
                    </pic:cNvPicPr>
                  </pic:nvPicPr>
                  <pic:blipFill>
                    <a:blip r:embed="rId126"/>
                    <a:stretch>
                      <a:fillRect/>
                    </a:stretch>
                  </pic:blipFill>
                  <pic:spPr bwMode="auto">
                    <a:xfrm>
                      <a:off x="0" y="0"/>
                      <a:ext cx="5334000" cy="3962400"/>
                    </a:xfrm>
                    <a:prstGeom prst="rect">
                      <a:avLst/>
                    </a:prstGeom>
                    <a:noFill/>
                    <a:ln w="9525">
                      <a:noFill/>
                      <a:headEnd/>
                      <a:tailEnd/>
                    </a:ln>
                  </pic:spPr>
                </pic:pic>
              </a:graphicData>
            </a:graphic>
          </wp:inline>
        </w:drawing>
      </w:r>
    </w:p>
    <w:p>
      <w:pPr>
        <w:pStyle w:val="ImageCaption"/>
      </w:pPr>
      <w:r>
        <w:t xml:space="preserve">Figura A.1. Empalmes del EMBI y del TCRM. Series observadas y reconstruidas con las variables puente; el sombreado marca la superposición del EMBI. Fuente: elaboración propia con datos del BCRA, J.P. Morgan, Reserva Federal y BIS.</w:t>
      </w:r>
    </w:p>
    <w:bookmarkEnd w:id="129"/>
    <w:bookmarkStart w:id="130" w:name="a.3-propiedades-de-las-series"/>
    <w:p>
      <w:pPr>
        <w:pStyle w:val="Heading2"/>
      </w:pPr>
      <w:r>
        <w:t xml:space="preserve">A.3 Propiedades de las series</w:t>
      </w:r>
    </w:p>
    <w:p>
      <w:pPr>
        <w:pStyle w:val="FirstParagraph"/>
      </w:pPr>
      <w:r>
        <w:rPr>
          <w:bCs/>
          <w:b/>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Ventana 1996-2025. Especificación: en ADF y en Zivot y Andrews, el número de rezagos de las diferencias se elige por el criterio de Akaike hasta el máximo de la regla de Schwert (1989), con constante y sin tendencia; en KPSS, con constante, el ancho de banda es el que elige el procedimiento automático de Hobijn et al. (2004). Los p-valores de KPSS se interpolan entre 0,01 y 0,10, por lo que se escriben como desigualdades en los extremos.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ADF (p)</w:t>
            </w:r>
          </w:p>
        </w:tc>
        <w:tc>
          <w:tcPr/>
          <w:p>
            <w:pPr>
              <w:pStyle w:val="Compact"/>
              <w:jc w:val="left"/>
            </w:pPr>
            <w:r>
              <w:rPr>
                <w:rFonts w:ascii="Calibri" w:hAnsi="Calibri"/>
                <w:sz w:val="20"/>
              </w:rPr>
              <w:t xml:space="preserve">KPSS (p)</w:t>
            </w:r>
          </w:p>
        </w:tc>
        <w:tc>
          <w:tcPr/>
          <w:p>
            <w:pPr>
              <w:pStyle w:val="Compact"/>
              <w:jc w:val="left"/>
            </w:pPr>
            <w:r>
              <w:rPr>
                <w:rFonts w:ascii="Calibri" w:hAnsi="Calibri"/>
                <w:sz w:val="20"/>
              </w:rPr>
              <w:t xml:space="preserve">Clasificación</w:t>
            </w:r>
          </w:p>
        </w:tc>
        <w:tc>
          <w:tcPr/>
          <w:p>
            <w:pPr>
              <w:pStyle w:val="Compact"/>
              <w:jc w:val="left"/>
            </w:pPr>
            <w:r>
              <w:rPr>
                <w:rFonts w:ascii="Calibri" w:hAnsi="Calibri"/>
                <w:sz w:val="20"/>
              </w:rPr>
              <w:t xml:space="preserve">Zivot-Andrews (p)</w:t>
            </w:r>
          </w:p>
        </w:tc>
        <w:tc>
          <w:tcPr/>
          <w:p>
            <w:pPr>
              <w:pStyle w:val="Compact"/>
              <w:jc w:val="left"/>
            </w:pPr>
            <w:r>
              <w:rPr>
                <w:rFonts w:ascii="Calibri" w:hAnsi="Calibri"/>
                <w:sz w:val="20"/>
              </w:rPr>
              <w:t xml:space="preserve">Quiebre de Zivot-Andrews</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0,580</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0,997</w:t>
            </w:r>
          </w:p>
        </w:tc>
        <w:tc>
          <w:tcPr/>
          <w:p>
            <w:pPr>
              <w:pStyle w:val="Compact"/>
              <w:jc w:val="left"/>
            </w:pPr>
            <w:r>
              <w:rPr>
                <w:rFonts w:ascii="Calibri" w:hAnsi="Calibri"/>
                <w:sz w:val="20"/>
              </w:rPr>
              <w:t xml:space="preserve">2012T3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0,053</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0,236</w:t>
            </w:r>
          </w:p>
        </w:tc>
        <w:tc>
          <w:tcPr/>
          <w:p>
            <w:pPr>
              <w:pStyle w:val="Compact"/>
              <w:jc w:val="left"/>
            </w:pPr>
            <w:r>
              <w:rPr>
                <w:rFonts w:ascii="Calibri" w:hAnsi="Calibri"/>
                <w:sz w:val="20"/>
              </w:rPr>
              <w:t xml:space="preserve">2003T1</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0,154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0,084</w:t>
            </w:r>
          </w:p>
        </w:tc>
        <w:tc>
          <w:tcPr/>
          <w:p>
            <w:pPr>
              <w:pStyle w:val="Compact"/>
              <w:jc w:val="left"/>
            </w:pPr>
            <w:r>
              <w:rPr>
                <w:rFonts w:ascii="Calibri" w:hAnsi="Calibri"/>
                <w:sz w:val="20"/>
              </w:rPr>
              <w:t xml:space="preserve">2005T2</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0,249</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2001T4</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0,094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0,457</w:t>
            </w:r>
          </w:p>
        </w:tc>
        <w:tc>
          <w:tcPr/>
          <w:p>
            <w:pPr>
              <w:pStyle w:val="Compact"/>
              <w:jc w:val="left"/>
            </w:pPr>
            <w:r>
              <w:rPr>
                <w:rFonts w:ascii="Calibri" w:hAnsi="Calibri"/>
                <w:sz w:val="20"/>
              </w:rPr>
              <w:t xml:space="preserve">2005T1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0,396</w:t>
            </w:r>
          </w:p>
        </w:tc>
        <w:tc>
          <w:tcPr/>
          <w:p>
            <w:pPr>
              <w:pStyle w:val="Compact"/>
              <w:jc w:val="left"/>
            </w:pPr>
            <w:r>
              <w:rPr>
                <w:rFonts w:ascii="Calibri" w:hAnsi="Calibri"/>
                <w:sz w:val="20"/>
              </w:rPr>
              <w:t xml:space="preserve">0,095</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0,967</w:t>
            </w:r>
          </w:p>
        </w:tc>
        <w:tc>
          <w:tcPr/>
          <w:p>
            <w:pPr>
              <w:pStyle w:val="Compact"/>
              <w:jc w:val="left"/>
            </w:pPr>
            <w:r>
              <w:rPr>
                <w:rFonts w:ascii="Calibri" w:hAnsi="Calibri"/>
                <w:sz w:val="20"/>
              </w:rPr>
              <w:t xml:space="preserve">2015T3</w:t>
            </w:r>
          </w:p>
        </w:tc>
      </w:tr>
      <w:tr>
        <w:tc>
          <w:tcPr/>
          <w:p>
            <w:pPr>
              <w:pStyle w:val="Compact"/>
              <w:jc w:val="left"/>
            </w:pPr>
            <w:r>
              <w:rPr>
                <w:rFonts w:ascii="Calibri" w:hAnsi="Calibri"/>
                <w:sz w:val="20"/>
              </w:rPr>
              <w:t xml:space="preserve">Tasa de la FED (nivel)</w:t>
            </w:r>
          </w:p>
        </w:tc>
        <w:tc>
          <w:tcPr/>
          <w:p>
            <w:pPr>
              <w:pStyle w:val="Compact"/>
              <w:jc w:val="left"/>
            </w:pPr>
            <w:r>
              <w:rPr>
                <w:rFonts w:ascii="Calibri" w:hAnsi="Calibri"/>
                <w:sz w:val="20"/>
              </w:rPr>
              <w:t xml:space="preserve">0,104</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0,113</w:t>
            </w:r>
          </w:p>
        </w:tc>
        <w:tc>
          <w:tcPr/>
          <w:p>
            <w:pPr>
              <w:pStyle w:val="Compact"/>
              <w:jc w:val="left"/>
            </w:pPr>
            <w:r>
              <w:rPr>
                <w:rFonts w:ascii="Calibri" w:hAnsi="Calibri"/>
                <w:sz w:val="20"/>
              </w:rPr>
              <w:t xml:space="preserve">2007T3</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estacionaria</w:t>
            </w:r>
          </w:p>
        </w:tc>
        <w:tc>
          <w:tcPr/>
          <w:p>
            <w:pPr>
              <w:pStyle w:val="Compact"/>
              <w:jc w:val="left"/>
            </w:pPr>
            <w:r>
              <w:rPr>
                <w:rFonts w:ascii="Calibri" w:hAnsi="Calibri"/>
                <w:sz w:val="20"/>
              </w:rPr>
              <w:t xml:space="preserve">0,028</w:t>
            </w:r>
          </w:p>
        </w:tc>
        <w:tc>
          <w:tcPr/>
          <w:p>
            <w:pPr>
              <w:pStyle w:val="Compact"/>
              <w:jc w:val="left"/>
            </w:pPr>
            <w:r>
              <w:rPr>
                <w:rFonts w:ascii="Calibri" w:hAnsi="Calibri"/>
                <w:sz w:val="20"/>
              </w:rPr>
              <w:t xml:space="preserve">2019T4</w:t>
            </w:r>
          </w:p>
        </w:tc>
      </w:tr>
    </w:tbl>
    <w:p>
      <w:pPr>
        <w:pStyle w:val="BodyText"/>
      </w:pPr>
      <w:r>
        <w:rPr>
          <w:bCs/>
          <w:b/>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 los de 2006T2 y 2018T1; el que coincide con un cambio de gobierno lo reemplazan las binarias presidenciales.</w:t>
      </w:r>
    </w:p>
    <w:p>
      <w:pPr>
        <w:pStyle w:val="BodyText"/>
      </w:pPr>
      <w:r>
        <w:rPr>
          <w:bCs/>
          <w:b/>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Términos determinísticos: una constante en el VAR en niveles, sin tendencia (det_order = 0 en la implementación de</w:t>
      </w:r>
      <w:r>
        <w:t xml:space="preserve"> </w:t>
      </w:r>
      <w:r>
        <w:rPr>
          <w:iCs/>
          <w:i/>
        </w:rPr>
        <w:t xml:space="preserve">statsmodels</w:t>
      </w:r>
      <w:r>
        <w:t xml:space="preserve">), con el número de rezagos del VAR menos uno en las diferencias; los valores críticos son los de la traza al 5% para esa especificación. La prueba omite los quiebres y las binarias, de modo que es indicativa (Johansen et al., 2000).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Hipótesis nula</w:t>
            </w:r>
          </w:p>
        </w:tc>
        <w:tc>
          <w:tcPr/>
          <w:p>
            <w:pPr>
              <w:pStyle w:val="Compact"/>
              <w:jc w:val="left"/>
            </w:pPr>
            <w:r>
              <w:rPr>
                <w:rFonts w:ascii="Calibri" w:hAnsi="Calibri"/>
                <w:sz w:val="20"/>
              </w:rPr>
              <w:t xml:space="preserve">Traza</w:t>
            </w:r>
          </w:p>
        </w:tc>
        <w:tc>
          <w:tcPr/>
          <w:p>
            <w:pPr>
              <w:pStyle w:val="Compact"/>
              <w:jc w:val="left"/>
            </w:pPr>
            <w:r>
              <w:rPr>
                <w:rFonts w:ascii="Calibri" w:hAnsi="Calibri"/>
                <w:sz w:val="20"/>
              </w:rPr>
              <w:t xml:space="preserve">Valor crítico 5%</w:t>
            </w:r>
          </w:p>
        </w:tc>
        <w:tc>
          <w:tcPr/>
          <w:p>
            <w:pPr>
              <w:pStyle w:val="Compact"/>
              <w:jc w:val="left"/>
            </w:pPr>
            <w:r>
              <w:rPr>
                <w:rFonts w:ascii="Calibri" w:hAnsi="Calibri"/>
                <w:sz w:val="20"/>
              </w:rPr>
              <w:t xml:space="preserve">Rechaza</w:t>
            </w:r>
          </w:p>
        </w:tc>
      </w:tr>
      <w:tr>
        <w:tc>
          <w:tcPr/>
          <w:p>
            <w:pPr>
              <w:pStyle w:val="Compact"/>
              <w:jc w:val="left"/>
            </w:pPr>
            <w:r>
              <w:rPr>
                <w:rFonts w:ascii="Calibri" w:hAnsi="Calibri"/>
                <w:sz w:val="20"/>
              </w:rPr>
              <w:t xml:space="preserve">rango = 0</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47,9</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1</w:t>
            </w:r>
          </w:p>
        </w:tc>
        <w:tc>
          <w:tcPr/>
          <w:p>
            <w:pPr>
              <w:pStyle w:val="Compact"/>
              <w:jc w:val="left"/>
            </w:pPr>
            <w:r>
              <w:rPr>
                <w:rFonts w:ascii="Calibri" w:hAnsi="Calibri"/>
                <w:sz w:val="20"/>
              </w:rPr>
              <w:t xml:space="preserve">22,0</w:t>
            </w:r>
          </w:p>
        </w:tc>
        <w:tc>
          <w:tcPr/>
          <w:p>
            <w:pPr>
              <w:pStyle w:val="Compact"/>
              <w:jc w:val="left"/>
            </w:pPr>
            <w:r>
              <w:rPr>
                <w:rFonts w:ascii="Calibri" w:hAnsi="Calibri"/>
                <w:sz w:val="20"/>
              </w:rPr>
              <w:t xml:space="preserve">29,8</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2</w:t>
            </w:r>
          </w:p>
        </w:tc>
        <w:tc>
          <w:tcPr/>
          <w:p>
            <w:pPr>
              <w:pStyle w:val="Compact"/>
              <w:jc w:val="left"/>
            </w:pPr>
            <w:r>
              <w:rPr>
                <w:rFonts w:ascii="Calibri" w:hAnsi="Calibri"/>
                <w:sz w:val="20"/>
              </w:rPr>
              <w:t xml:space="preserve">10,9</w:t>
            </w:r>
          </w:p>
        </w:tc>
        <w:tc>
          <w:tcPr/>
          <w:p>
            <w:pPr>
              <w:pStyle w:val="Compact"/>
              <w:jc w:val="left"/>
            </w:pPr>
            <w:r>
              <w:rPr>
                <w:rFonts w:ascii="Calibri" w:hAnsi="Calibri"/>
                <w:sz w:val="20"/>
              </w:rPr>
              <w:t xml:space="preserve">15,5</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3</w:t>
            </w:r>
          </w:p>
        </w:tc>
        <w:tc>
          <w:tcPr/>
          <w:p>
            <w:pPr>
              <w:pStyle w:val="Compact"/>
              <w:jc w:val="left"/>
            </w:pPr>
            <w:r>
              <w:rPr>
                <w:rFonts w:ascii="Calibri" w:hAnsi="Calibri"/>
                <w:sz w:val="20"/>
              </w:rPr>
              <w:t xml:space="preserve">3,3</w:t>
            </w:r>
          </w:p>
        </w:tc>
        <w:tc>
          <w:tcPr/>
          <w:p>
            <w:pPr>
              <w:pStyle w:val="Compact"/>
              <w:jc w:val="left"/>
            </w:pPr>
            <w:r>
              <w:rPr>
                <w:rFonts w:ascii="Calibri" w:hAnsi="Calibri"/>
                <w:sz w:val="20"/>
              </w:rPr>
              <w:t xml:space="preserve">3,8</w:t>
            </w:r>
          </w:p>
        </w:tc>
        <w:tc>
          <w:tcPr/>
          <w:p>
            <w:pPr>
              <w:pStyle w:val="Compact"/>
              <w:jc w:val="left"/>
            </w:pPr>
            <w:r>
              <w:rPr>
                <w:rFonts w:ascii="Calibri" w:hAnsi="Calibri"/>
                <w:sz w:val="20"/>
              </w:rPr>
              <w:t xml:space="preserve">no</w:t>
            </w:r>
          </w:p>
        </w:tc>
      </w:tr>
    </w:tbl>
    <w:p>
      <w:pPr>
        <w:pStyle w:val="BodyText"/>
      </w:pPr>
      <w:r>
        <w:rPr>
          <w:bCs/>
          <w:b/>
        </w:rPr>
        <w:t xml:space="preserve">Binarias presidenciales.</w:t>
      </w:r>
      <w:r>
        <w:t xml:space="preserve"> </w:t>
      </w:r>
      <w:r>
        <w:t xml:space="preserve">Significancia conjunta de las siete binarias por mandato (Menem es la referencia): prueba de Wald (estadístico F) en cada ecuación y razón de verosimilitud del sistema con la corrección de Sims (1980).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Contraste</w:t>
            </w:r>
          </w:p>
        </w:tc>
        <w:tc>
          <w:tcPr/>
          <w:p>
            <w:pPr>
              <w:pStyle w:val="Compact"/>
              <w:jc w:val="left"/>
            </w:pPr>
            <w:r>
              <w:rPr>
                <w:rFonts w:ascii="Calibri" w:hAnsi="Calibri"/>
                <w:sz w:val="20"/>
              </w:rPr>
              <w:t xml:space="preserve">Estadístico</w:t>
            </w:r>
          </w:p>
        </w:tc>
        <w:tc>
          <w:tcPr/>
          <w:p>
            <w:pPr>
              <w:pStyle w:val="Compact"/>
              <w:jc w:val="left"/>
            </w:pPr>
            <w:r>
              <w:rPr>
                <w:rFonts w:ascii="Calibri" w:hAnsi="Calibri"/>
                <w:sz w:val="20"/>
              </w:rPr>
              <w:t xml:space="preserve">Grados de libertad</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Wald, ecuación resultado primario</w:t>
            </w:r>
          </w:p>
        </w:tc>
        <w:tc>
          <w:tcPr/>
          <w:p>
            <w:pPr>
              <w:pStyle w:val="Compact"/>
              <w:jc w:val="left"/>
            </w:pPr>
            <w:r>
              <w:rPr>
                <w:rFonts w:ascii="Calibri" w:hAnsi="Calibri"/>
                <w:sz w:val="20"/>
              </w:rPr>
              <w:t xml:space="preserve">2,72</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Wald, ecuación crecimiento</w:t>
            </w:r>
          </w:p>
        </w:tc>
        <w:tc>
          <w:tcPr/>
          <w:p>
            <w:pPr>
              <w:pStyle w:val="Compact"/>
              <w:jc w:val="left"/>
            </w:pPr>
            <w:r>
              <w:rPr>
                <w:rFonts w:ascii="Calibri" w:hAnsi="Calibri"/>
                <w:sz w:val="20"/>
              </w:rPr>
              <w:t xml:space="preserve">1,67</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0,127</w:t>
            </w:r>
          </w:p>
        </w:tc>
      </w:tr>
      <w:tr>
        <w:tc>
          <w:tcPr/>
          <w:p>
            <w:pPr>
              <w:pStyle w:val="Compact"/>
              <w:jc w:val="left"/>
            </w:pPr>
            <w:r>
              <w:rPr>
                <w:rFonts w:ascii="Calibri" w:hAnsi="Calibri"/>
                <w:sz w:val="20"/>
              </w:rPr>
              <w:t xml:space="preserve">Wald, ecuación EMBI</w:t>
            </w:r>
          </w:p>
        </w:tc>
        <w:tc>
          <w:tcPr/>
          <w:p>
            <w:pPr>
              <w:pStyle w:val="Compact"/>
              <w:jc w:val="left"/>
            </w:pPr>
            <w:r>
              <w:rPr>
                <w:rFonts w:ascii="Calibri" w:hAnsi="Calibri"/>
                <w:sz w:val="20"/>
              </w:rPr>
              <w:t xml:space="preserve">7,38</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Wald, ecuación TCRM</w:t>
            </w:r>
          </w:p>
        </w:tc>
        <w:tc>
          <w:tcPr/>
          <w:p>
            <w:pPr>
              <w:pStyle w:val="Compact"/>
              <w:jc w:val="left"/>
            </w:pPr>
            <w:r>
              <w:rPr>
                <w:rFonts w:ascii="Calibri" w:hAnsi="Calibri"/>
                <w:sz w:val="20"/>
              </w:rPr>
              <w:t xml:space="preserve">3,16</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0,005</w:t>
            </w:r>
          </w:p>
        </w:tc>
      </w:tr>
      <w:tr>
        <w:tc>
          <w:tcPr/>
          <w:p>
            <w:pPr>
              <w:pStyle w:val="Compact"/>
              <w:jc w:val="left"/>
            </w:pPr>
            <w:r>
              <w:rPr>
                <w:rFonts w:ascii="Calibri" w:hAnsi="Calibri"/>
                <w:sz w:val="20"/>
              </w:rPr>
              <w:t xml:space="preserve">Razón de verosimilitud del sistema (Sims)</w:t>
            </w:r>
          </w:p>
        </w:tc>
        <w:tc>
          <w:tcPr/>
          <w:p>
            <w:pPr>
              <w:pStyle w:val="Compact"/>
              <w:jc w:val="left"/>
            </w:pPr>
            <w:r>
              <w:rPr>
                <w:rFonts w:ascii="Calibri" w:hAnsi="Calibri"/>
                <w:sz w:val="20"/>
              </w:rPr>
              <w:t xml:space="preserve">80,05</w:t>
            </w:r>
          </w:p>
        </w:tc>
        <w:tc>
          <w:tcPr/>
          <w:p>
            <w:pPr>
              <w:pStyle w:val="Compact"/>
              <w:jc w:val="left"/>
            </w:pPr>
            <w:r>
              <w:rPr>
                <w:rFonts w:ascii="Calibri" w:hAnsi="Calibri"/>
                <w:sz w:val="20"/>
              </w:rPr>
              <w:t xml:space="preserve">28</w:t>
            </w:r>
          </w:p>
        </w:tc>
        <w:tc>
          <w:tcPr/>
          <w:p>
            <w:pPr>
              <w:pStyle w:val="Compact"/>
              <w:jc w:val="left"/>
            </w:pPr>
            <w:r>
              <w:rPr>
                <w:rFonts w:ascii="Calibri" w:hAnsi="Calibri"/>
                <w:sz w:val="20"/>
              </w:rPr>
              <w:t xml:space="preserve">&lt; 0,001</w:t>
            </w:r>
          </w:p>
        </w:tc>
      </w:tr>
    </w:tbl>
    <w:p>
      <w:pPr>
        <w:pStyle w:val="BodyText"/>
      </w:pPr>
      <w:r>
        <w:rPr>
          <w:bCs/>
          <w:b/>
        </w:rPr>
        <w:t xml:space="preserve">Coincidencia de los quiebres con los cambios de gobierno.</w:t>
      </w:r>
      <w:r>
        <w:t xml:space="preserve"> </w:t>
      </w:r>
      <w:r>
        <w:t xml:space="preserve">Los quiebres se recalculan al reestimar con otra serie o muestra. Cuando uno coincide con el inicio de un gobierno, las binarias presidenciales lo reemplazan; los que caen dentro de un mandato se conservan.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Quiebre</w:t>
            </w:r>
          </w:p>
        </w:tc>
        <w:tc>
          <w:tcPr/>
          <w:p>
            <w:pPr>
              <w:pStyle w:val="Compact"/>
              <w:jc w:val="left"/>
            </w:pPr>
            <w:r>
              <w:rPr>
                <w:rFonts w:ascii="Calibri" w:hAnsi="Calibri"/>
                <w:sz w:val="20"/>
              </w:rPr>
              <w:t xml:space="preserve">Gobierno en funciones</w:t>
            </w:r>
          </w:p>
        </w:tc>
        <w:tc>
          <w:tcPr/>
          <w:p>
            <w:pPr>
              <w:pStyle w:val="Compact"/>
              <w:jc w:val="left"/>
            </w:pPr>
            <w:r>
              <w:rPr>
                <w:rFonts w:ascii="Calibri" w:hAnsi="Calibri"/>
                <w:sz w:val="20"/>
              </w:rPr>
              <w:t xml:space="preserve">Inicio de gobierno más cercano</w:t>
            </w:r>
          </w:p>
        </w:tc>
        <w:tc>
          <w:tcPr/>
          <w:p>
            <w:pPr>
              <w:pStyle w:val="Compact"/>
              <w:jc w:val="left"/>
            </w:pPr>
            <w:r>
              <w:rPr>
                <w:rFonts w:ascii="Calibri" w:hAnsi="Calibri"/>
                <w:sz w:val="20"/>
              </w:rPr>
              <w:t xml:space="preserve">Distancia (trimestres)</w:t>
            </w:r>
          </w:p>
        </w:tc>
        <w:tc>
          <w:tcPr/>
          <w:p>
            <w:pPr>
              <w:pStyle w:val="Compact"/>
              <w:jc w:val="left"/>
            </w:pPr>
            <w:r>
              <w:rPr>
                <w:rFonts w:ascii="Calibri" w:hAnsi="Calibri"/>
                <w:sz w:val="20"/>
              </w:rPr>
              <w:t xml:space="preserve">Tratamiento</w:t>
            </w:r>
          </w:p>
        </w:tc>
      </w:tr>
      <w:tr>
        <w:tc>
          <w:tcPr/>
          <w:p>
            <w:pPr>
              <w:pStyle w:val="Compact"/>
              <w:jc w:val="left"/>
            </w:pPr>
            <w:r>
              <w:rPr>
                <w:rFonts w:ascii="Calibri" w:hAnsi="Calibri"/>
                <w:sz w:val="20"/>
              </w:rPr>
              <w:t xml:space="preserve">2001T4</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0</w:t>
            </w:r>
          </w:p>
        </w:tc>
        <w:tc>
          <w:tcPr/>
          <w:p>
            <w:pPr>
              <w:pStyle w:val="Compact"/>
              <w:jc w:val="left"/>
            </w:pPr>
            <w:r>
              <w:rPr>
                <w:rFonts w:ascii="Calibri" w:hAnsi="Calibri"/>
                <w:sz w:val="20"/>
              </w:rPr>
              <w:t xml:space="preserve">lo reemplazan las binarias presidenciales</w:t>
            </w:r>
          </w:p>
        </w:tc>
      </w:tr>
      <w:tr>
        <w:tc>
          <w:tcPr/>
          <w:p>
            <w:pPr>
              <w:pStyle w:val="Compact"/>
              <w:jc w:val="left"/>
            </w:pPr>
            <w:r>
              <w:rPr>
                <w:rFonts w:ascii="Calibri" w:hAnsi="Calibri"/>
                <w:sz w:val="20"/>
              </w:rPr>
              <w:t xml:space="preserve">2006T2</w:t>
            </w:r>
          </w:p>
        </w:tc>
        <w:tc>
          <w:tcPr/>
          <w:p>
            <w:pPr>
              <w:pStyle w:val="Compact"/>
              <w:jc w:val="left"/>
            </w:pPr>
            <w:r>
              <w:rPr>
                <w:rFonts w:ascii="Calibri" w:hAnsi="Calibri"/>
                <w:sz w:val="20"/>
              </w:rPr>
              <w:t xml:space="preserve">N. Kirchner</w:t>
            </w:r>
          </w:p>
        </w:tc>
        <w:tc>
          <w:tcPr/>
          <w:p>
            <w:pPr>
              <w:pStyle w:val="Compact"/>
              <w:jc w:val="left"/>
            </w:pPr>
            <w:r>
              <w:rPr>
                <w:rFonts w:ascii="Calibri" w:hAnsi="Calibri"/>
                <w:sz w:val="20"/>
              </w:rPr>
              <w:t xml:space="preserve">C. Fernández de Kirchner</w:t>
            </w:r>
          </w:p>
        </w:tc>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se conserva</w:t>
            </w:r>
          </w:p>
        </w:tc>
      </w:tr>
      <w:tr>
        <w:tc>
          <w:tcPr/>
          <w:p>
            <w:pPr>
              <w:pStyle w:val="Compact"/>
              <w:jc w:val="left"/>
            </w:pPr>
            <w:r>
              <w:rPr>
                <w:rFonts w:ascii="Calibri" w:hAnsi="Calibri"/>
                <w:sz w:val="20"/>
              </w:rPr>
              <w:t xml:space="preserve">2018T1</w:t>
            </w:r>
          </w:p>
        </w:tc>
        <w:tc>
          <w:tcPr/>
          <w:p>
            <w:pPr>
              <w:pStyle w:val="Compact"/>
              <w:jc w:val="left"/>
            </w:pPr>
            <w:r>
              <w:rPr>
                <w:rFonts w:ascii="Calibri" w:hAnsi="Calibri"/>
                <w:sz w:val="20"/>
              </w:rPr>
              <w:t xml:space="preserve">Macri</w:t>
            </w:r>
          </w:p>
        </w:tc>
        <w:tc>
          <w:tcPr/>
          <w:p>
            <w:pPr>
              <w:pStyle w:val="Compact"/>
              <w:jc w:val="left"/>
            </w:pPr>
            <w:r>
              <w:rPr>
                <w:rFonts w:ascii="Calibri" w:hAnsi="Calibri"/>
                <w:sz w:val="20"/>
              </w:rPr>
              <w:t xml:space="preserve">A. Fernández</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se conserva</w:t>
            </w:r>
          </w:p>
        </w:tc>
      </w:tr>
    </w:tbl>
    <w:bookmarkEnd w:id="130"/>
    <w:bookmarkStart w:id="131" w:name="a.4-selección-del-orden-del-var"/>
    <w:p>
      <w:pPr>
        <w:pStyle w:val="Heading2"/>
      </w:pPr>
      <w:r>
        <w:t xml:space="preserve">A.4 Selección del orden del VAR</w:t>
      </w:r>
    </w:p>
    <w:p>
      <w:pPr>
        <w:pStyle w:val="FirstParagraph"/>
      </w:pPr>
      <w:r>
        <w:t xml:space="preserve">Muestra efectiva común 1998-2025 (111 trimestres) para todos los órdenes (sección 4.5). El punto de partida es el orden que elige el criterio de Schwarz entre los órdenes estables (Ivanov y Kilian, 2005); si sus residuos rechazan la ausencia de autocorrelación, se toma el menor orden mayor que no la rechaza y, si ninguno la rechaza al 5%, el orden estable con el mayor p-valor de Portmanteau.</w:t>
      </w:r>
    </w:p>
    <w:p>
      <w:pPr>
        <w:pStyle w:val="BodyText"/>
      </w:pPr>
      <w:r>
        <w:rPr>
          <w:bCs/>
          <w:b/>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p</w:t>
            </w:r>
          </w:p>
        </w:tc>
        <w:tc>
          <w:tcPr/>
          <w:p>
            <w:pPr>
              <w:pStyle w:val="Compact"/>
              <w:jc w:val="left"/>
            </w:pPr>
            <w:r>
              <w:rPr>
                <w:rFonts w:ascii="Calibri" w:hAnsi="Calibri"/>
                <w:sz w:val="20"/>
              </w:rPr>
              <w:t xml:space="preserve">AIC</w:t>
            </w:r>
          </w:p>
        </w:tc>
        <w:tc>
          <w:tcPr/>
          <w:p>
            <w:pPr>
              <w:pStyle w:val="Compact"/>
              <w:jc w:val="left"/>
            </w:pPr>
            <w:r>
              <w:rPr>
                <w:rFonts w:ascii="Calibri" w:hAnsi="Calibri"/>
                <w:sz w:val="20"/>
              </w:rPr>
              <w:t xml:space="preserve">BIC</w:t>
            </w:r>
          </w:p>
        </w:tc>
        <w:tc>
          <w:tcPr/>
          <w:p>
            <w:pPr>
              <w:pStyle w:val="Compact"/>
              <w:jc w:val="left"/>
            </w:pPr>
            <w:r>
              <w:rPr>
                <w:rFonts w:ascii="Calibri" w:hAnsi="Calibri"/>
                <w:sz w:val="20"/>
              </w:rPr>
              <w:t xml:space="preserve">HQ</w:t>
            </w:r>
          </w:p>
        </w:tc>
        <w:tc>
          <w:tcPr/>
          <w:p>
            <w:pPr>
              <w:pStyle w:val="Compact"/>
              <w:jc w:val="left"/>
            </w:pPr>
            <w:r>
              <w:rPr>
                <w:rFonts w:ascii="Calibri" w:hAnsi="Calibri"/>
                <w:sz w:val="20"/>
              </w:rPr>
              <w:t xml:space="preserve">Raíz máxima</w:t>
            </w:r>
          </w:p>
        </w:tc>
        <w:tc>
          <w:tcPr/>
          <w:p>
            <w:pPr>
              <w:pStyle w:val="Compact"/>
              <w:jc w:val="left"/>
            </w:pPr>
            <w:r>
              <w:rPr>
                <w:rFonts w:ascii="Calibri" w:hAnsi="Calibri"/>
                <w:sz w:val="20"/>
              </w:rPr>
              <w:t xml:space="preserve">Estable</w:t>
            </w:r>
          </w:p>
        </w:tc>
        <w:tc>
          <w:tcPr/>
          <w:p>
            <w:pPr>
              <w:pStyle w:val="Compact"/>
              <w:jc w:val="left"/>
            </w:pPr>
            <w:r>
              <w:rPr>
                <w:rFonts w:ascii="Calibri" w:hAnsi="Calibri"/>
                <w:sz w:val="20"/>
              </w:rPr>
              <w:t xml:space="preserve">Portmanteau (p)</w:t>
            </w:r>
          </w:p>
        </w:tc>
      </w:tr>
      <w:tr>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12,173</w:t>
            </w:r>
          </w:p>
        </w:tc>
        <w:tc>
          <w:tcPr/>
          <w:p>
            <w:pPr>
              <w:pStyle w:val="Compact"/>
              <w:jc w:val="left"/>
            </w:pPr>
            <w:r>
              <w:rPr>
                <w:rFonts w:ascii="Calibri" w:hAnsi="Calibri"/>
                <w:sz w:val="20"/>
              </w:rPr>
              <w:t xml:space="preserve">14,321</w:t>
            </w:r>
          </w:p>
        </w:tc>
        <w:tc>
          <w:tcPr/>
          <w:p>
            <w:pPr>
              <w:pStyle w:val="Compact"/>
              <w:jc w:val="left"/>
            </w:pPr>
            <w:r>
              <w:rPr>
                <w:rFonts w:ascii="Calibri" w:hAnsi="Calibri"/>
                <w:sz w:val="20"/>
              </w:rPr>
              <w:t xml:space="preserve">13,044</w:t>
            </w:r>
          </w:p>
        </w:tc>
        <w:tc>
          <w:tcPr/>
          <w:p>
            <w:pPr>
              <w:pStyle w:val="Compact"/>
              <w:jc w:val="left"/>
            </w:pPr>
            <w:r>
              <w:rPr>
                <w:rFonts w:ascii="Calibri" w:hAnsi="Calibri"/>
                <w:sz w:val="20"/>
              </w:rPr>
              <w:t xml:space="preserve">0,746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2</w:t>
            </w:r>
          </w:p>
        </w:tc>
        <w:tc>
          <w:tcPr/>
          <w:p>
            <w:pPr>
              <w:pStyle w:val="Compact"/>
              <w:jc w:val="left"/>
            </w:pPr>
            <w:r>
              <w:rPr>
                <w:rFonts w:ascii="Calibri" w:hAnsi="Calibri"/>
                <w:sz w:val="20"/>
              </w:rPr>
              <w:t xml:space="preserve">11,853</w:t>
            </w:r>
          </w:p>
        </w:tc>
        <w:tc>
          <w:tcPr/>
          <w:p>
            <w:pPr>
              <w:pStyle w:val="Compact"/>
              <w:jc w:val="left"/>
            </w:pPr>
            <w:r>
              <w:rPr>
                <w:rFonts w:ascii="Calibri" w:hAnsi="Calibri"/>
                <w:sz w:val="20"/>
              </w:rPr>
              <w:t xml:space="preserve">14,392</w:t>
            </w:r>
          </w:p>
        </w:tc>
        <w:tc>
          <w:tcPr/>
          <w:p>
            <w:pPr>
              <w:pStyle w:val="Compact"/>
              <w:jc w:val="left"/>
            </w:pPr>
            <w:r>
              <w:rPr>
                <w:rFonts w:ascii="Calibri" w:hAnsi="Calibri"/>
                <w:sz w:val="20"/>
              </w:rPr>
              <w:t xml:space="preserve">12,883</w:t>
            </w:r>
          </w:p>
        </w:tc>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0,031</w:t>
            </w:r>
          </w:p>
        </w:tc>
      </w:tr>
      <w:tr>
        <w:tc>
          <w:tcPr/>
          <w:p>
            <w:pPr>
              <w:pStyle w:val="Compact"/>
              <w:jc w:val="left"/>
            </w:pPr>
            <w:r>
              <w:rPr>
                <w:rFonts w:ascii="Calibri" w:hAnsi="Calibri"/>
                <w:sz w:val="20"/>
              </w:rPr>
              <w:t xml:space="preserve">3</w:t>
            </w:r>
          </w:p>
        </w:tc>
        <w:tc>
          <w:tcPr/>
          <w:p>
            <w:pPr>
              <w:pStyle w:val="Compact"/>
              <w:jc w:val="left"/>
            </w:pPr>
            <w:r>
              <w:rPr>
                <w:rFonts w:ascii="Calibri" w:hAnsi="Calibri"/>
                <w:sz w:val="20"/>
              </w:rPr>
              <w:t xml:space="preserve">11,936</w:t>
            </w:r>
          </w:p>
        </w:tc>
        <w:tc>
          <w:tcPr/>
          <w:p>
            <w:pPr>
              <w:pStyle w:val="Compact"/>
              <w:jc w:val="left"/>
            </w:pPr>
            <w:r>
              <w:rPr>
                <w:rFonts w:ascii="Calibri" w:hAnsi="Calibri"/>
                <w:sz w:val="20"/>
              </w:rPr>
              <w:t xml:space="preserve">14,865</w:t>
            </w:r>
          </w:p>
        </w:tc>
        <w:tc>
          <w:tcPr/>
          <w:p>
            <w:pPr>
              <w:pStyle w:val="Compact"/>
              <w:jc w:val="left"/>
            </w:pPr>
            <w:r>
              <w:rPr>
                <w:rFonts w:ascii="Calibri" w:hAnsi="Calibri"/>
                <w:sz w:val="20"/>
              </w:rPr>
              <w:t xml:space="preserve">13,125</w:t>
            </w:r>
          </w:p>
        </w:tc>
        <w:tc>
          <w:tcPr/>
          <w:p>
            <w:pPr>
              <w:pStyle w:val="Compact"/>
              <w:jc w:val="left"/>
            </w:pPr>
            <w:r>
              <w:rPr>
                <w:rFonts w:ascii="Calibri" w:hAnsi="Calibri"/>
                <w:sz w:val="20"/>
              </w:rPr>
              <w:t xml:space="preserve">0,862</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4</w:t>
            </w:r>
          </w:p>
        </w:tc>
        <w:tc>
          <w:tcPr/>
          <w:p>
            <w:pPr>
              <w:pStyle w:val="Compact"/>
              <w:jc w:val="left"/>
            </w:pPr>
            <w:r>
              <w:rPr>
                <w:rFonts w:ascii="Calibri" w:hAnsi="Calibri"/>
                <w:sz w:val="20"/>
              </w:rPr>
              <w:t xml:space="preserve">11,873</w:t>
            </w:r>
          </w:p>
        </w:tc>
        <w:tc>
          <w:tcPr/>
          <w:p>
            <w:pPr>
              <w:pStyle w:val="Compact"/>
              <w:jc w:val="left"/>
            </w:pPr>
            <w:r>
              <w:rPr>
                <w:rFonts w:ascii="Calibri" w:hAnsi="Calibri"/>
                <w:sz w:val="20"/>
              </w:rPr>
              <w:t xml:space="preserve">15,193</w:t>
            </w:r>
          </w:p>
        </w:tc>
        <w:tc>
          <w:tcPr/>
          <w:p>
            <w:pPr>
              <w:pStyle w:val="Compact"/>
              <w:jc w:val="left"/>
            </w:pPr>
            <w:r>
              <w:rPr>
                <w:rFonts w:ascii="Calibri" w:hAnsi="Calibri"/>
                <w:sz w:val="20"/>
              </w:rPr>
              <w:t xml:space="preserve">13,220</w:t>
            </w:r>
          </w:p>
        </w:tc>
        <w:tc>
          <w:tcPr/>
          <w:p>
            <w:pPr>
              <w:pStyle w:val="Compact"/>
              <w:jc w:val="left"/>
            </w:pPr>
            <w:r>
              <w:rPr>
                <w:rFonts w:ascii="Calibri" w:hAnsi="Calibri"/>
                <w:sz w:val="20"/>
              </w:rPr>
              <w:t xml:space="preserve">0,953</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5</w:t>
            </w:r>
          </w:p>
        </w:tc>
        <w:tc>
          <w:tcPr/>
          <w:p>
            <w:pPr>
              <w:pStyle w:val="Compact"/>
              <w:jc w:val="left"/>
            </w:pPr>
            <w:r>
              <w:rPr>
                <w:rFonts w:ascii="Calibri" w:hAnsi="Calibri"/>
                <w:sz w:val="20"/>
              </w:rPr>
              <w:t xml:space="preserve">11,909</w:t>
            </w:r>
          </w:p>
        </w:tc>
        <w:tc>
          <w:tcPr/>
          <w:p>
            <w:pPr>
              <w:pStyle w:val="Compact"/>
              <w:jc w:val="left"/>
            </w:pPr>
            <w:r>
              <w:rPr>
                <w:rFonts w:ascii="Calibri" w:hAnsi="Calibri"/>
                <w:sz w:val="20"/>
              </w:rPr>
              <w:t xml:space="preserve">15,619</w:t>
            </w:r>
          </w:p>
        </w:tc>
        <w:tc>
          <w:tcPr/>
          <w:p>
            <w:pPr>
              <w:pStyle w:val="Compact"/>
              <w:jc w:val="left"/>
            </w:pPr>
            <w:r>
              <w:rPr>
                <w:rFonts w:ascii="Calibri" w:hAnsi="Calibri"/>
                <w:sz w:val="20"/>
              </w:rPr>
              <w:t xml:space="preserve">13,414</w:t>
            </w:r>
          </w:p>
        </w:tc>
        <w:tc>
          <w:tcPr/>
          <w:p>
            <w:pPr>
              <w:pStyle w:val="Compact"/>
              <w:jc w:val="left"/>
            </w:pPr>
            <w:r>
              <w:rPr>
                <w:rFonts w:ascii="Calibri" w:hAnsi="Calibri"/>
                <w:sz w:val="20"/>
              </w:rPr>
              <w:t xml:space="preserve">1,005</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11,828</w:t>
            </w:r>
          </w:p>
        </w:tc>
        <w:tc>
          <w:tcPr/>
          <w:p>
            <w:pPr>
              <w:pStyle w:val="Compact"/>
              <w:jc w:val="left"/>
            </w:pPr>
            <w:r>
              <w:rPr>
                <w:rFonts w:ascii="Calibri" w:hAnsi="Calibri"/>
                <w:sz w:val="20"/>
              </w:rPr>
              <w:t xml:space="preserve">15,928</w:t>
            </w:r>
          </w:p>
        </w:tc>
        <w:tc>
          <w:tcPr/>
          <w:p>
            <w:pPr>
              <w:pStyle w:val="Compact"/>
              <w:jc w:val="left"/>
            </w:pPr>
            <w:r>
              <w:rPr>
                <w:rFonts w:ascii="Calibri" w:hAnsi="Calibri"/>
                <w:sz w:val="20"/>
              </w:rPr>
              <w:t xml:space="preserve">13,491</w:t>
            </w:r>
          </w:p>
        </w:tc>
        <w:tc>
          <w:tcPr/>
          <w:p>
            <w:pPr>
              <w:pStyle w:val="Compact"/>
              <w:jc w:val="left"/>
            </w:pPr>
            <w:r>
              <w:rPr>
                <w:rFonts w:ascii="Calibri" w:hAnsi="Calibri"/>
                <w:sz w:val="20"/>
              </w:rPr>
              <w:t xml:space="preserve">1,008</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bl>
    <w:p>
      <w:pPr>
        <w:pStyle w:val="BodyText"/>
      </w:pPr>
      <w:r>
        <w:t xml:space="preserve">Con la deuda consolidada con el BCRA (extensión), la misma regla elige 1 rezago (raíz máxima 0,683, Portmanteau p = 0,147); muestra efectiva 2003-2025 (90 trimestres), desde 2002 (sección 5.2).</w:t>
      </w:r>
    </w:p>
    <w:bookmarkEnd w:id="131"/>
    <w:bookmarkStart w:id="132" w:name="a.5-diagnósticos-de-los-residuos"/>
    <w:p>
      <w:pPr>
        <w:pStyle w:val="Heading2"/>
      </w:pPr>
      <w:r>
        <w:t xml:space="preserve">A.5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Prueba (p-valor salvo estabilidad)</w:t>
            </w:r>
          </w:p>
        </w:tc>
        <w:tc>
          <w:tcPr/>
          <w:p>
            <w:pPr>
              <w:pStyle w:val="Compact"/>
              <w:jc w:val="left"/>
            </w:pPr>
            <w:r>
              <w:rPr>
                <w:rFonts w:ascii="Calibri" w:hAnsi="Calibri"/>
                <w:sz w:val="20"/>
              </w:rPr>
              <w:t xml:space="preserve">federal bruta (principal)</w:t>
            </w:r>
          </w:p>
        </w:tc>
        <w:tc>
          <w:tcPr/>
          <w:p>
            <w:pPr>
              <w:pStyle w:val="Compact"/>
              <w:jc w:val="left"/>
            </w:pPr>
            <w:r>
              <w:rPr>
                <w:rFonts w:ascii="Calibri" w:hAnsi="Calibri"/>
                <w:sz w:val="20"/>
              </w:rPr>
              <w:t xml:space="preserve">consolidada con el BCRA (extensión)</w:t>
            </w:r>
          </w:p>
        </w:tc>
      </w:tr>
      <w:tr>
        <w:tc>
          <w:tcPr/>
          <w:p>
            <w:pPr>
              <w:pStyle w:val="Compact"/>
              <w:jc w:val="left"/>
            </w:pPr>
            <w:r>
              <w:rPr>
                <w:rFonts w:ascii="Calibri" w:hAnsi="Calibri"/>
                <w:sz w:val="20"/>
              </w:rPr>
              <w:t xml:space="preserve">Portmanteau (12 rezagos)</w:t>
            </w:r>
          </w:p>
        </w:tc>
        <w:tc>
          <w:tcPr/>
          <w:p>
            <w:pPr>
              <w:pStyle w:val="Compact"/>
              <w:jc w:val="left"/>
            </w:pPr>
            <w:r>
              <w:rPr>
                <w:rFonts w:ascii="Calibri" w:hAnsi="Calibri"/>
                <w:sz w:val="20"/>
              </w:rPr>
              <w:t xml:space="preserve">0,031</w:t>
            </w:r>
          </w:p>
        </w:tc>
        <w:tc>
          <w:tcPr/>
          <w:p>
            <w:pPr>
              <w:pStyle w:val="Compact"/>
              <w:jc w:val="left"/>
            </w:pPr>
            <w:r>
              <w:rPr>
                <w:rFonts w:ascii="Calibri" w:hAnsi="Calibri"/>
                <w:sz w:val="20"/>
              </w:rPr>
              <w:t xml:space="preserve">0,147</w:t>
            </w:r>
          </w:p>
        </w:tc>
      </w:tr>
      <w:tr>
        <w:tc>
          <w:tcPr/>
          <w:p>
            <w:pPr>
              <w:pStyle w:val="Compact"/>
              <w:jc w:val="left"/>
            </w:pPr>
            <w:r>
              <w:rPr>
                <w:rFonts w:ascii="Calibri" w:hAnsi="Calibri"/>
                <w:sz w:val="20"/>
              </w:rPr>
              <w:t xml:space="preserve">Normalidad multivariada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Estable (1 = sí)</w:t>
            </w:r>
          </w:p>
        </w:tc>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1,000</w:t>
            </w:r>
          </w:p>
        </w:tc>
      </w:tr>
      <w:tr>
        <w:tc>
          <w:tcPr/>
          <w:p>
            <w:pPr>
              <w:pStyle w:val="Compact"/>
              <w:jc w:val="left"/>
            </w:pPr>
            <w:r>
              <w:rPr>
                <w:rFonts w:ascii="Calibri" w:hAnsi="Calibri"/>
                <w:sz w:val="20"/>
              </w:rPr>
              <w:t xml:space="preserve">ARCH-LM(4) resultado primario (p-valor)</w:t>
            </w:r>
          </w:p>
        </w:tc>
        <w:tc>
          <w:tcPr/>
          <w:p>
            <w:pPr>
              <w:pStyle w:val="Compact"/>
              <w:jc w:val="left"/>
            </w:pPr>
            <w:r>
              <w:rPr>
                <w:rFonts w:ascii="Calibri" w:hAnsi="Calibri"/>
                <w:sz w:val="20"/>
              </w:rPr>
              <w:t xml:space="preserve">0,960</w:t>
            </w:r>
          </w:p>
        </w:tc>
        <w:tc>
          <w:tcPr/>
          <w:p>
            <w:pPr>
              <w:pStyle w:val="Compact"/>
              <w:jc w:val="left"/>
            </w:pPr>
            <w:r>
              <w:rPr>
                <w:rFonts w:ascii="Calibri" w:hAnsi="Calibri"/>
                <w:sz w:val="20"/>
              </w:rPr>
              <w:t xml:space="preserve">0,973</w:t>
            </w:r>
          </w:p>
        </w:tc>
      </w:tr>
      <w:tr>
        <w:tc>
          <w:tcPr/>
          <w:p>
            <w:pPr>
              <w:pStyle w:val="Compact"/>
              <w:jc w:val="left"/>
            </w:pPr>
            <w:r>
              <w:rPr>
                <w:rFonts w:ascii="Calibri" w:hAnsi="Calibri"/>
                <w:sz w:val="20"/>
              </w:rPr>
              <w:t xml:space="preserve">ARCH-LM(4) crecimiento (p-valor)</w:t>
            </w:r>
          </w:p>
        </w:tc>
        <w:tc>
          <w:tcPr/>
          <w:p>
            <w:pPr>
              <w:pStyle w:val="Compact"/>
              <w:jc w:val="left"/>
            </w:pPr>
            <w:r>
              <w:rPr>
                <w:rFonts w:ascii="Calibri" w:hAnsi="Calibri"/>
                <w:sz w:val="20"/>
              </w:rPr>
              <w:t xml:space="preserve">0,833</w:t>
            </w:r>
          </w:p>
        </w:tc>
        <w:tc>
          <w:tcPr/>
          <w:p>
            <w:pPr>
              <w:pStyle w:val="Compact"/>
              <w:jc w:val="left"/>
            </w:pPr>
            <w:r>
              <w:rPr>
                <w:rFonts w:ascii="Calibri" w:hAnsi="Calibri"/>
                <w:sz w:val="20"/>
              </w:rPr>
              <w:t xml:space="preserve">0,803</w:t>
            </w:r>
          </w:p>
        </w:tc>
      </w:tr>
      <w:tr>
        <w:tc>
          <w:tcPr/>
          <w:p>
            <w:pPr>
              <w:pStyle w:val="Compact"/>
              <w:jc w:val="left"/>
            </w:pPr>
            <w:r>
              <w:rPr>
                <w:rFonts w:ascii="Calibri" w:hAnsi="Calibri"/>
                <w:sz w:val="20"/>
              </w:rPr>
              <w:t xml:space="preserve">ARCH-LM(4) EMBI (p-valor)</w:t>
            </w:r>
          </w:p>
        </w:tc>
        <w:tc>
          <w:tcPr/>
          <w:p>
            <w:pPr>
              <w:pStyle w:val="Compact"/>
              <w:jc w:val="left"/>
            </w:pPr>
            <w:r>
              <w:rPr>
                <w:rFonts w:ascii="Calibri" w:hAnsi="Calibri"/>
                <w:sz w:val="20"/>
              </w:rPr>
              <w:t xml:space="preserve">0,925</w:t>
            </w:r>
          </w:p>
        </w:tc>
        <w:tc>
          <w:tcPr/>
          <w:p>
            <w:pPr>
              <w:pStyle w:val="Compact"/>
              <w:jc w:val="left"/>
            </w:pPr>
            <w:r>
              <w:rPr>
                <w:rFonts w:ascii="Calibri" w:hAnsi="Calibri"/>
                <w:sz w:val="20"/>
              </w:rPr>
              <w:t xml:space="preserve">0,969</w:t>
            </w:r>
          </w:p>
        </w:tc>
      </w:tr>
      <w:tr>
        <w:tc>
          <w:tcPr/>
          <w:p>
            <w:pPr>
              <w:pStyle w:val="Compact"/>
              <w:jc w:val="left"/>
            </w:pPr>
            <w:r>
              <w:rPr>
                <w:rFonts w:ascii="Calibri" w:hAnsi="Calibri"/>
                <w:sz w:val="20"/>
              </w:rPr>
              <w:t xml:space="preserve">ARCH-LM(4) TCRM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0,362</w:t>
            </w:r>
          </w:p>
        </w:tc>
      </w:tr>
    </w:tbl>
    <w:bookmarkEnd w:id="132"/>
    <w:bookmarkStart w:id="133" w:name="a.6-matriz-de-impacto-estructural"/>
    <w:p>
      <w:pPr>
        <w:pStyle w:val="Heading2"/>
      </w:pPr>
      <w:r>
        <w:t xml:space="preserve">A.6 Matriz de impacto estructural</w:t>
      </w:r>
    </w:p>
    <w:p>
      <w:pPr>
        <w:pStyle w:val="FirstParagraph"/>
      </w:pPr>
      <w:r>
        <w:t xml:space="preserve">Efecto en el mismo trimestre de un</w:t>
      </w:r>
      <w:r>
        <w:t xml:space="preserve"> </w:t>
      </w:r>
      <w:r>
        <w:rPr>
          <w:iCs/>
          <w:i/>
        </w:rPr>
        <w:t xml:space="preserve">shock</w:t>
      </w:r>
      <w:r>
        <w:t xml:space="preserve"> </w:t>
      </w:r>
      <w:r>
        <w:t xml:space="preserve">estructural de un desvío estándar (especificación principal). Los ceros son las restricciones de identificación de la sección 4.4. Los dos</w:t>
      </w:r>
      <w:r>
        <w:t xml:space="preserve"> </w:t>
      </w:r>
      <w:r>
        <w:rPr>
          <w:iCs/>
          <w:i/>
        </w:rPr>
        <w:t xml:space="preserve">shocks</w:t>
      </w:r>
      <w:r>
        <w:t xml:space="preserve"> </w:t>
      </w:r>
      <w:r>
        <w:t xml:space="preserve">del bloque cambiario y de riesgo no tienen interpretación por separado: solo se usa su efecto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1,316</w:t>
            </w:r>
          </w:p>
        </w:tc>
        <w:tc>
          <w:tcPr/>
          <w:p>
            <w:pPr>
              <w:pStyle w:val="Compact"/>
              <w:jc w:val="left"/>
            </w:pPr>
            <w:r>
              <w:rPr>
                <w:rFonts w:ascii="Calibri" w:hAnsi="Calibri"/>
                <w:sz w:val="20"/>
              </w:rPr>
              <w:t xml:space="preserve">0,677</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-0,277</w:t>
            </w:r>
          </w:p>
        </w:tc>
        <w:tc>
          <w:tcPr/>
          <w:p>
            <w:pPr>
              <w:pStyle w:val="Compact"/>
              <w:jc w:val="left"/>
            </w:pPr>
            <w:r>
              <w:rPr>
                <w:rFonts w:ascii="Calibri" w:hAnsi="Calibri"/>
                <w:sz w:val="20"/>
              </w:rPr>
              <w:t xml:space="preserve">2,708</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-85,360</w:t>
            </w:r>
          </w:p>
        </w:tc>
        <w:tc>
          <w:tcPr/>
          <w:p>
            <w:pPr>
              <w:pStyle w:val="Compact"/>
              <w:jc w:val="left"/>
            </w:pPr>
            <w:r>
              <w:rPr>
                <w:rFonts w:ascii="Calibri" w:hAnsi="Calibri"/>
                <w:sz w:val="20"/>
              </w:rPr>
              <w:t xml:space="preserve">-22,504</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0,014</w:t>
            </w:r>
          </w:p>
        </w:tc>
        <w:tc>
          <w:tcPr/>
          <w:p>
            <w:pPr>
              <w:pStyle w:val="Compact"/>
              <w:jc w:val="left"/>
            </w:pPr>
            <w:r>
              <w:rPr>
                <w:rFonts w:ascii="Calibri" w:hAnsi="Calibri"/>
                <w:sz w:val="20"/>
              </w:rPr>
              <w:t xml:space="preserve">-0,008</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bookmarkEnd w:id="133"/>
    <w:bookmarkStart w:id="134" w:name="Xa4b00fd9880f345b9463345ba8365d75a5bb7c3"/>
    <w:p>
      <w:pPr>
        <w:pStyle w:val="Heading2"/>
      </w:pPr>
      <w:r>
        <w:t xml:space="preserve">A.7 Matrices de impacto de los ordenamientos de Cholesky</w:t>
      </w:r>
    </w:p>
    <w:p>
      <w:pPr>
        <w:pStyle w:val="FirstParagraph"/>
      </w:pPr>
      <w:r>
        <w:t xml:space="preserve">Efecto en el mismo trimestre de un</w:t>
      </w:r>
      <w:r>
        <w:t xml:space="preserve"> </w:t>
      </w:r>
      <w:r>
        <w:rPr>
          <w:iCs/>
          <w:i/>
        </w:rPr>
        <w:t xml:space="preserve">shock</w:t>
      </w:r>
      <w:r>
        <w:t xml:space="preserve"> </w:t>
      </w:r>
      <w:r>
        <w:t xml:space="preserve">de un desvío estándar, con el mismo formato que la matriz estructural (A.6). En una descomposición de Cholesky cada variable responde en el trimestre a los</w:t>
      </w:r>
      <w:r>
        <w:t xml:space="preserve"> </w:t>
      </w:r>
      <w:r>
        <w:rPr>
          <w:iCs/>
          <w:i/>
        </w:rPr>
        <w:t xml:space="preserve">shocks</w:t>
      </w:r>
      <w:r>
        <w:t xml:space="preserve"> </w:t>
      </w:r>
      <w:r>
        <w:t xml:space="preserve">de las que la preceden en el orden y no a los de las que la siguen, de modo que los ceros de cada matriz indican el orden causal. Las filas están en el orden del sistema y las columnas son el</w:t>
      </w:r>
      <w:r>
        <w:t xml:space="preserve"> </w:t>
      </w:r>
      <w:r>
        <w:rPr>
          <w:iCs/>
          <w:i/>
        </w:rPr>
        <w:t xml:space="preserve">shock</w:t>
      </w:r>
      <w:r>
        <w:t xml:space="preserve"> </w:t>
      </w:r>
      <w:r>
        <w:t xml:space="preserve">de cada variable.</w:t>
      </w:r>
    </w:p>
    <w:p>
      <w:pPr>
        <w:pStyle w:val="BodyText"/>
      </w:pPr>
      <w:r>
        <w:rPr>
          <w:bCs/>
          <w:b/>
        </w:rPr>
        <w:t xml:space="preserve">Resultado primario primero.</w:t>
      </w:r>
      <w:r>
        <w:t xml:space="preserve"> </w:t>
      </w:r>
      <w:r>
        <w:t xml:space="preserve">Orden de las variables, de la primera a la última: resultado primario, crecimiento, EMBI, TCRM.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1,480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0,992</w:t>
            </w:r>
          </w:p>
        </w:tc>
        <w:tc>
          <w:tcPr/>
          <w:p>
            <w:pPr>
              <w:pStyle w:val="Compact"/>
              <w:jc w:val="left"/>
            </w:pPr>
            <w:r>
              <w:rPr>
                <w:rFonts w:ascii="Calibri" w:hAnsi="Calibri"/>
                <w:sz w:val="20"/>
              </w:rPr>
              <w:t xml:space="preserve">2,535</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-86,202</w:t>
            </w:r>
          </w:p>
        </w:tc>
        <w:tc>
          <w:tcPr/>
          <w:p>
            <w:pPr>
              <w:pStyle w:val="Compact"/>
              <w:jc w:val="left"/>
            </w:pPr>
            <w:r>
              <w:rPr>
                <w:rFonts w:ascii="Calibri" w:hAnsi="Calibri"/>
                <w:sz w:val="20"/>
              </w:rPr>
              <w:t xml:space="preserve">19,029</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-0,013</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p>
      <w:pPr>
        <w:pStyle w:val="BodyText"/>
      </w:pPr>
      <w:r>
        <w:rPr>
          <w:bCs/>
          <w:b/>
        </w:rPr>
        <w:t xml:space="preserve">Resultado primario último.</w:t>
      </w:r>
      <w:r>
        <w:t xml:space="preserve"> </w:t>
      </w:r>
      <w:r>
        <w:t xml:space="preserve">Orden de las variables, de la primera a la última: crecimiento, TCRM, EMBI, resultado primario.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1,335</w:t>
            </w:r>
          </w:p>
        </w:tc>
        <w:tc>
          <w:tcPr/>
          <w:p>
            <w:pPr>
              <w:pStyle w:val="Compact"/>
              <w:jc w:val="left"/>
            </w:pPr>
            <w:r>
              <w:rPr>
                <w:rFonts w:ascii="Calibri" w:hAnsi="Calibri"/>
                <w:sz w:val="20"/>
              </w:rPr>
              <w:t xml:space="preserve">0,540</w:t>
            </w:r>
          </w:p>
        </w:tc>
        <w:tc>
          <w:tcPr/>
          <w:p>
            <w:pPr>
              <w:pStyle w:val="Compact"/>
              <w:jc w:val="left"/>
            </w:pPr>
            <w:r>
              <w:rPr>
                <w:rFonts w:ascii="Calibri" w:hAnsi="Calibri"/>
                <w:sz w:val="20"/>
              </w:rPr>
              <w:t xml:space="preserve">-0,304</w:t>
            </w:r>
          </w:p>
        </w:tc>
        <w:tc>
          <w:tcPr/>
          <w:p>
            <w:pPr>
              <w:pStyle w:val="Compact"/>
              <w:jc w:val="left"/>
            </w:pPr>
            <w:r>
              <w:rPr>
                <w:rFonts w:ascii="Calibri" w:hAnsi="Calibri"/>
                <w:sz w:val="20"/>
              </w:rPr>
              <w:t xml:space="preserve">0,164</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2,722</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-13,696</w:t>
            </w:r>
          </w:p>
        </w:tc>
        <w:tc>
          <w:tcPr/>
          <w:p>
            <w:pPr>
              <w:pStyle w:val="Compact"/>
              <w:jc w:val="left"/>
            </w:pPr>
            <w:r>
              <w:rPr>
                <w:rFonts w:ascii="Calibri" w:hAnsi="Calibri"/>
                <w:sz w:val="20"/>
              </w:rPr>
              <w:t xml:space="preserve">386,013</w:t>
            </w:r>
          </w:p>
        </w:tc>
        <w:tc>
          <w:tcPr/>
          <w:p>
            <w:pPr>
              <w:pStyle w:val="Compact"/>
              <w:jc w:val="left"/>
            </w:pPr>
            <w:r>
              <w:rPr>
                <w:rFonts w:ascii="Calibri" w:hAnsi="Calibri"/>
                <w:sz w:val="20"/>
              </w:rPr>
              <w:t xml:space="preserve">-18,427</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0,107</w:t>
            </w:r>
          </w:p>
        </w:tc>
      </w:tr>
    </w:tbl>
    <w:bookmarkEnd w:id="134"/>
    <w:bookmarkStart w:id="135" w:name="a.8-ecuación-del-resultado-primario"/>
    <w:p>
      <w:pPr>
        <w:pStyle w:val="Heading2"/>
      </w:pPr>
      <w:r>
        <w:t xml:space="preserve">A.8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Cs/>
          <w:i/>
        </w:rPr>
        <w:t xml:space="preserve">bootstrap</w:t>
      </w:r>
      <w:r>
        <w:t xml:space="preserve">. El coeficiente de la deuda rezagada es el efecto de impacto sobre el resultado primario trimestral. El multiplicador de largo plazo, que descuenta los rezagos propios del resultado primario, es 0,079, con un intervalo de 90% de [0,062; 0,147].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Regresor</w:t>
            </w:r>
          </w:p>
        </w:tc>
        <w:tc>
          <w:tcPr/>
          <w:p>
            <w:pPr>
              <w:pStyle w:val="Compact"/>
              <w:jc w:val="left"/>
            </w:pPr>
            <w:r>
              <w:rPr>
                <w:rFonts w:ascii="Calibri" w:hAnsi="Calibri"/>
                <w:sz w:val="20"/>
              </w:rPr>
              <w:t xml:space="preserve">Coeficiente</w:t>
            </w:r>
          </w:p>
        </w:tc>
        <w:tc>
          <w:tcPr/>
          <w:p>
            <w:pPr>
              <w:pStyle w:val="Compact"/>
              <w:jc w:val="left"/>
            </w:pPr>
            <w:r>
              <w:rPr>
                <w:rFonts w:ascii="Calibri" w:hAnsi="Calibri"/>
                <w:sz w:val="20"/>
              </w:rPr>
              <w:t xml:space="preserve">Error estándar</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Variación de la tasa de la FED, rezago 0</w:t>
            </w:r>
          </w:p>
        </w:tc>
        <w:tc>
          <w:tcPr/>
          <w:p>
            <w:pPr>
              <w:pStyle w:val="Compact"/>
              <w:jc w:val="left"/>
            </w:pPr>
            <w:r>
              <w:rPr>
                <w:rFonts w:ascii="Calibri" w:hAnsi="Calibri"/>
                <w:sz w:val="20"/>
              </w:rPr>
              <w:t xml:space="preserve">0,6314</w:t>
            </w:r>
          </w:p>
        </w:tc>
        <w:tc>
          <w:tcPr/>
          <w:p>
            <w:pPr>
              <w:pStyle w:val="Compact"/>
              <w:jc w:val="left"/>
            </w:pPr>
            <w:r>
              <w:rPr>
                <w:rFonts w:ascii="Calibri" w:hAnsi="Calibri"/>
                <w:sz w:val="20"/>
              </w:rPr>
              <w:t xml:space="preserve">0,5069</w:t>
            </w:r>
          </w:p>
        </w:tc>
        <w:tc>
          <w:tcPr/>
          <w:p>
            <w:pPr>
              <w:pStyle w:val="Compact"/>
              <w:jc w:val="left"/>
            </w:pPr>
            <w:r>
              <w:rPr>
                <w:rFonts w:ascii="Calibri" w:hAnsi="Calibri"/>
                <w:sz w:val="20"/>
              </w:rPr>
              <w:t xml:space="preserve">0,213</w:t>
            </w:r>
          </w:p>
        </w:tc>
      </w:tr>
      <w:tr>
        <w:tc>
          <w:tcPr/>
          <w:p>
            <w:pPr>
              <w:pStyle w:val="Compact"/>
              <w:jc w:val="left"/>
            </w:pPr>
            <w:r>
              <w:rPr>
                <w:rFonts w:ascii="Calibri" w:hAnsi="Calibri"/>
                <w:sz w:val="20"/>
              </w:rPr>
              <w:t xml:space="preserve">Variación de la tasa de la FED, rezago 1</w:t>
            </w:r>
          </w:p>
        </w:tc>
        <w:tc>
          <w:tcPr/>
          <w:p>
            <w:pPr>
              <w:pStyle w:val="Compact"/>
              <w:jc w:val="left"/>
            </w:pPr>
            <w:r>
              <w:rPr>
                <w:rFonts w:ascii="Calibri" w:hAnsi="Calibri"/>
                <w:sz w:val="20"/>
              </w:rPr>
              <w:t xml:space="preserve">-0,3595</w:t>
            </w:r>
          </w:p>
        </w:tc>
        <w:tc>
          <w:tcPr/>
          <w:p>
            <w:pPr>
              <w:pStyle w:val="Compact"/>
              <w:jc w:val="left"/>
            </w:pPr>
            <w:r>
              <w:rPr>
                <w:rFonts w:ascii="Calibri" w:hAnsi="Calibri"/>
                <w:sz w:val="20"/>
              </w:rPr>
              <w:t xml:space="preserve">0,5962</w:t>
            </w:r>
          </w:p>
        </w:tc>
        <w:tc>
          <w:tcPr/>
          <w:p>
            <w:pPr>
              <w:pStyle w:val="Compact"/>
              <w:jc w:val="left"/>
            </w:pPr>
            <w:r>
              <w:rPr>
                <w:rFonts w:ascii="Calibri" w:hAnsi="Calibri"/>
                <w:sz w:val="20"/>
              </w:rPr>
              <w:t xml:space="preserve">0,547</w:t>
            </w:r>
          </w:p>
        </w:tc>
      </w:tr>
      <w:tr>
        <w:tc>
          <w:tcPr/>
          <w:p>
            <w:pPr>
              <w:pStyle w:val="Compact"/>
              <w:jc w:val="left"/>
            </w:pPr>
            <w:r>
              <w:rPr>
                <w:rFonts w:ascii="Calibri" w:hAnsi="Calibri"/>
                <w:sz w:val="20"/>
              </w:rPr>
              <w:t xml:space="preserve">Variación de la tasa de la FED, rezago 2</w:t>
            </w:r>
          </w:p>
        </w:tc>
        <w:tc>
          <w:tcPr/>
          <w:p>
            <w:pPr>
              <w:pStyle w:val="Compact"/>
              <w:jc w:val="left"/>
            </w:pPr>
            <w:r>
              <w:rPr>
                <w:rFonts w:ascii="Calibri" w:hAnsi="Calibri"/>
                <w:sz w:val="20"/>
              </w:rPr>
              <w:t xml:space="preserve">-0,1902</w:t>
            </w:r>
          </w:p>
        </w:tc>
        <w:tc>
          <w:tcPr/>
          <w:p>
            <w:pPr>
              <w:pStyle w:val="Compact"/>
              <w:jc w:val="left"/>
            </w:pPr>
            <w:r>
              <w:rPr>
                <w:rFonts w:ascii="Calibri" w:hAnsi="Calibri"/>
                <w:sz w:val="20"/>
              </w:rPr>
              <w:t xml:space="preserve">0,5150</w:t>
            </w:r>
          </w:p>
        </w:tc>
        <w:tc>
          <w:tcPr/>
          <w:p>
            <w:pPr>
              <w:pStyle w:val="Compact"/>
              <w:jc w:val="left"/>
            </w:pPr>
            <w:r>
              <w:rPr>
                <w:rFonts w:ascii="Calibri" w:hAnsi="Calibri"/>
                <w:sz w:val="20"/>
              </w:rPr>
              <w:t xml:space="preserve">0,712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0,0128</w:t>
            </w:r>
          </w:p>
        </w:tc>
        <w:tc>
          <w:tcPr/>
          <w:p>
            <w:pPr>
              <w:pStyle w:val="Compact"/>
              <w:jc w:val="left"/>
            </w:pPr>
            <w:r>
              <w:rPr>
                <w:rFonts w:ascii="Calibri" w:hAnsi="Calibri"/>
                <w:sz w:val="20"/>
              </w:rPr>
              <w:t xml:space="preserve">0,0324</w:t>
            </w:r>
          </w:p>
        </w:tc>
        <w:tc>
          <w:tcPr/>
          <w:p>
            <w:pPr>
              <w:pStyle w:val="Compact"/>
              <w:jc w:val="left"/>
            </w:pPr>
            <w:r>
              <w:rPr>
                <w:rFonts w:ascii="Calibri" w:hAnsi="Calibri"/>
                <w:sz w:val="20"/>
              </w:rPr>
              <w:t xml:space="preserve">0,693</w:t>
            </w:r>
          </w:p>
        </w:tc>
      </w:tr>
      <w:tr>
        <w:tc>
          <w:tcPr/>
          <w:p>
            <w:pPr>
              <w:pStyle w:val="Compact"/>
              <w:jc w:val="left"/>
            </w:pPr>
            <w:r>
              <w:rPr>
                <w:rFonts w:ascii="Calibri" w:hAnsi="Calibri"/>
                <w:sz w:val="20"/>
              </w:rPr>
              <w:t xml:space="preserve">Binaria presidencial: De la Rúa</w:t>
            </w:r>
          </w:p>
        </w:tc>
        <w:tc>
          <w:tcPr/>
          <w:p>
            <w:pPr>
              <w:pStyle w:val="Compact"/>
              <w:jc w:val="left"/>
            </w:pPr>
            <w:r>
              <w:rPr>
                <w:rFonts w:ascii="Calibri" w:hAnsi="Calibri"/>
                <w:sz w:val="20"/>
              </w:rPr>
              <w:t xml:space="preserve">-0,3436</w:t>
            </w:r>
          </w:p>
        </w:tc>
        <w:tc>
          <w:tcPr/>
          <w:p>
            <w:pPr>
              <w:pStyle w:val="Compact"/>
              <w:jc w:val="left"/>
            </w:pPr>
            <w:r>
              <w:rPr>
                <w:rFonts w:ascii="Calibri" w:hAnsi="Calibri"/>
                <w:sz w:val="20"/>
              </w:rPr>
              <w:t xml:space="preserve">0,9390</w:t>
            </w:r>
          </w:p>
        </w:tc>
        <w:tc>
          <w:tcPr/>
          <w:p>
            <w:pPr>
              <w:pStyle w:val="Compact"/>
              <w:jc w:val="left"/>
            </w:pPr>
            <w:r>
              <w:rPr>
                <w:rFonts w:ascii="Calibri" w:hAnsi="Calibri"/>
                <w:sz w:val="20"/>
              </w:rPr>
              <w:t xml:space="preserve">0,714</w:t>
            </w:r>
          </w:p>
        </w:tc>
      </w:tr>
      <w:tr>
        <w:tc>
          <w:tcPr/>
          <w:p>
            <w:pPr>
              <w:pStyle w:val="Compact"/>
              <w:jc w:val="left"/>
            </w:pPr>
            <w:r>
              <w:rPr>
                <w:rFonts w:ascii="Calibri" w:hAnsi="Calibri"/>
                <w:sz w:val="20"/>
              </w:rPr>
              <w:t xml:space="preserve">Binaria presidencial: Duhalde</w:t>
            </w:r>
          </w:p>
        </w:tc>
        <w:tc>
          <w:tcPr/>
          <w:p>
            <w:pPr>
              <w:pStyle w:val="Compact"/>
              <w:jc w:val="left"/>
            </w:pPr>
            <w:r>
              <w:rPr>
                <w:rFonts w:ascii="Calibri" w:hAnsi="Calibri"/>
                <w:sz w:val="20"/>
              </w:rPr>
              <w:t xml:space="preserve">-2,3351</w:t>
            </w:r>
          </w:p>
        </w:tc>
        <w:tc>
          <w:tcPr/>
          <w:p>
            <w:pPr>
              <w:pStyle w:val="Compact"/>
              <w:jc w:val="left"/>
            </w:pPr>
            <w:r>
              <w:rPr>
                <w:rFonts w:ascii="Calibri" w:hAnsi="Calibri"/>
                <w:sz w:val="20"/>
              </w:rPr>
              <w:t xml:space="preserve">1,3219</w:t>
            </w:r>
          </w:p>
        </w:tc>
        <w:tc>
          <w:tcPr/>
          <w:p>
            <w:pPr>
              <w:pStyle w:val="Compact"/>
              <w:jc w:val="left"/>
            </w:pPr>
            <w:r>
              <w:rPr>
                <w:rFonts w:ascii="Calibri" w:hAnsi="Calibri"/>
                <w:sz w:val="20"/>
              </w:rPr>
              <w:t xml:space="preserve">0,077</w:t>
            </w:r>
          </w:p>
        </w:tc>
      </w:tr>
      <w:tr>
        <w:tc>
          <w:tcPr/>
          <w:p>
            <w:pPr>
              <w:pStyle w:val="Compact"/>
              <w:jc w:val="left"/>
            </w:pPr>
            <w:r>
              <w:rPr>
                <w:rFonts w:ascii="Calibri" w:hAnsi="Calibri"/>
                <w:sz w:val="20"/>
              </w:rPr>
              <w:t xml:space="preserve">Binaria presidencial: N. Kirchner</w:t>
            </w:r>
          </w:p>
        </w:tc>
        <w:tc>
          <w:tcPr/>
          <w:p>
            <w:pPr>
              <w:pStyle w:val="Compact"/>
              <w:jc w:val="left"/>
            </w:pPr>
            <w:r>
              <w:rPr>
                <w:rFonts w:ascii="Calibri" w:hAnsi="Calibri"/>
                <w:sz w:val="20"/>
              </w:rPr>
              <w:t xml:space="preserve">-1,4522</w:t>
            </w:r>
          </w:p>
        </w:tc>
        <w:tc>
          <w:tcPr/>
          <w:p>
            <w:pPr>
              <w:pStyle w:val="Compact"/>
              <w:jc w:val="left"/>
            </w:pPr>
            <w:r>
              <w:rPr>
                <w:rFonts w:ascii="Calibri" w:hAnsi="Calibri"/>
                <w:sz w:val="20"/>
              </w:rPr>
              <w:t xml:space="preserve">1,4445</w:t>
            </w:r>
          </w:p>
        </w:tc>
        <w:tc>
          <w:tcPr/>
          <w:p>
            <w:pPr>
              <w:pStyle w:val="Compact"/>
              <w:jc w:val="left"/>
            </w:pPr>
            <w:r>
              <w:rPr>
                <w:rFonts w:ascii="Calibri" w:hAnsi="Calibri"/>
                <w:sz w:val="20"/>
              </w:rPr>
              <w:t xml:space="preserve">0,315</w:t>
            </w:r>
          </w:p>
        </w:tc>
      </w:tr>
      <w:tr>
        <w:tc>
          <w:tcPr/>
          <w:p>
            <w:pPr>
              <w:pStyle w:val="Compact"/>
              <w:jc w:val="left"/>
            </w:pPr>
            <w:r>
              <w:rPr>
                <w:rFonts w:ascii="Calibri" w:hAnsi="Calibri"/>
                <w:sz w:val="20"/>
              </w:rPr>
              <w:t xml:space="preserve">Binaria presidencial: C. Fernández de Kirchner</w:t>
            </w:r>
          </w:p>
        </w:tc>
        <w:tc>
          <w:tcPr/>
          <w:p>
            <w:pPr>
              <w:pStyle w:val="Compact"/>
              <w:jc w:val="left"/>
            </w:pPr>
            <w:r>
              <w:rPr>
                <w:rFonts w:ascii="Calibri" w:hAnsi="Calibri"/>
                <w:sz w:val="20"/>
              </w:rPr>
              <w:t xml:space="preserve">-1,8334</w:t>
            </w:r>
          </w:p>
        </w:tc>
        <w:tc>
          <w:tcPr/>
          <w:p>
            <w:pPr>
              <w:pStyle w:val="Compact"/>
              <w:jc w:val="left"/>
            </w:pPr>
            <w:r>
              <w:rPr>
                <w:rFonts w:ascii="Calibri" w:hAnsi="Calibri"/>
                <w:sz w:val="20"/>
              </w:rPr>
              <w:t xml:space="preserve">1,5204</w:t>
            </w:r>
          </w:p>
        </w:tc>
        <w:tc>
          <w:tcPr/>
          <w:p>
            <w:pPr>
              <w:pStyle w:val="Compact"/>
              <w:jc w:val="left"/>
            </w:pPr>
            <w:r>
              <w:rPr>
                <w:rFonts w:ascii="Calibri" w:hAnsi="Calibri"/>
                <w:sz w:val="20"/>
              </w:rPr>
              <w:t xml:space="preserve">0,228</w:t>
            </w:r>
          </w:p>
        </w:tc>
      </w:tr>
      <w:tr>
        <w:tc>
          <w:tcPr/>
          <w:p>
            <w:pPr>
              <w:pStyle w:val="Compact"/>
              <w:jc w:val="left"/>
            </w:pPr>
            <w:r>
              <w:rPr>
                <w:rFonts w:ascii="Calibri" w:hAnsi="Calibri"/>
                <w:sz w:val="20"/>
              </w:rPr>
              <w:t xml:space="preserve">Binaria presidencial: Macri</w:t>
            </w:r>
          </w:p>
        </w:tc>
        <w:tc>
          <w:tcPr/>
          <w:p>
            <w:pPr>
              <w:pStyle w:val="Compact"/>
              <w:jc w:val="left"/>
            </w:pPr>
            <w:r>
              <w:rPr>
                <w:rFonts w:ascii="Calibri" w:hAnsi="Calibri"/>
                <w:sz w:val="20"/>
              </w:rPr>
              <w:t xml:space="preserve">-3,5846</w:t>
            </w:r>
          </w:p>
        </w:tc>
        <w:tc>
          <w:tcPr/>
          <w:p>
            <w:pPr>
              <w:pStyle w:val="Compact"/>
              <w:jc w:val="left"/>
            </w:pPr>
            <w:r>
              <w:rPr>
                <w:rFonts w:ascii="Calibri" w:hAnsi="Calibri"/>
                <w:sz w:val="20"/>
              </w:rPr>
              <w:t xml:space="preserve">1,5567</w:t>
            </w:r>
          </w:p>
        </w:tc>
        <w:tc>
          <w:tcPr/>
          <w:p>
            <w:pPr>
              <w:pStyle w:val="Compact"/>
              <w:jc w:val="left"/>
            </w:pPr>
            <w:r>
              <w:rPr>
                <w:rFonts w:ascii="Calibri" w:hAnsi="Calibri"/>
                <w:sz w:val="20"/>
              </w:rPr>
              <w:t xml:space="preserve">0,021</w:t>
            </w:r>
          </w:p>
        </w:tc>
      </w:tr>
      <w:tr>
        <w:tc>
          <w:tcPr/>
          <w:p>
            <w:pPr>
              <w:pStyle w:val="Compact"/>
              <w:jc w:val="left"/>
            </w:pPr>
            <w:r>
              <w:rPr>
                <w:rFonts w:ascii="Calibri" w:hAnsi="Calibri"/>
                <w:sz w:val="20"/>
              </w:rPr>
              <w:t xml:space="preserve">Binaria presidencial: A. Fernández</w:t>
            </w:r>
          </w:p>
        </w:tc>
        <w:tc>
          <w:tcPr/>
          <w:p>
            <w:pPr>
              <w:pStyle w:val="Compact"/>
              <w:jc w:val="left"/>
            </w:pPr>
            <w:r>
              <w:rPr>
                <w:rFonts w:ascii="Calibri" w:hAnsi="Calibri"/>
                <w:sz w:val="20"/>
              </w:rPr>
              <w:t xml:space="preserve">-4,9172</w:t>
            </w:r>
          </w:p>
        </w:tc>
        <w:tc>
          <w:tcPr/>
          <w:p>
            <w:pPr>
              <w:pStyle w:val="Compact"/>
              <w:jc w:val="left"/>
            </w:pPr>
            <w:r>
              <w:rPr>
                <w:rFonts w:ascii="Calibri" w:hAnsi="Calibri"/>
                <w:sz w:val="20"/>
              </w:rPr>
              <w:t xml:space="preserve">1,9016</w:t>
            </w:r>
          </w:p>
        </w:tc>
        <w:tc>
          <w:tcPr/>
          <w:p>
            <w:pPr>
              <w:pStyle w:val="Compact"/>
              <w:jc w:val="left"/>
            </w:pPr>
            <w:r>
              <w:rPr>
                <w:rFonts w:ascii="Calibri" w:hAnsi="Calibri"/>
                <w:sz w:val="20"/>
              </w:rPr>
              <w:t xml:space="preserve">0,010</w:t>
            </w:r>
          </w:p>
        </w:tc>
      </w:tr>
      <w:tr>
        <w:tc>
          <w:tcPr/>
          <w:p>
            <w:pPr>
              <w:pStyle w:val="Compact"/>
              <w:jc w:val="left"/>
            </w:pPr>
            <w:r>
              <w:rPr>
                <w:rFonts w:ascii="Calibri" w:hAnsi="Calibri"/>
                <w:sz w:val="20"/>
              </w:rPr>
              <w:t xml:space="preserve">Binaria presidencial: Milei</w:t>
            </w:r>
          </w:p>
        </w:tc>
        <w:tc>
          <w:tcPr/>
          <w:p>
            <w:pPr>
              <w:pStyle w:val="Compact"/>
              <w:jc w:val="left"/>
            </w:pPr>
            <w:r>
              <w:rPr>
                <w:rFonts w:ascii="Calibri" w:hAnsi="Calibri"/>
                <w:sz w:val="20"/>
              </w:rPr>
              <w:t xml:space="preserve">-1,6205</w:t>
            </w:r>
          </w:p>
        </w:tc>
        <w:tc>
          <w:tcPr/>
          <w:p>
            <w:pPr>
              <w:pStyle w:val="Compact"/>
              <w:jc w:val="left"/>
            </w:pPr>
            <w:r>
              <w:rPr>
                <w:rFonts w:ascii="Calibri" w:hAnsi="Calibri"/>
                <w:sz w:val="20"/>
              </w:rPr>
              <w:t xml:space="preserve">2,0570</w:t>
            </w:r>
          </w:p>
        </w:tc>
        <w:tc>
          <w:tcPr/>
          <w:p>
            <w:pPr>
              <w:pStyle w:val="Compact"/>
              <w:jc w:val="left"/>
            </w:pPr>
            <w:r>
              <w:rPr>
                <w:rFonts w:ascii="Calibri" w:hAnsi="Calibri"/>
                <w:sz w:val="20"/>
              </w:rPr>
              <w:t xml:space="preserve">0,431</w:t>
            </w:r>
          </w:p>
        </w:tc>
      </w:tr>
      <w:tr>
        <w:tc>
          <w:tcPr/>
          <w:p>
            <w:pPr>
              <w:pStyle w:val="Compact"/>
              <w:jc w:val="left"/>
            </w:pPr>
            <w:r>
              <w:rPr>
                <w:rFonts w:ascii="Calibri" w:hAnsi="Calibri"/>
                <w:sz w:val="20"/>
              </w:rPr>
              <w:t xml:space="preserve">Deuda federal bruta, rezago 1 (reacción fiscal de impacto)</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0,0208</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Resultado primario, rezago 1</w:t>
            </w:r>
          </w:p>
        </w:tc>
        <w:tc>
          <w:tcPr/>
          <w:p>
            <w:pPr>
              <w:pStyle w:val="Compact"/>
              <w:jc w:val="left"/>
            </w:pPr>
            <w:r>
              <w:rPr>
                <w:rFonts w:ascii="Calibri" w:hAnsi="Calibri"/>
                <w:sz w:val="20"/>
              </w:rPr>
              <w:t xml:space="preserve">0,1634</w:t>
            </w:r>
          </w:p>
        </w:tc>
        <w:tc>
          <w:tcPr/>
          <w:p>
            <w:pPr>
              <w:pStyle w:val="Compact"/>
              <w:jc w:val="left"/>
            </w:pPr>
            <w:r>
              <w:rPr>
                <w:rFonts w:ascii="Calibri" w:hAnsi="Calibri"/>
                <w:sz w:val="20"/>
              </w:rPr>
              <w:t xml:space="preserve">0,1036</w:t>
            </w:r>
          </w:p>
        </w:tc>
        <w:tc>
          <w:tcPr/>
          <w:p>
            <w:pPr>
              <w:pStyle w:val="Compact"/>
              <w:jc w:val="left"/>
            </w:pPr>
            <w:r>
              <w:rPr>
                <w:rFonts w:ascii="Calibri" w:hAnsi="Calibri"/>
                <w:sz w:val="20"/>
              </w:rPr>
              <w:t xml:space="preserve">0,115</w:t>
            </w:r>
          </w:p>
        </w:tc>
      </w:tr>
      <w:tr>
        <w:tc>
          <w:tcPr/>
          <w:p>
            <w:pPr>
              <w:pStyle w:val="Compact"/>
              <w:jc w:val="left"/>
            </w:pPr>
            <w:r>
              <w:rPr>
                <w:rFonts w:ascii="Calibri" w:hAnsi="Calibri"/>
                <w:sz w:val="20"/>
              </w:rPr>
              <w:t xml:space="preserve">Crecimiento, rezago 1</w:t>
            </w:r>
          </w:p>
        </w:tc>
        <w:tc>
          <w:tcPr/>
          <w:p>
            <w:pPr>
              <w:pStyle w:val="Compact"/>
              <w:jc w:val="left"/>
            </w:pPr>
            <w:r>
              <w:rPr>
                <w:rFonts w:ascii="Calibri" w:hAnsi="Calibri"/>
                <w:sz w:val="20"/>
              </w:rPr>
              <w:t xml:space="preserve">0,0629</w:t>
            </w:r>
          </w:p>
        </w:tc>
        <w:tc>
          <w:tcPr/>
          <w:p>
            <w:pPr>
              <w:pStyle w:val="Compact"/>
              <w:jc w:val="left"/>
            </w:pPr>
            <w:r>
              <w:rPr>
                <w:rFonts w:ascii="Calibri" w:hAnsi="Calibri"/>
                <w:sz w:val="20"/>
              </w:rPr>
              <w:t xml:space="preserve">0,0588</w:t>
            </w:r>
          </w:p>
        </w:tc>
        <w:tc>
          <w:tcPr/>
          <w:p>
            <w:pPr>
              <w:pStyle w:val="Compact"/>
              <w:jc w:val="left"/>
            </w:pPr>
            <w:r>
              <w:rPr>
                <w:rFonts w:ascii="Calibri" w:hAnsi="Calibri"/>
                <w:sz w:val="20"/>
              </w:rPr>
              <w:t xml:space="preserve">0,285</w:t>
            </w:r>
          </w:p>
        </w:tc>
      </w:tr>
      <w:tr>
        <w:tc>
          <w:tcPr/>
          <w:p>
            <w:pPr>
              <w:pStyle w:val="Compact"/>
              <w:jc w:val="left"/>
            </w:pPr>
            <w:r>
              <w:rPr>
                <w:rFonts w:ascii="Calibri" w:hAnsi="Calibri"/>
                <w:sz w:val="20"/>
              </w:rPr>
              <w:t xml:space="preserve">EMBI, rezago 1</w:t>
            </w:r>
          </w:p>
        </w:tc>
        <w:tc>
          <w:tcPr/>
          <w:p>
            <w:pPr>
              <w:pStyle w:val="Compact"/>
              <w:jc w:val="left"/>
            </w:pPr>
            <w:r>
              <w:rPr>
                <w:rFonts w:ascii="Calibri" w:hAnsi="Calibri"/>
                <w:sz w:val="20"/>
              </w:rPr>
              <w:t xml:space="preserve">-0,0005</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0,161</w:t>
            </w:r>
          </w:p>
        </w:tc>
      </w:tr>
      <w:tr>
        <w:tc>
          <w:tcPr/>
          <w:p>
            <w:pPr>
              <w:pStyle w:val="Compact"/>
              <w:jc w:val="left"/>
            </w:pPr>
            <w:r>
              <w:rPr>
                <w:rFonts w:ascii="Calibri" w:hAnsi="Calibri"/>
                <w:sz w:val="20"/>
              </w:rPr>
              <w:t xml:space="preserve">TCRM, rezago 1</w:t>
            </w:r>
          </w:p>
        </w:tc>
        <w:tc>
          <w:tcPr/>
          <w:p>
            <w:pPr>
              <w:pStyle w:val="Compact"/>
              <w:jc w:val="left"/>
            </w:pPr>
            <w:r>
              <w:rPr>
                <w:rFonts w:ascii="Calibri" w:hAnsi="Calibri"/>
                <w:sz w:val="20"/>
              </w:rPr>
              <w:t xml:space="preserve">1,7254</w:t>
            </w:r>
          </w:p>
        </w:tc>
        <w:tc>
          <w:tcPr/>
          <w:p>
            <w:pPr>
              <w:pStyle w:val="Compact"/>
              <w:jc w:val="left"/>
            </w:pPr>
            <w:r>
              <w:rPr>
                <w:rFonts w:ascii="Calibri" w:hAnsi="Calibri"/>
                <w:sz w:val="20"/>
              </w:rPr>
              <w:t xml:space="preserve">1,4642</w:t>
            </w:r>
          </w:p>
        </w:tc>
        <w:tc>
          <w:tcPr/>
          <w:p>
            <w:pPr>
              <w:pStyle w:val="Compact"/>
              <w:jc w:val="left"/>
            </w:pPr>
            <w:r>
              <w:rPr>
                <w:rFonts w:ascii="Calibri" w:hAnsi="Calibri"/>
                <w:sz w:val="20"/>
              </w:rPr>
              <w:t xml:space="preserve">0,239</w:t>
            </w:r>
          </w:p>
        </w:tc>
      </w:tr>
      <w:tr>
        <w:tc>
          <w:tcPr/>
          <w:p>
            <w:pPr>
              <w:pStyle w:val="Compact"/>
              <w:jc w:val="left"/>
            </w:pPr>
            <w:r>
              <w:rPr>
                <w:rFonts w:ascii="Calibri" w:hAnsi="Calibri"/>
                <w:sz w:val="20"/>
              </w:rPr>
              <w:t xml:space="preserve">Resultado primario, rezago 2</w:t>
            </w:r>
          </w:p>
        </w:tc>
        <w:tc>
          <w:tcPr/>
          <w:p>
            <w:pPr>
              <w:pStyle w:val="Compact"/>
              <w:jc w:val="left"/>
            </w:pPr>
            <w:r>
              <w:rPr>
                <w:rFonts w:ascii="Calibri" w:hAnsi="Calibri"/>
                <w:sz w:val="20"/>
              </w:rPr>
              <w:t xml:space="preserve">0,2493</w:t>
            </w:r>
          </w:p>
        </w:tc>
        <w:tc>
          <w:tcPr/>
          <w:p>
            <w:pPr>
              <w:pStyle w:val="Compact"/>
              <w:jc w:val="left"/>
            </w:pPr>
            <w:r>
              <w:rPr>
                <w:rFonts w:ascii="Calibri" w:hAnsi="Calibri"/>
                <w:sz w:val="20"/>
              </w:rPr>
              <w:t xml:space="preserve">0,1113</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Crecimiento, rezago 2</w:t>
            </w:r>
          </w:p>
        </w:tc>
        <w:tc>
          <w:tcPr/>
          <w:p>
            <w:pPr>
              <w:pStyle w:val="Compact"/>
              <w:jc w:val="left"/>
            </w:pPr>
            <w:r>
              <w:rPr>
                <w:rFonts w:ascii="Calibri" w:hAnsi="Calibri"/>
                <w:sz w:val="20"/>
              </w:rPr>
              <w:t xml:space="preserve">0,1330</w:t>
            </w:r>
          </w:p>
        </w:tc>
        <w:tc>
          <w:tcPr/>
          <w:p>
            <w:pPr>
              <w:pStyle w:val="Compact"/>
              <w:jc w:val="left"/>
            </w:pPr>
            <w:r>
              <w:rPr>
                <w:rFonts w:ascii="Calibri" w:hAnsi="Calibri"/>
                <w:sz w:val="20"/>
              </w:rPr>
              <w:t xml:space="preserve">0,0544</w:t>
            </w:r>
          </w:p>
        </w:tc>
        <w:tc>
          <w:tcPr/>
          <w:p>
            <w:pPr>
              <w:pStyle w:val="Compact"/>
              <w:jc w:val="left"/>
            </w:pPr>
            <w:r>
              <w:rPr>
                <w:rFonts w:ascii="Calibri" w:hAnsi="Calibri"/>
                <w:sz w:val="20"/>
              </w:rPr>
              <w:t xml:space="preserve">0,015</w:t>
            </w:r>
          </w:p>
        </w:tc>
      </w:tr>
      <w:tr>
        <w:tc>
          <w:tcPr/>
          <w:p>
            <w:pPr>
              <w:pStyle w:val="Compact"/>
              <w:jc w:val="left"/>
            </w:pPr>
            <w:r>
              <w:rPr>
                <w:rFonts w:ascii="Calibri" w:hAnsi="Calibri"/>
                <w:sz w:val="20"/>
              </w:rPr>
              <w:t xml:space="preserve">EMBI, rezago 2</w:t>
            </w:r>
          </w:p>
        </w:tc>
        <w:tc>
          <w:tcPr/>
          <w:p>
            <w:pPr>
              <w:pStyle w:val="Compact"/>
              <w:jc w:val="left"/>
            </w:pPr>
            <w:r>
              <w:rPr>
                <w:rFonts w:ascii="Calibri" w:hAnsi="Calibri"/>
                <w:sz w:val="20"/>
              </w:rPr>
              <w:t xml:space="preserve">-0,0001</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0,840</w:t>
            </w:r>
          </w:p>
        </w:tc>
      </w:tr>
      <w:tr>
        <w:tc>
          <w:tcPr/>
          <w:p>
            <w:pPr>
              <w:pStyle w:val="Compact"/>
              <w:jc w:val="left"/>
            </w:pPr>
            <w:r>
              <w:rPr>
                <w:rFonts w:ascii="Calibri" w:hAnsi="Calibri"/>
                <w:sz w:val="20"/>
              </w:rPr>
              <w:t xml:space="preserve">TCRM, rezago 2</w:t>
            </w:r>
          </w:p>
        </w:tc>
        <w:tc>
          <w:tcPr/>
          <w:p>
            <w:pPr>
              <w:pStyle w:val="Compact"/>
              <w:jc w:val="left"/>
            </w:pPr>
            <w:r>
              <w:rPr>
                <w:rFonts w:ascii="Calibri" w:hAnsi="Calibri"/>
                <w:sz w:val="20"/>
              </w:rPr>
              <w:t xml:space="preserve">-0,4177</w:t>
            </w:r>
          </w:p>
        </w:tc>
        <w:tc>
          <w:tcPr/>
          <w:p>
            <w:pPr>
              <w:pStyle w:val="Compact"/>
              <w:jc w:val="left"/>
            </w:pPr>
            <w:r>
              <w:rPr>
                <w:rFonts w:ascii="Calibri" w:hAnsi="Calibri"/>
                <w:sz w:val="20"/>
              </w:rPr>
              <w:t xml:space="preserve">1,4189</w:t>
            </w:r>
          </w:p>
        </w:tc>
        <w:tc>
          <w:tcPr/>
          <w:p>
            <w:pPr>
              <w:pStyle w:val="Compact"/>
              <w:jc w:val="left"/>
            </w:pPr>
            <w:r>
              <w:rPr>
                <w:rFonts w:ascii="Calibri" w:hAnsi="Calibri"/>
                <w:sz w:val="20"/>
              </w:rPr>
              <w:t xml:space="preserve">0,768</w:t>
            </w:r>
          </w:p>
        </w:tc>
      </w:tr>
    </w:tbl>
    <w:bookmarkEnd w:id="135"/>
    <w:bookmarkStart w:id="136" w:name="X0c3ee012894d3280e6e3a1c5cd47942b17bdf00"/>
    <w:p>
      <w:pPr>
        <w:pStyle w:val="Heading2"/>
      </w:pPr>
      <w:r>
        <w:t xml:space="preserve">A.9 Resultados completos de la especificación principal</w:t>
      </w:r>
    </w:p>
    <w:p>
      <w:pPr>
        <w:pStyle w:val="FirstParagraph"/>
      </w:pPr>
      <w:r>
        <w:t xml:space="preserve">Estimación central con los parámetros de MCO y 20.000 trayectorias (error de Monte Carlo de 0,3 puntos en la probabilidad de 2031); intervalos de Hall con 1.000 réplicas de parámetros y 1.000 trayectorias cada una. Autovalor máximo del VAR: 0,776.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Estimación central</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r>
      <w:tr>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r>
      <w:tr>
        <w:tc>
          <w:tcPr/>
          <w:p>
            <w:pPr>
              <w:pStyle w:val="Compact"/>
              <w:jc w:val="left"/>
            </w:pPr>
            <w:r>
              <w:rPr>
                <w:rFonts w:ascii="Calibri" w:hAnsi="Calibri"/>
                <w:sz w:val="20"/>
              </w:rPr>
              <w:t xml:space="preserve">No estabilización 2031, métrica anual con el resultado primario simulado (%)</w:t>
            </w:r>
          </w:p>
        </w:tc>
        <w:tc>
          <w:tcPr/>
          <w:p>
            <w:pPr>
              <w:pStyle w:val="Compact"/>
              <w:jc w:val="left"/>
            </w:pPr>
            <w:r>
              <w:rPr>
                <w:rFonts w:ascii="Calibri" w:hAnsi="Calibri"/>
                <w:sz w:val="20"/>
              </w:rPr>
              <w:t xml:space="preserve">29,7</w:t>
            </w:r>
          </w:p>
        </w:tc>
        <w:tc>
          <w:tcPr/>
          <w:p>
            <w:pPr>
              <w:pStyle w:val="Compact"/>
              <w:jc w:val="left"/>
            </w:pPr>
            <w:r>
              <w:rPr>
                <w:rFonts w:ascii="Calibri" w:hAnsi="Calibri"/>
                <w:sz w:val="20"/>
              </w:rPr>
              <w:t xml:space="preserve">[23,5; 37,3]</w:t>
            </w:r>
          </w:p>
        </w:tc>
      </w:tr>
      <w:tr>
        <w:tc>
          <w:tcPr/>
          <w:p>
            <w:pPr>
              <w:pStyle w:val="Compact"/>
              <w:jc w:val="left"/>
            </w:pPr>
            <w:r>
              <w:rPr>
                <w:rFonts w:ascii="Calibri" w:hAnsi="Calibri"/>
                <w:sz w:val="20"/>
              </w:rPr>
              <w:t xml:space="preserve">Probabilidad de que la deuda de 2031 supere a la de 2029 (%)</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[17,3; 26,7]</w:t>
            </w:r>
          </w:p>
        </w:tc>
      </w:tr>
      <w:tr>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r>
      <w:tr>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r>
      <w:tr>
        <w:tc>
          <w:tcPr/>
          <w:p>
            <w:pPr>
              <w:pStyle w:val="Compact"/>
              <w:jc w:val="left"/>
            </w:pPr>
            <w:r>
              <w:rPr>
                <w:rFonts w:ascii="Calibri" w:hAnsi="Calibri"/>
                <w:sz w:val="20"/>
              </w:rPr>
              <w:t xml:space="preserve">No estabilización 2031, definición operativa del FMI, resultado primario simulado (%)</w:t>
            </w:r>
          </w:p>
        </w:tc>
        <w:tc>
          <w:tcPr/>
          <w:p>
            <w:pPr>
              <w:pStyle w:val="Compact"/>
              <w:jc w:val="left"/>
            </w:pPr>
            <w:r>
              <w:rPr>
                <w:rFonts w:ascii="Calibri" w:hAnsi="Calibri"/>
                <w:sz w:val="20"/>
              </w:rPr>
              <w:t xml:space="preserve">4,8</w:t>
            </w:r>
          </w:p>
        </w:tc>
        <w:tc>
          <w:tcPr/>
          <w:p>
            <w:pPr>
              <w:pStyle w:val="Compact"/>
              <w:jc w:val="left"/>
            </w:pPr>
            <w:r>
              <w:rPr>
                <w:rFonts w:ascii="Calibri" w:hAnsi="Calibri"/>
                <w:sz w:val="20"/>
              </w:rPr>
              <w:t xml:space="preserve">[0,0; 9,4]</w:t>
            </w:r>
          </w:p>
        </w:tc>
      </w:tr>
      <w:tr>
        <w:tc>
          <w:tcPr/>
          <w:p>
            <w:pPr>
              <w:pStyle w:val="Compact"/>
              <w:jc w:val="left"/>
            </w:pPr>
            <w:r>
              <w:rPr>
                <w:rFonts w:ascii="Calibri" w:hAnsi="Calibri"/>
                <w:sz w:val="20"/>
              </w:rPr>
              <w:t xml:space="preserve">No estabilización 2031, lectura literal del recuadro 3 del FMI (%)</w:t>
            </w:r>
          </w:p>
        </w:tc>
        <w:tc>
          <w:tcPr/>
          <w:p>
            <w:pPr>
              <w:pStyle w:val="Compact"/>
              <w:jc w:val="left"/>
            </w:pPr>
            <w:r>
              <w:rPr>
                <w:rFonts w:ascii="Calibri" w:hAnsi="Calibri"/>
                <w:sz w:val="20"/>
              </w:rPr>
              <w:t xml:space="preserve">0,0</w:t>
            </w:r>
          </w:p>
        </w:tc>
        <w:tc>
          <w:tcPr/>
          <w:p>
            <w:pPr>
              <w:pStyle w:val="Compact"/>
              <w:jc w:val="left"/>
            </w:pPr>
            <w:r>
              <w:rPr>
                <w:rFonts w:ascii="Calibri" w:hAnsi="Calibri"/>
                <w:sz w:val="20"/>
              </w:rPr>
              <w:t xml:space="preserve">[0,0; 0,0]</w:t>
            </w:r>
          </w:p>
        </w:tc>
      </w:tr>
      <w:tr>
        <w:tc>
          <w:tcPr/>
          <w:p>
            <w:pPr>
              <w:pStyle w:val="Compact"/>
              <w:jc w:val="left"/>
            </w:pPr>
            <w:r>
              <w:rPr>
                <w:rFonts w:ascii="Calibri" w:hAnsi="Calibri"/>
                <w:sz w:val="20"/>
              </w:rPr>
              <w:t xml:space="preserve">No estabilización 2035, lectura literal del recuadro 3 del FMI (%)</w:t>
            </w:r>
          </w:p>
        </w:tc>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[0,0; 1,8]</w:t>
            </w:r>
          </w:p>
        </w:tc>
      </w:tr>
      <w:tr>
        <w:tc>
          <w:tcPr/>
          <w:p>
            <w:pPr>
              <w:pStyle w:val="Compact"/>
              <w:jc w:val="left"/>
            </w:pPr>
            <w:r>
              <w:rPr>
                <w:rFonts w:ascii="Calibri" w:hAnsi="Calibri"/>
                <w:sz w:val="20"/>
              </w:rPr>
              <w:t xml:space="preserve">Deuda mediana 2031 (% del PIB)</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[51,8; 55,2]</w:t>
            </w:r>
          </w:p>
        </w:tc>
      </w:tr>
      <w:tr>
        <w:tc>
          <w:tcPr/>
          <w:p>
            <w:pPr>
              <w:pStyle w:val="Compact"/>
              <w:jc w:val="left"/>
            </w:pPr>
            <w:r>
              <w:rPr>
                <w:rFonts w:ascii="Calibri" w:hAnsi="Calibri"/>
                <w:sz w:val="20"/>
              </w:rPr>
              <w:t xml:space="preserve">Deuda media 2035 (% del PIB)</w:t>
            </w:r>
          </w:p>
        </w:tc>
        <w:tc>
          <w:tcPr/>
          <w:p>
            <w:pPr>
              <w:pStyle w:val="Compact"/>
              <w:jc w:val="left"/>
            </w:pPr>
            <w:r>
              <w:rPr>
                <w:rFonts w:ascii="Calibri" w:hAnsi="Calibri"/>
                <w:sz w:val="20"/>
              </w:rPr>
              <w:t xml:space="preserve">45,0</w:t>
            </w:r>
          </w:p>
        </w:tc>
        <w:tc>
          <w:tcPr/>
          <w:p>
            <w:pPr>
              <w:pStyle w:val="Compact"/>
              <w:jc w:val="left"/>
            </w:pPr>
            <w:r>
              <w:rPr>
                <w:rFonts w:ascii="Calibri" w:hAnsi="Calibri"/>
                <w:sz w:val="20"/>
              </w:rPr>
              <w:t xml:space="preserve">[40,7; 51,0]</w:t>
            </w:r>
          </w:p>
        </w:tc>
      </w:tr>
      <w:tr>
        <w:tc>
          <w:tcPr/>
          <w:p>
            <w:pPr>
              <w:pStyle w:val="Compact"/>
              <w:jc w:val="left"/>
            </w:pPr>
            <w:r>
              <w:rPr>
                <w:rFonts w:ascii="Calibri" w:hAnsi="Calibri"/>
                <w:sz w:val="20"/>
              </w:rPr>
              <w:t xml:space="preserve">Ancho del abanico 2031 (p5-p95)</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[32,4; 54,5]</w:t>
            </w:r>
          </w:p>
        </w:tc>
      </w:tr>
      <w:tr>
        <w:tc>
          <w:tcPr/>
          <w:p>
            <w:pPr>
              <w:pStyle w:val="Compact"/>
              <w:jc w:val="left"/>
            </w:pPr>
            <w:r>
              <w:rPr>
                <w:rFonts w:ascii="Calibri" w:hAnsi="Calibri"/>
                <w:sz w:val="20"/>
              </w:rPr>
              <w:t xml:space="preserve">Varianza 2035: fiscal (%)</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Varianza 2035: actividad (%)</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Varianza 2035: cambiario y de riesgo (%)</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Varianza 2035: externo, FED y VIX (%)</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Varianza 2035: solo VIX, mismo denominador (%)</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Varianza 2035: solo tasa de la FED (%)</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Varianza 2035: tasa de la FED, solo efecto directo en la identidad (%)</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Varianza 2035: tasa de la FED, efecto indirecto (diferencia) (%)</w:t>
            </w:r>
          </w:p>
        </w:tc>
        <w:tc>
          <w:tcPr/>
          <w:p>
            <w:pPr>
              <w:pStyle w:val="Compact"/>
              <w:jc w:val="left"/>
            </w:pPr>
            <w:r>
              <w:rPr>
                <w:rFonts w:ascii="Calibri" w:hAnsi="Calibri"/>
                <w:sz w:val="20"/>
              </w:rPr>
              <w:t xml:space="preserve">5,7</w:t>
            </w:r>
          </w:p>
        </w:tc>
        <w:tc>
          <w:tcPr/>
          <w:p>
            <w:pPr>
              <w:pStyle w:val="Compact"/>
              <w:jc w:val="left"/>
            </w:pPr>
            <w:r>
              <w:rPr>
                <w:rFonts w:ascii="Calibri" w:hAnsi="Calibri"/>
                <w:sz w:val="20"/>
              </w:rPr>
              <w:t xml:space="preserve">[-6,9; 36,6]</w:t>
            </w:r>
          </w:p>
        </w:tc>
      </w:tr>
      <w:tr>
        <w:tc>
          <w:tcPr/>
          <w:p>
            <w:pPr>
              <w:pStyle w:val="Compact"/>
              <w:jc w:val="left"/>
            </w:pPr>
            <w:r>
              <w:rPr>
                <w:rFonts w:ascii="Calibri" w:hAnsi="Calibri"/>
                <w:sz w:val="20"/>
              </w:rPr>
              <w:t xml:space="preserve">Varianza total de la deuda 2035 (puntos del PIB al cuadrado)</w:t>
            </w:r>
          </w:p>
        </w:tc>
        <w:tc>
          <w:tcPr/>
          <w:p>
            <w:pPr>
              <w:pStyle w:val="Compact"/>
              <w:jc w:val="left"/>
            </w:pPr>
            <w:r>
              <w:rPr>
                <w:rFonts w:ascii="Calibri" w:hAnsi="Calibri"/>
                <w:sz w:val="20"/>
              </w:rPr>
              <w:t xml:space="preserve">441,0</w:t>
            </w:r>
          </w:p>
        </w:tc>
        <w:tc>
          <w:tcPr/>
          <w:p>
            <w:pPr>
              <w:pStyle w:val="Compact"/>
              <w:jc w:val="left"/>
            </w:pPr>
            <w:r>
              <w:rPr>
                <w:rFonts w:ascii="Calibri" w:hAnsi="Calibri"/>
                <w:sz w:val="20"/>
              </w:rPr>
              <w:t xml:space="preserve">[112,2; 1.149,7]</w:t>
            </w:r>
          </w:p>
        </w:tc>
      </w:tr>
      <w:tr>
        <w:tc>
          <w:tcPr/>
          <w:p>
            <w:pPr>
              <w:pStyle w:val="Compact"/>
              <w:jc w:val="left"/>
            </w:pPr>
            <w:r>
              <w:rPr>
                <w:rFonts w:ascii="Calibri" w:hAnsi="Calibri"/>
                <w:sz w:val="20"/>
              </w:rPr>
              <w:t xml:space="preserve">Suma de las varianzas de los cuatro bloques</w:t>
            </w:r>
          </w:p>
        </w:tc>
        <w:tc>
          <w:tcPr/>
          <w:p>
            <w:pPr>
              <w:pStyle w:val="Compact"/>
              <w:jc w:val="left"/>
            </w:pPr>
            <w:r>
              <w:rPr>
                <w:rFonts w:ascii="Calibri" w:hAnsi="Calibri"/>
                <w:sz w:val="20"/>
              </w:rPr>
              <w:t xml:space="preserve">606,1</w:t>
            </w:r>
          </w:p>
        </w:tc>
        <w:tc>
          <w:tcPr/>
          <w:p>
            <w:pPr>
              <w:pStyle w:val="Compact"/>
              <w:jc w:val="left"/>
            </w:pPr>
            <w:r>
              <w:rPr>
                <w:rFonts w:ascii="Calibri" w:hAnsi="Calibri"/>
                <w:sz w:val="20"/>
              </w:rPr>
              <w:t xml:space="preserve">[125,4; 1.709,0]</w:t>
            </w:r>
          </w:p>
        </w:tc>
      </w:tr>
      <w:tr>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96,8</w:t>
            </w:r>
          </w:p>
        </w:tc>
        <w:tc>
          <w:tcPr/>
          <w:p>
            <w:pPr>
              <w:pStyle w:val="Compact"/>
              <w:jc w:val="left"/>
            </w:pPr>
            <w:r>
              <w:rPr>
                <w:rFonts w:ascii="Calibri" w:hAnsi="Calibri"/>
                <w:sz w:val="20"/>
              </w:rPr>
              <w:t xml:space="preserve">[90,8; 99,8]</w:t>
            </w:r>
          </w:p>
        </w:tc>
      </w:tr>
      <w:tr>
        <w:tc>
          <w:tcPr/>
          <w:p>
            <w:pPr>
              <w:pStyle w:val="Compact"/>
              <w:jc w:val="left"/>
            </w:pPr>
            <w:r>
              <w:rPr>
                <w:rFonts w:ascii="Calibri" w:hAnsi="Calibri"/>
                <w:sz w:val="20"/>
              </w:rPr>
              <w:t xml:space="preserve">FED, nivel 0,50 pp más alto: diferencia en la probabilidad 2035 (pp)</w:t>
            </w:r>
          </w:p>
        </w:tc>
        <w:tc>
          <w:tcPr/>
          <w:p>
            <w:pPr>
              <w:pStyle w:val="Compact"/>
              <w:jc w:val="left"/>
            </w:pPr>
            <w:r>
              <w:rPr>
                <w:rFonts w:ascii="Calibri" w:hAnsi="Calibri"/>
                <w:sz w:val="20"/>
              </w:rPr>
              <w:t xml:space="preserve">1,9</w:t>
            </w:r>
          </w:p>
        </w:tc>
        <w:tc>
          <w:tcPr/>
          <w:p>
            <w:pPr>
              <w:pStyle w:val="Compact"/>
              <w:jc w:val="left"/>
            </w:pPr>
            <w:r>
              <w:rPr>
                <w:rFonts w:ascii="Calibri" w:hAnsi="Calibri"/>
                <w:sz w:val="20"/>
              </w:rPr>
              <w:t xml:space="preserve">[0,3; 3,2]</w:t>
            </w:r>
          </w:p>
        </w:tc>
      </w:tr>
      <w:tr>
        <w:tc>
          <w:tcPr/>
          <w:p>
            <w:pPr>
              <w:pStyle w:val="Compact"/>
              <w:jc w:val="left"/>
            </w:pPr>
            <w:r>
              <w:rPr>
                <w:rFonts w:ascii="Calibri" w:hAnsi="Calibri"/>
                <w:sz w:val="20"/>
              </w:rPr>
              <w:t xml:space="preserve">FED, nivel 0,50 pp más alto: diferencia en la deuda media 2035 (pp del PIB)</w:t>
            </w:r>
          </w:p>
        </w:tc>
        <w:tc>
          <w:tcPr/>
          <w:p>
            <w:pPr>
              <w:pStyle w:val="Compact"/>
              <w:jc w:val="left"/>
            </w:pPr>
            <w:r>
              <w:rPr>
                <w:rFonts w:ascii="Calibri" w:hAnsi="Calibri"/>
                <w:sz w:val="20"/>
              </w:rPr>
              <w:t xml:space="preserve">2,0</w:t>
            </w:r>
          </w:p>
        </w:tc>
        <w:tc>
          <w:tcPr/>
          <w:p>
            <w:pPr>
              <w:pStyle w:val="Compact"/>
              <w:jc w:val="left"/>
            </w:pPr>
            <w:r>
              <w:rPr>
                <w:rFonts w:ascii="Calibri" w:hAnsi="Calibri"/>
                <w:sz w:val="20"/>
              </w:rPr>
              <w:t xml:space="preserve">[0,4; 3,2]</w:t>
            </w:r>
          </w:p>
        </w:tc>
      </w:tr>
      <w:tr>
        <w:tc>
          <w:tcPr/>
          <w:p>
            <w:pPr>
              <w:pStyle w:val="Compact"/>
              <w:jc w:val="left"/>
            </w:pPr>
            <w:r>
              <w:rPr>
                <w:rFonts w:ascii="Calibri" w:hAnsi="Calibri"/>
                <w:sz w:val="20"/>
              </w:rPr>
              <w:t xml:space="preserve">FED, senda 2022-2025: diferencia en la probabilidad 2031 (pp)</w:t>
            </w:r>
          </w:p>
        </w:tc>
        <w:tc>
          <w:tcPr/>
          <w:p>
            <w:pPr>
              <w:pStyle w:val="Compact"/>
              <w:jc w:val="left"/>
            </w:pPr>
            <w:r>
              <w:rPr>
                <w:rFonts w:ascii="Calibri" w:hAnsi="Calibri"/>
                <w:sz w:val="20"/>
              </w:rPr>
              <w:t xml:space="preserve">6,7</w:t>
            </w:r>
          </w:p>
        </w:tc>
        <w:tc>
          <w:tcPr/>
          <w:p>
            <w:pPr>
              <w:pStyle w:val="Compact"/>
              <w:jc w:val="left"/>
            </w:pPr>
            <w:r>
              <w:rPr>
                <w:rFonts w:ascii="Calibri" w:hAnsi="Calibri"/>
                <w:sz w:val="20"/>
              </w:rPr>
              <w:t xml:space="preserve">[0,6; 12,8]</w:t>
            </w:r>
          </w:p>
        </w:tc>
      </w:tr>
      <w:tr>
        <w:tc>
          <w:tcPr/>
          <w:p>
            <w:pPr>
              <w:pStyle w:val="Compact"/>
              <w:jc w:val="left"/>
            </w:pPr>
            <w:r>
              <w:rPr>
                <w:rFonts w:ascii="Calibri" w:hAnsi="Calibri"/>
                <w:sz w:val="20"/>
              </w:rPr>
              <w:t xml:space="preserve">FED, senda 2022-2025: diferencia en la probabilidad 2035 (pp)</w:t>
            </w:r>
          </w:p>
        </w:tc>
        <w:tc>
          <w:tcPr/>
          <w:p>
            <w:pPr>
              <w:pStyle w:val="Compact"/>
              <w:jc w:val="left"/>
            </w:pPr>
            <w:r>
              <w:rPr>
                <w:rFonts w:ascii="Calibri" w:hAnsi="Calibri"/>
                <w:sz w:val="20"/>
              </w:rPr>
              <w:t xml:space="preserve">18,4</w:t>
            </w:r>
          </w:p>
        </w:tc>
        <w:tc>
          <w:tcPr/>
          <w:p>
            <w:pPr>
              <w:pStyle w:val="Compact"/>
              <w:jc w:val="left"/>
            </w:pPr>
            <w:r>
              <w:rPr>
                <w:rFonts w:ascii="Calibri" w:hAnsi="Calibri"/>
                <w:sz w:val="20"/>
              </w:rPr>
              <w:t xml:space="preserve">[6,3; 29,1]</w:t>
            </w:r>
          </w:p>
        </w:tc>
      </w:tr>
      <w:tr>
        <w:tc>
          <w:tcPr/>
          <w:p>
            <w:pPr>
              <w:pStyle w:val="Compact"/>
              <w:jc w:val="left"/>
            </w:pPr>
            <w:r>
              <w:rPr>
                <w:rFonts w:ascii="Calibri" w:hAnsi="Calibri"/>
                <w:sz w:val="20"/>
              </w:rPr>
              <w:t xml:space="preserve">FED, senda 2022-2025: diferencia en la deuda media 2035 (pp del PIB)</w:t>
            </w:r>
          </w:p>
        </w:tc>
        <w:tc>
          <w:tcPr/>
          <w:p>
            <w:pPr>
              <w:pStyle w:val="Compact"/>
              <w:jc w:val="left"/>
            </w:pPr>
            <w:r>
              <w:rPr>
                <w:rFonts w:ascii="Calibri" w:hAnsi="Calibri"/>
                <w:sz w:val="20"/>
              </w:rPr>
              <w:t xml:space="preserve">19,3</w:t>
            </w:r>
          </w:p>
        </w:tc>
        <w:tc>
          <w:tcPr/>
          <w:p>
            <w:pPr>
              <w:pStyle w:val="Compact"/>
              <w:jc w:val="left"/>
            </w:pPr>
            <w:r>
              <w:rPr>
                <w:rFonts w:ascii="Calibri" w:hAnsi="Calibri"/>
                <w:sz w:val="20"/>
              </w:rPr>
              <w:t xml:space="preserve">[-0,3; 31,3]</w:t>
            </w:r>
          </w:p>
        </w:tc>
      </w:tr>
      <w:tr>
        <w:tc>
          <w:tcPr/>
          <w:p>
            <w:pPr>
              <w:pStyle w:val="Compact"/>
              <w:jc w:val="left"/>
            </w:pPr>
            <w:r>
              <w:rPr>
                <w:rFonts w:ascii="Calibri" w:hAnsi="Calibri"/>
                <w:sz w:val="20"/>
              </w:rPr>
              <w:t xml:space="preserve">FED, senda 2022-2025: diferencia en la probabilidad 2035, definición operativa del FMI (pp)</w:t>
            </w:r>
          </w:p>
        </w:tc>
        <w:tc>
          <w:tcPr/>
          <w:p>
            <w:pPr>
              <w:pStyle w:val="Compact"/>
              <w:jc w:val="left"/>
            </w:pPr>
            <w:r>
              <w:rPr>
                <w:rFonts w:ascii="Calibri" w:hAnsi="Calibri"/>
                <w:sz w:val="20"/>
              </w:rPr>
              <w:t xml:space="preserve">17,1</w:t>
            </w:r>
          </w:p>
        </w:tc>
        <w:tc>
          <w:tcPr/>
          <w:p>
            <w:pPr>
              <w:pStyle w:val="Compact"/>
              <w:jc w:val="left"/>
            </w:pPr>
            <w:r>
              <w:rPr>
                <w:rFonts w:ascii="Calibri" w:hAnsi="Calibri"/>
                <w:sz w:val="20"/>
              </w:rPr>
              <w:t xml:space="preserve">[0,6; 32,6]</w:t>
            </w:r>
          </w:p>
        </w:tc>
      </w:tr>
    </w:tbl>
    <w:bookmarkEnd w:id="136"/>
    <w:bookmarkStart w:id="137" w:name="a.10-robustez-completa"/>
    <w:p>
      <w:pPr>
        <w:pStyle w:val="Heading2"/>
      </w:pPr>
      <w:r>
        <w:t xml:space="preserve">A.10 Robustez completa</w:t>
      </w:r>
    </w:p>
    <w:p>
      <w:pPr>
        <w:pStyle w:val="FirstParagraph"/>
      </w:pPr>
      <w:r>
        <w:t xml:space="preserve">Entre corchetes, intervalos de 90%: de Hall, salvo las participaciones y varianzas y la diferencia entre</w:t>
      </w:r>
      <w:r>
        <w:t xml:space="preserve"> </w:t>
      </w:r>
      <w:r>
        <w:rPr>
          <w:iCs/>
          <w:i/>
        </w:rPr>
        <w:t xml:space="preserve">shocks</w:t>
      </w:r>
      <w:r>
        <w:t xml:space="preserve"> </w:t>
      </w:r>
      <w:r>
        <w:t xml:space="preserve">no fiscales y fiscal, que usan percentiles simples de las réplicas. Las columnas de la definición operativa del FMI usan la reconstrucción de la sección 4.6: los impulsores del escenario en el año final más el</w:t>
      </w:r>
      <w:r>
        <w:t xml:space="preserve"> </w:t>
      </w:r>
      <w:r>
        <w:rPr>
          <w:iCs/>
          <w:i/>
        </w:rPr>
        <w:t xml:space="preserve">shock</w:t>
      </w:r>
      <w:r>
        <w:t xml:space="preserve"> </w:t>
      </w:r>
      <w:r>
        <w:t xml:space="preserve">promedio de cada trayectoria, sin variación del tipo de cambio real ni ajuste</w:t>
      </w:r>
      <w:r>
        <w:t xml:space="preserve"> </w:t>
      </w:r>
      <w:r>
        <w:rPr>
          <w:iCs/>
          <w:i/>
        </w:rPr>
        <w:t xml:space="preserve">stock</w:t>
      </w:r>
      <w:r>
        <w:t xml:space="preserve">-flujo (FMI, 2022, recuadro 3). La columna de la deuda de la senda de la FED se muestra con dos decimales para distinguir los intervalos que tocan el cero. «No se informa»: más de 1% de las réplicas (10% en la columna del reparto de la varianza) tiene trayectorias explosivas que dominan la media de la deuda.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Ancho 2031</w:t>
            </w:r>
          </w:p>
        </w:tc>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Senda de la FED: deuda 2035 (pp)</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19,29 [-0,31; 31,34]</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17,3 [7,4; 32,3]</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5,5 [0,0; 10,9]</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21,30 [3,55; 34,67]</w:t>
            </w:r>
          </w:p>
        </w:tc>
      </w:tr>
      <w:tr>
        <w:tc>
          <w:tcPr/>
          <w:p>
            <w:pPr>
              <w:pStyle w:val="Compact"/>
              <w:jc w:val="left"/>
            </w:pPr>
            <w:r>
              <w:rPr>
                <w:rFonts w:ascii="Calibri" w:hAnsi="Calibri"/>
                <w:sz w:val="20"/>
              </w:rPr>
              <w:t xml:space="preserve">Canal de tasas en pesos</w:t>
            </w:r>
          </w:p>
        </w:tc>
        <w:tc>
          <w:tcPr/>
          <w:p>
            <w:pPr>
              <w:pStyle w:val="Compact"/>
              <w:jc w:val="left"/>
            </w:pPr>
            <w:r>
              <w:rPr>
                <w:rFonts w:ascii="Calibri" w:hAnsi="Calibri"/>
                <w:sz w:val="20"/>
              </w:rPr>
              <w:t xml:space="preserve">29,5 [24,3; 36,5]</w:t>
            </w:r>
          </w:p>
        </w:tc>
        <w:tc>
          <w:tcPr/>
          <w:p>
            <w:pPr>
              <w:pStyle w:val="Compact"/>
              <w:jc w:val="left"/>
            </w:pPr>
            <w:r>
              <w:rPr>
                <w:rFonts w:ascii="Calibri" w:hAnsi="Calibri"/>
                <w:sz w:val="20"/>
              </w:rPr>
              <w:t xml:space="preserve">34,9 [31,6; 44,1]</w:t>
            </w:r>
          </w:p>
        </w:tc>
        <w:tc>
          <w:tcPr/>
          <w:p>
            <w:pPr>
              <w:pStyle w:val="Compact"/>
              <w:jc w:val="left"/>
            </w:pPr>
            <w:r>
              <w:rPr>
                <w:rFonts w:ascii="Calibri" w:hAnsi="Calibri"/>
                <w:sz w:val="20"/>
              </w:rPr>
              <w:t xml:space="preserve">9,0 [2,7; 17,0]</w:t>
            </w:r>
          </w:p>
        </w:tc>
        <w:tc>
          <w:tcPr/>
          <w:p>
            <w:pPr>
              <w:pStyle w:val="Compact"/>
              <w:jc w:val="left"/>
            </w:pPr>
            <w:r>
              <w:rPr>
                <w:rFonts w:ascii="Calibri" w:hAnsi="Calibri"/>
                <w:sz w:val="20"/>
              </w:rPr>
              <w:t xml:space="preserve">17,4 [9,7; 32,3]</w:t>
            </w:r>
          </w:p>
        </w:tc>
        <w:tc>
          <w:tcPr/>
          <w:p>
            <w:pPr>
              <w:pStyle w:val="Compact"/>
              <w:jc w:val="left"/>
            </w:pPr>
            <w:r>
              <w:rPr>
                <w:rFonts w:ascii="Calibri" w:hAnsi="Calibri"/>
                <w:sz w:val="20"/>
              </w:rPr>
              <w:t xml:space="preserve">51,6</w:t>
            </w:r>
          </w:p>
        </w:tc>
        <w:tc>
          <w:tcPr/>
          <w:p>
            <w:pPr>
              <w:pStyle w:val="Compact"/>
              <w:jc w:val="left"/>
            </w:pPr>
            <w:r>
              <w:rPr>
                <w:rFonts w:ascii="Calibri" w:hAnsi="Calibri"/>
                <w:sz w:val="20"/>
              </w:rPr>
              <w:t xml:space="preserve">98,9 [94,5; 100,0]</w:t>
            </w:r>
          </w:p>
        </w:tc>
        <w:tc>
          <w:tcPr/>
          <w:p>
            <w:pPr>
              <w:pStyle w:val="Compact"/>
              <w:jc w:val="left"/>
            </w:pPr>
            <w:r>
              <w:rPr>
                <w:rFonts w:ascii="Calibri" w:hAnsi="Calibri"/>
                <w:sz w:val="20"/>
              </w:rPr>
              <w:t xml:space="preserve">22,5 [7,7; 38,0]</w:t>
            </w:r>
          </w:p>
        </w:tc>
        <w:tc>
          <w:tcPr/>
          <w:p>
            <w:pPr>
              <w:pStyle w:val="Compact"/>
              <w:jc w:val="left"/>
            </w:pPr>
            <w:r>
              <w:rPr>
                <w:rFonts w:ascii="Calibri" w:hAnsi="Calibri"/>
                <w:sz w:val="20"/>
              </w:rPr>
              <w:t xml:space="preserve">33,72 [-21,30; 61,03]</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0,3 [0,0; 0,6]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13,04 [7,79; 18,36]</w:t>
            </w:r>
          </w:p>
        </w:tc>
      </w:tr>
      <w:tr>
        <w:tc>
          <w:tcPr/>
          <w:p>
            <w:pPr>
              <w:pStyle w:val="Compact"/>
              <w:jc w:val="left"/>
            </w:pPr>
            <w:r>
              <w:rPr>
                <w:rFonts w:ascii="Calibri" w:hAnsi="Calibri"/>
                <w:sz w:val="20"/>
              </w:rPr>
              <w:t xml:space="preserve">Un rezago (criterio de Schwarz)</w:t>
            </w:r>
          </w:p>
        </w:tc>
        <w:tc>
          <w:tcPr/>
          <w:p>
            <w:pPr>
              <w:pStyle w:val="Compact"/>
              <w:jc w:val="left"/>
            </w:pPr>
            <w:r>
              <w:rPr>
                <w:rFonts w:ascii="Calibri" w:hAnsi="Calibri"/>
                <w:sz w:val="20"/>
              </w:rPr>
              <w:t xml:space="preserve">29,4 [27,7; 39,2]</w:t>
            </w:r>
          </w:p>
        </w:tc>
        <w:tc>
          <w:tcPr/>
          <w:p>
            <w:pPr>
              <w:pStyle w:val="Compact"/>
              <w:jc w:val="left"/>
            </w:pPr>
            <w:r>
              <w:rPr>
                <w:rFonts w:ascii="Calibri" w:hAnsi="Calibri"/>
                <w:sz w:val="20"/>
              </w:rPr>
              <w:t xml:space="preserve">31,0 [27,2; 40,6]</w:t>
            </w:r>
          </w:p>
        </w:tc>
        <w:tc>
          <w:tcPr/>
          <w:p>
            <w:pPr>
              <w:pStyle w:val="Compact"/>
              <w:jc w:val="left"/>
            </w:pPr>
            <w:r>
              <w:rPr>
                <w:rFonts w:ascii="Calibri" w:hAnsi="Calibri"/>
                <w:sz w:val="20"/>
              </w:rPr>
              <w:t xml:space="preserve">3,9 [0,0; 7,7]</w:t>
            </w:r>
          </w:p>
        </w:tc>
        <w:tc>
          <w:tcPr/>
          <w:p>
            <w:pPr>
              <w:pStyle w:val="Compact"/>
              <w:jc w:val="left"/>
            </w:pPr>
            <w:r>
              <w:rPr>
                <w:rFonts w:ascii="Calibri" w:hAnsi="Calibri"/>
                <w:sz w:val="20"/>
              </w:rPr>
              <w:t xml:space="preserve">7,3 [0,0; 14,4]</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99,9 [90,7; 99,9]</w:t>
            </w:r>
          </w:p>
        </w:tc>
        <w:tc>
          <w:tcPr/>
          <w:p>
            <w:pPr>
              <w:pStyle w:val="Compact"/>
              <w:jc w:val="left"/>
            </w:pPr>
            <w:r>
              <w:rPr>
                <w:rFonts w:ascii="Calibri" w:hAnsi="Calibri"/>
                <w:sz w:val="20"/>
              </w:rPr>
              <w:t xml:space="preserve">21,7 [8,3; 33,3]</w:t>
            </w:r>
          </w:p>
        </w:tc>
        <w:tc>
          <w:tcPr/>
          <w:p>
            <w:pPr>
              <w:pStyle w:val="Compact"/>
              <w:jc w:val="left"/>
            </w:pPr>
            <w:r>
              <w:rPr>
                <w:rFonts w:ascii="Calibri" w:hAnsi="Calibri"/>
                <w:sz w:val="20"/>
              </w:rPr>
              <w:t xml:space="preserve">24,25 [-7,44; 41,22]</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3,7 [0,0; 7,4]</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17,29 [8,14; 28,41]</w:t>
            </w:r>
          </w:p>
        </w:tc>
      </w:tr>
      <w:tr>
        <w:tc>
          <w:tcPr/>
          <w:p>
            <w:pPr>
              <w:pStyle w:val="Compact"/>
              <w:jc w:val="left"/>
            </w:pPr>
            <w:r>
              <w:rPr>
                <w:rFonts w:ascii="Calibri" w:hAnsi="Calibri"/>
                <w:sz w:val="20"/>
              </w:rPr>
              <w:t xml:space="preserve">Cholesky, resultado primario primero</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Cholesky, resultado primario último</w:t>
            </w:r>
          </w:p>
        </w:tc>
        <w:tc>
          <w:tcPr/>
          <w:p>
            <w:pPr>
              <w:pStyle w:val="Compact"/>
              <w:jc w:val="left"/>
            </w:pPr>
            <w:r>
              <w:rPr>
                <w:rFonts w:ascii="Calibri" w:hAnsi="Calibri"/>
                <w:sz w:val="20"/>
              </w:rPr>
              <w:t xml:space="preserve">27,7 [20,3; 34,8]</w:t>
            </w:r>
          </w:p>
        </w:tc>
        <w:tc>
          <w:tcPr/>
          <w:p>
            <w:pPr>
              <w:pStyle w:val="Compact"/>
              <w:jc w:val="left"/>
            </w:pPr>
            <w:r>
              <w:rPr>
                <w:rFonts w:ascii="Calibri" w:hAnsi="Calibri"/>
                <w:sz w:val="20"/>
              </w:rPr>
              <w:t xml:space="preserve">29,0 [24,7;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[93,9; 99,8]</w:t>
            </w:r>
          </w:p>
        </w:tc>
        <w:tc>
          <w:tcPr/>
          <w:p>
            <w:pPr>
              <w:pStyle w:val="Compact"/>
              <w:jc w:val="left"/>
            </w:pPr>
            <w:r>
              <w:rPr>
                <w:rFonts w:ascii="Calibri" w:hAnsi="Calibri"/>
                <w:sz w:val="20"/>
              </w:rPr>
              <w:t xml:space="preserve">18,4 [6,2; 29,3]</w:t>
            </w:r>
          </w:p>
        </w:tc>
        <w:tc>
          <w:tcPr/>
          <w:p>
            <w:pPr>
              <w:pStyle w:val="Compact"/>
              <w:jc w:val="left"/>
            </w:pPr>
            <w:r>
              <w:rPr>
                <w:rFonts w:ascii="Calibri" w:hAnsi="Calibri"/>
                <w:sz w:val="20"/>
              </w:rPr>
              <w:t xml:space="preserve">19,29 [0,09; 31,42]</w:t>
            </w:r>
          </w:p>
        </w:tc>
      </w:tr>
      <w:tr>
        <w:tc>
          <w:tcPr/>
          <w:p>
            <w:pPr>
              <w:pStyle w:val="Compact"/>
              <w:jc w:val="left"/>
            </w:pPr>
            <w:r>
              <w:rPr>
                <w:rFonts w:ascii="Calibri" w:hAnsi="Calibri"/>
                <w:sz w:val="20"/>
              </w:rPr>
              <w:t xml:space="preserve">Elasticidad cíclica 0</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Elasticidad cíclica 0,5</w:t>
            </w:r>
          </w:p>
        </w:tc>
        <w:tc>
          <w:tcPr/>
          <w:p>
            <w:pPr>
              <w:pStyle w:val="Compact"/>
              <w:jc w:val="left"/>
            </w:pPr>
            <w:r>
              <w:rPr>
                <w:rFonts w:ascii="Calibri" w:hAnsi="Calibri"/>
                <w:sz w:val="20"/>
              </w:rPr>
              <w:t xml:space="preserve">27,7 [20,7; 34,8]</w:t>
            </w:r>
          </w:p>
        </w:tc>
        <w:tc>
          <w:tcPr/>
          <w:p>
            <w:pPr>
              <w:pStyle w:val="Compact"/>
              <w:jc w:val="left"/>
            </w:pPr>
            <w:r>
              <w:rPr>
                <w:rFonts w:ascii="Calibri" w:hAnsi="Calibri"/>
                <w:sz w:val="20"/>
              </w:rPr>
              <w:t xml:space="preserve">29,0 [24,9;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[88,0; 99,7]</w:t>
            </w:r>
          </w:p>
        </w:tc>
        <w:tc>
          <w:tcPr/>
          <w:p>
            <w:pPr>
              <w:pStyle w:val="Compact"/>
              <w:jc w:val="left"/>
            </w:pPr>
            <w:r>
              <w:rPr>
                <w:rFonts w:ascii="Calibri" w:hAnsi="Calibri"/>
                <w:sz w:val="20"/>
              </w:rPr>
              <w:t xml:space="preserve">18,4 [6,4; 29,2]</w:t>
            </w:r>
          </w:p>
        </w:tc>
        <w:tc>
          <w:tcPr/>
          <w:p>
            <w:pPr>
              <w:pStyle w:val="Compact"/>
              <w:jc w:val="left"/>
            </w:pPr>
            <w:r>
              <w:rPr>
                <w:rFonts w:ascii="Calibri" w:hAnsi="Calibri"/>
                <w:sz w:val="20"/>
              </w:rPr>
              <w:t xml:space="preserve">19,29 [0,10; 31,35]</w:t>
            </w:r>
          </w:p>
        </w:tc>
      </w:tr>
      <w:tr>
        <w:tc>
          <w:tcPr/>
          <w:p>
            <w:pPr>
              <w:pStyle w:val="Compact"/>
              <w:jc w:val="left"/>
            </w:pPr>
            <w:r>
              <w:rPr>
                <w:rFonts w:ascii="Calibri" w:hAnsi="Calibri"/>
                <w:sz w:val="20"/>
              </w:rPr>
              <w:t xml:space="preserve">Sin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jc w:val="left"/>
            </w:pPr>
            <w:r>
              <w:rPr>
                <w:rFonts w:ascii="Calibri" w:hAnsi="Calibri"/>
                <w:sz w:val="20"/>
              </w:rPr>
              <w:t xml:space="preserve">31,6 [27,6; 40,5]</w:t>
            </w:r>
          </w:p>
        </w:tc>
        <w:tc>
          <w:tcPr/>
          <w:p>
            <w:pPr>
              <w:pStyle w:val="Compact"/>
              <w:jc w:val="left"/>
            </w:pPr>
            <w:r>
              <w:rPr>
                <w:rFonts w:ascii="Calibri" w:hAnsi="Calibri"/>
                <w:sz w:val="20"/>
              </w:rPr>
              <w:t xml:space="preserve">32,8 [29,6; 41,3]</w:t>
            </w:r>
          </w:p>
        </w:tc>
        <w:tc>
          <w:tcPr/>
          <w:p>
            <w:pPr>
              <w:pStyle w:val="Compact"/>
              <w:jc w:val="left"/>
            </w:pPr>
            <w:r>
              <w:rPr>
                <w:rFonts w:ascii="Calibri" w:hAnsi="Calibri"/>
                <w:sz w:val="20"/>
              </w:rPr>
              <w:t xml:space="preserve">3,8 [0,0; 7,5]</w:t>
            </w:r>
          </w:p>
        </w:tc>
        <w:tc>
          <w:tcPr/>
          <w:p>
            <w:pPr>
              <w:pStyle w:val="Compact"/>
              <w:jc w:val="left"/>
            </w:pPr>
            <w:r>
              <w:rPr>
                <w:rFonts w:ascii="Calibri" w:hAnsi="Calibri"/>
                <w:sz w:val="20"/>
              </w:rPr>
              <w:t xml:space="preserve">6,7 [0,0; 13,3]</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97,1 [91,1; 99,8]</w:t>
            </w:r>
          </w:p>
        </w:tc>
        <w:tc>
          <w:tcPr/>
          <w:p>
            <w:pPr>
              <w:pStyle w:val="Compact"/>
              <w:jc w:val="left"/>
            </w:pPr>
            <w:r>
              <w:rPr>
                <w:rFonts w:ascii="Calibri" w:hAnsi="Calibri"/>
                <w:sz w:val="20"/>
              </w:rPr>
              <w:t xml:space="preserve">19,2 [7,6; 30,5]</w:t>
            </w:r>
          </w:p>
        </w:tc>
        <w:tc>
          <w:tcPr/>
          <w:p>
            <w:pPr>
              <w:pStyle w:val="Compact"/>
              <w:jc w:val="left"/>
            </w:pPr>
            <w:r>
              <w:rPr>
                <w:rFonts w:ascii="Calibri" w:hAnsi="Calibri"/>
                <w:sz w:val="20"/>
              </w:rPr>
              <w:t xml:space="preserve">20,58 [0,00; 33,66]</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5,6 [0,0; 11,2]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19,69 [-1,86; 32,64]</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4,9 [0,0; 9,8]</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Sin variables binarias de quiebre</w:t>
            </w:r>
          </w:p>
        </w:tc>
        <w:tc>
          <w:tcPr/>
          <w:p>
            <w:pPr>
              <w:pStyle w:val="Compact"/>
              <w:jc w:val="left"/>
            </w:pPr>
            <w:r>
              <w:rPr>
                <w:rFonts w:ascii="Calibri" w:hAnsi="Calibri"/>
                <w:sz w:val="20"/>
              </w:rPr>
              <w:t xml:space="preserve">27,1 [22,1; 33,0]</w:t>
            </w:r>
          </w:p>
        </w:tc>
        <w:tc>
          <w:tcPr/>
          <w:p>
            <w:pPr>
              <w:pStyle w:val="Compact"/>
              <w:jc w:val="left"/>
            </w:pPr>
            <w:r>
              <w:rPr>
                <w:rFonts w:ascii="Calibri" w:hAnsi="Calibri"/>
                <w:sz w:val="20"/>
              </w:rPr>
              <w:t xml:space="preserve">27,4 [22,9; 33,1]</w:t>
            </w:r>
          </w:p>
        </w:tc>
        <w:tc>
          <w:tcPr/>
          <w:p>
            <w:pPr>
              <w:pStyle w:val="Compact"/>
              <w:jc w:val="left"/>
            </w:pPr>
            <w:r>
              <w:rPr>
                <w:rFonts w:ascii="Calibri" w:hAnsi="Calibri"/>
                <w:sz w:val="20"/>
              </w:rPr>
              <w:t xml:space="preserve">2,3 [0,0; 4,7]</w:t>
            </w:r>
          </w:p>
        </w:tc>
        <w:tc>
          <w:tcPr/>
          <w:p>
            <w:pPr>
              <w:pStyle w:val="Compact"/>
              <w:jc w:val="left"/>
            </w:pPr>
            <w:r>
              <w:rPr>
                <w:rFonts w:ascii="Calibri" w:hAnsi="Calibri"/>
                <w:sz w:val="20"/>
              </w:rPr>
              <w:t xml:space="preserve">2,3 [0,0; 4,6]</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93,9 [88,2; 99,8]</w:t>
            </w:r>
          </w:p>
        </w:tc>
        <w:tc>
          <w:tcPr/>
          <w:p>
            <w:pPr>
              <w:pStyle w:val="Compact"/>
              <w:jc w:val="left"/>
            </w:pPr>
            <w:r>
              <w:rPr>
                <w:rFonts w:ascii="Calibri" w:hAnsi="Calibri"/>
                <w:sz w:val="20"/>
              </w:rPr>
              <w:t xml:space="preserve">17,0 [5,3; 25,1]</w:t>
            </w:r>
          </w:p>
        </w:tc>
        <w:tc>
          <w:tcPr/>
          <w:p>
            <w:pPr>
              <w:pStyle w:val="Compact"/>
              <w:jc w:val="left"/>
            </w:pPr>
            <w:r>
              <w:rPr>
                <w:rFonts w:ascii="Calibri" w:hAnsi="Calibri"/>
                <w:sz w:val="20"/>
              </w:rPr>
              <w:t xml:space="preserve">15,69 [1,21; 24,47]</w:t>
            </w:r>
          </w:p>
        </w:tc>
      </w:tr>
      <w:tr>
        <w:tc>
          <w:tcPr/>
          <w:p>
            <w:pPr>
              <w:pStyle w:val="Compact"/>
              <w:jc w:val="left"/>
            </w:pPr>
            <w:r>
              <w:rPr>
                <w:rFonts w:ascii="Calibri" w:hAnsi="Calibri"/>
                <w:sz w:val="20"/>
              </w:rPr>
              <w:t xml:space="preserve">Sin variables binarias presidenciales</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8,3 [0,3; 16,4]</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9,24 [-0,19; 17,06]</w:t>
            </w:r>
          </w:p>
        </w:tc>
      </w:tr>
      <w:tr>
        <w:tc>
          <w:tcPr/>
          <w:p>
            <w:pPr>
              <w:pStyle w:val="Compact"/>
              <w:jc w:val="left"/>
            </w:pPr>
            <w:r>
              <w:rPr>
                <w:rFonts w:ascii="Calibri" w:hAnsi="Calibri"/>
                <w:sz w:val="20"/>
              </w:rPr>
              <w:t xml:space="preserve">Ajuste stock-flujo en cero</w:t>
            </w:r>
          </w:p>
        </w:tc>
        <w:tc>
          <w:tcPr/>
          <w:p>
            <w:pPr>
              <w:pStyle w:val="Compact"/>
              <w:jc w:val="left"/>
            </w:pPr>
            <w:r>
              <w:rPr>
                <w:rFonts w:ascii="Calibri" w:hAnsi="Calibri"/>
                <w:sz w:val="20"/>
              </w:rPr>
              <w:t xml:space="preserve">25,3 [18,2; 32,3]</w:t>
            </w:r>
          </w:p>
        </w:tc>
        <w:tc>
          <w:tcPr/>
          <w:p>
            <w:pPr>
              <w:pStyle w:val="Compact"/>
              <w:jc w:val="left"/>
            </w:pPr>
            <w:r>
              <w:rPr>
                <w:rFonts w:ascii="Calibri" w:hAnsi="Calibri"/>
                <w:sz w:val="20"/>
              </w:rPr>
              <w:t xml:space="preserve">22,4 [18,0; 29,0]</w:t>
            </w:r>
          </w:p>
        </w:tc>
        <w:tc>
          <w:tcPr/>
          <w:p>
            <w:pPr>
              <w:pStyle w:val="Compact"/>
              <w:jc w:val="left"/>
            </w:pPr>
            <w:r>
              <w:rPr>
                <w:rFonts w:ascii="Calibri" w:hAnsi="Calibri"/>
                <w:sz w:val="20"/>
              </w:rPr>
              <w:t xml:space="preserve">2,2 [0,0; 4,5]</w:t>
            </w:r>
          </w:p>
        </w:tc>
        <w:tc>
          <w:tcPr/>
          <w:p>
            <w:pPr>
              <w:pStyle w:val="Compact"/>
              <w:jc w:val="left"/>
            </w:pPr>
            <w:r>
              <w:rPr>
                <w:rFonts w:ascii="Calibri" w:hAnsi="Calibri"/>
                <w:sz w:val="20"/>
              </w:rPr>
              <w:t xml:space="preserve">3,0 [0,0; 6,0]</w:t>
            </w:r>
          </w:p>
        </w:tc>
        <w:tc>
          <w:tcPr/>
          <w:p>
            <w:pPr>
              <w:pStyle w:val="Compact"/>
              <w:jc w:val="left"/>
            </w:pPr>
            <w:r>
              <w:rPr>
                <w:rFonts w:ascii="Calibri" w:hAnsi="Calibri"/>
                <w:sz w:val="20"/>
              </w:rPr>
              <w:t xml:space="preserve">35,7</w:t>
            </w:r>
          </w:p>
        </w:tc>
        <w:tc>
          <w:tcPr/>
          <w:p>
            <w:pPr>
              <w:pStyle w:val="Compact"/>
              <w:jc w:val="left"/>
            </w:pPr>
            <w:r>
              <w:rPr>
                <w:rFonts w:ascii="Calibri" w:hAnsi="Calibri"/>
                <w:sz w:val="20"/>
              </w:rPr>
              <w:t xml:space="preserve">95,9 [89,4; 99,8]</w:t>
            </w:r>
          </w:p>
        </w:tc>
        <w:tc>
          <w:tcPr/>
          <w:p>
            <w:pPr>
              <w:pStyle w:val="Compact"/>
              <w:jc w:val="left"/>
            </w:pPr>
            <w:r>
              <w:rPr>
                <w:rFonts w:ascii="Calibri" w:hAnsi="Calibri"/>
                <w:sz w:val="20"/>
              </w:rPr>
              <w:t xml:space="preserve">15,3 [4,4; 24,5]</w:t>
            </w:r>
          </w:p>
        </w:tc>
        <w:tc>
          <w:tcPr/>
          <w:p>
            <w:pPr>
              <w:pStyle w:val="Compact"/>
              <w:jc w:val="left"/>
            </w:pPr>
            <w:r>
              <w:rPr>
                <w:rFonts w:ascii="Calibri" w:hAnsi="Calibri"/>
                <w:sz w:val="20"/>
              </w:rPr>
              <w:t xml:space="preserve">14,40 [1,22; 23,46]</w:t>
            </w:r>
          </w:p>
        </w:tc>
      </w:tr>
      <w:tr>
        <w:tc>
          <w:tcPr/>
          <w:p>
            <w:pPr>
              <w:pStyle w:val="Compact"/>
              <w:jc w:val="left"/>
            </w:pPr>
            <w:r>
              <w:rPr>
                <w:rFonts w:ascii="Calibri" w:hAnsi="Calibri"/>
                <w:sz w:val="20"/>
              </w:rPr>
              <w:t xml:space="preserve">λ = 0,15</w:t>
            </w:r>
          </w:p>
        </w:tc>
        <w:tc>
          <w:tcPr/>
          <w:p>
            <w:pPr>
              <w:pStyle w:val="Compact"/>
              <w:jc w:val="left"/>
            </w:pPr>
            <w:r>
              <w:rPr>
                <w:rFonts w:ascii="Calibri" w:hAnsi="Calibri"/>
                <w:sz w:val="20"/>
              </w:rPr>
              <w:t xml:space="preserve">27,0 [19,4; 34,2]</w:t>
            </w:r>
          </w:p>
        </w:tc>
        <w:tc>
          <w:tcPr/>
          <w:p>
            <w:pPr>
              <w:pStyle w:val="Compact"/>
              <w:jc w:val="left"/>
            </w:pPr>
            <w:r>
              <w:rPr>
                <w:rFonts w:ascii="Calibri" w:hAnsi="Calibri"/>
                <w:sz w:val="20"/>
              </w:rPr>
              <w:t xml:space="preserve">26,9 [22,3; 33,4]</w:t>
            </w:r>
          </w:p>
        </w:tc>
        <w:tc>
          <w:tcPr/>
          <w:p>
            <w:pPr>
              <w:pStyle w:val="Compact"/>
              <w:jc w:val="left"/>
            </w:pPr>
            <w:r>
              <w:rPr>
                <w:rFonts w:ascii="Calibri" w:hAnsi="Calibri"/>
                <w:sz w:val="20"/>
              </w:rPr>
              <w:t xml:space="preserve">1,8 [0,0; 3,6]</w:t>
            </w:r>
          </w:p>
        </w:tc>
        <w:tc>
          <w:tcPr/>
          <w:p>
            <w:pPr>
              <w:pStyle w:val="Compact"/>
              <w:jc w:val="left"/>
            </w:pPr>
            <w:r>
              <w:rPr>
                <w:rFonts w:ascii="Calibri" w:hAnsi="Calibri"/>
                <w:sz w:val="20"/>
              </w:rPr>
              <w:t xml:space="preserve">1,7 [0,0; 3,4]</w:t>
            </w:r>
          </w:p>
        </w:tc>
        <w:tc>
          <w:tcPr/>
          <w:p>
            <w:pPr>
              <w:pStyle w:val="Compact"/>
              <w:jc w:val="left"/>
            </w:pPr>
            <w:r>
              <w:rPr>
                <w:rFonts w:ascii="Calibri" w:hAnsi="Calibri"/>
                <w:sz w:val="20"/>
              </w:rPr>
              <w:t xml:space="preserve">37,0</w:t>
            </w:r>
          </w:p>
        </w:tc>
        <w:tc>
          <w:tcPr/>
          <w:p>
            <w:pPr>
              <w:pStyle w:val="Compact"/>
              <w:jc w:val="left"/>
            </w:pPr>
            <w:r>
              <w:rPr>
                <w:rFonts w:ascii="Calibri" w:hAnsi="Calibri"/>
                <w:sz w:val="20"/>
              </w:rPr>
              <w:t xml:space="preserve">96,0 [89,3; 99,7]</w:t>
            </w:r>
          </w:p>
        </w:tc>
        <w:tc>
          <w:tcPr/>
          <w:p>
            <w:pPr>
              <w:pStyle w:val="Compact"/>
              <w:jc w:val="left"/>
            </w:pPr>
            <w:r>
              <w:rPr>
                <w:rFonts w:ascii="Calibri" w:hAnsi="Calibri"/>
                <w:sz w:val="20"/>
              </w:rPr>
              <w:t xml:space="preserve">11,1 [2,3; 18,0]</w:t>
            </w:r>
          </w:p>
        </w:tc>
        <w:tc>
          <w:tcPr/>
          <w:p>
            <w:pPr>
              <w:pStyle w:val="Compact"/>
              <w:jc w:val="left"/>
            </w:pPr>
            <w:r>
              <w:rPr>
                <w:rFonts w:ascii="Calibri" w:hAnsi="Calibri"/>
                <w:sz w:val="20"/>
              </w:rPr>
              <w:t xml:space="preserve">11,21 [0,45; 18,84]</w:t>
            </w:r>
          </w:p>
        </w:tc>
      </w:tr>
      <w:tr>
        <w:tc>
          <w:tcPr/>
          <w:p>
            <w:pPr>
              <w:pStyle w:val="Compact"/>
              <w:jc w:val="left"/>
            </w:pPr>
            <w:r>
              <w:rPr>
                <w:rFonts w:ascii="Calibri" w:hAnsi="Calibri"/>
                <w:sz w:val="20"/>
              </w:rPr>
              <w:t xml:space="preserve">λ = 0,40</w:t>
            </w:r>
          </w:p>
        </w:tc>
        <w:tc>
          <w:tcPr/>
          <w:p>
            <w:pPr>
              <w:pStyle w:val="Compact"/>
              <w:jc w:val="left"/>
            </w:pPr>
            <w:r>
              <w:rPr>
                <w:rFonts w:ascii="Calibri" w:hAnsi="Calibri"/>
                <w:sz w:val="20"/>
              </w:rPr>
              <w:t xml:space="preserve">28,3 [21,8; 35,4]</w:t>
            </w:r>
          </w:p>
        </w:tc>
        <w:tc>
          <w:tcPr/>
          <w:p>
            <w:pPr>
              <w:pStyle w:val="Compact"/>
              <w:jc w:val="left"/>
            </w:pPr>
            <w:r>
              <w:rPr>
                <w:rFonts w:ascii="Calibri" w:hAnsi="Calibri"/>
                <w:sz w:val="20"/>
              </w:rPr>
              <w:t xml:space="preserve">30,5 [26,7; 37,9]</w:t>
            </w:r>
          </w:p>
        </w:tc>
        <w:tc>
          <w:tcPr/>
          <w:p>
            <w:pPr>
              <w:pStyle w:val="Compact"/>
              <w:jc w:val="left"/>
            </w:pPr>
            <w:r>
              <w:rPr>
                <w:rFonts w:ascii="Calibri" w:hAnsi="Calibri"/>
                <w:sz w:val="20"/>
              </w:rPr>
              <w:t xml:space="preserve">4,8 [0,0; 9,3]</w:t>
            </w:r>
          </w:p>
        </w:tc>
        <w:tc>
          <w:tcPr/>
          <w:p>
            <w:pPr>
              <w:pStyle w:val="Compact"/>
              <w:jc w:val="left"/>
            </w:pPr>
            <w:r>
              <w:rPr>
                <w:rFonts w:ascii="Calibri" w:hAnsi="Calibri"/>
                <w:sz w:val="20"/>
              </w:rPr>
              <w:t xml:space="preserve">8,1 [0,0; 15,9]</w:t>
            </w:r>
          </w:p>
        </w:tc>
        <w:tc>
          <w:tcPr/>
          <w:p>
            <w:pPr>
              <w:pStyle w:val="Compact"/>
              <w:jc w:val="left"/>
            </w:pPr>
            <w:r>
              <w:rPr>
                <w:rFonts w:ascii="Calibri" w:hAnsi="Calibri"/>
                <w:sz w:val="20"/>
              </w:rPr>
              <w:t xml:space="preserve">43,7</w:t>
            </w:r>
          </w:p>
        </w:tc>
        <w:tc>
          <w:tcPr/>
          <w:p>
            <w:pPr>
              <w:pStyle w:val="Compact"/>
              <w:jc w:val="left"/>
            </w:pPr>
            <w:r>
              <w:rPr>
                <w:rFonts w:ascii="Calibri" w:hAnsi="Calibri"/>
                <w:sz w:val="20"/>
              </w:rPr>
              <w:t xml:space="preserve">97,3 [91,9; 99,9]</w:t>
            </w:r>
          </w:p>
        </w:tc>
        <w:tc>
          <w:tcPr/>
          <w:p>
            <w:pPr>
              <w:pStyle w:val="Compact"/>
              <w:jc w:val="left"/>
            </w:pPr>
            <w:r>
              <w:rPr>
                <w:rFonts w:ascii="Calibri" w:hAnsi="Calibri"/>
                <w:sz w:val="20"/>
              </w:rPr>
              <w:t xml:space="preserve">23,0 [10,1; 36,2]</w:t>
            </w:r>
          </w:p>
        </w:tc>
        <w:tc>
          <w:tcPr/>
          <w:p>
            <w:pPr>
              <w:pStyle w:val="Compact"/>
              <w:jc w:val="left"/>
            </w:pPr>
            <w:r>
              <w:rPr>
                <w:rFonts w:ascii="Calibri" w:hAnsi="Calibri"/>
                <w:sz w:val="20"/>
              </w:rPr>
              <w:t xml:space="preserve">26,60 [-3,06; 43,49]</w:t>
            </w:r>
          </w:p>
        </w:tc>
      </w:tr>
      <w:tr>
        <w:tc>
          <w:tcPr/>
          <w:p>
            <w:pPr>
              <w:pStyle w:val="Compact"/>
              <w:jc w:val="left"/>
            </w:pPr>
            <w:r>
              <w:rPr>
                <w:rFonts w:ascii="Calibri" w:hAnsi="Calibri"/>
                <w:sz w:val="20"/>
              </w:rPr>
              <w:t xml:space="preserve">Escenario del FMI de 2025</w:t>
            </w:r>
          </w:p>
        </w:tc>
        <w:tc>
          <w:tcPr/>
          <w:p>
            <w:pPr>
              <w:pStyle w:val="Compact"/>
              <w:jc w:val="left"/>
            </w:pPr>
            <w:r>
              <w:rPr>
                <w:rFonts w:ascii="Calibri" w:hAnsi="Calibri"/>
                <w:sz w:val="20"/>
              </w:rPr>
              <w:t xml:space="preserve">25,7 [18,1; 32,7]</w:t>
            </w:r>
          </w:p>
        </w:tc>
        <w:tc>
          <w:tcPr/>
          <w:p>
            <w:pPr>
              <w:pStyle w:val="Compact"/>
              <w:jc w:val="left"/>
            </w:pPr>
            <w:r>
              <w:rPr>
                <w:rFonts w:ascii="Calibri" w:hAnsi="Calibri"/>
                <w:sz w:val="20"/>
              </w:rPr>
              <w:t xml:space="preserve">22,9 [18,0; 29,3]</w:t>
            </w:r>
          </w:p>
        </w:tc>
        <w:tc>
          <w:tcPr/>
          <w:p>
            <w:pPr>
              <w:pStyle w:val="Compact"/>
              <w:jc w:val="left"/>
            </w:pPr>
            <w:r>
              <w:rPr>
                <w:rFonts w:ascii="Calibri" w:hAnsi="Calibri"/>
                <w:sz w:val="20"/>
              </w:rPr>
              <w:t xml:space="preserve">0,9 [0,0; 1,8]</w:t>
            </w:r>
          </w:p>
        </w:tc>
        <w:tc>
          <w:tcPr/>
          <w:p>
            <w:pPr>
              <w:pStyle w:val="Compact"/>
              <w:jc w:val="left"/>
            </w:pPr>
            <w:r>
              <w:rPr>
                <w:rFonts w:ascii="Calibri" w:hAnsi="Calibri"/>
                <w:sz w:val="20"/>
              </w:rPr>
              <w:t xml:space="preserve">2,0 [0,0; 3,9]</w:t>
            </w:r>
          </w:p>
        </w:tc>
        <w:tc>
          <w:tcPr/>
          <w:p>
            <w:pPr>
              <w:pStyle w:val="Compact"/>
              <w:jc w:val="left"/>
            </w:pPr>
            <w:r>
              <w:rPr>
                <w:rFonts w:ascii="Calibri" w:hAnsi="Calibri"/>
                <w:sz w:val="20"/>
              </w:rPr>
              <w:t xml:space="preserve">38,0</w:t>
            </w:r>
          </w:p>
        </w:tc>
        <w:tc>
          <w:tcPr/>
          <w:p>
            <w:pPr>
              <w:pStyle w:val="Compact"/>
              <w:jc w:val="left"/>
            </w:pPr>
            <w:r>
              <w:rPr>
                <w:rFonts w:ascii="Calibri" w:hAnsi="Calibri"/>
                <w:sz w:val="20"/>
              </w:rPr>
              <w:t xml:space="preserve">96,4 [90,1; 99,8]</w:t>
            </w:r>
          </w:p>
        </w:tc>
        <w:tc>
          <w:tcPr/>
          <w:p>
            <w:pPr>
              <w:pStyle w:val="Compact"/>
              <w:jc w:val="left"/>
            </w:pPr>
            <w:r>
              <w:rPr>
                <w:rFonts w:ascii="Calibri" w:hAnsi="Calibri"/>
                <w:sz w:val="20"/>
              </w:rPr>
              <w:t xml:space="preserve">12,0 [2,6; 19,6]</w:t>
            </w:r>
          </w:p>
        </w:tc>
        <w:tc>
          <w:tcPr/>
          <w:p>
            <w:pPr>
              <w:pStyle w:val="Compact"/>
              <w:jc w:val="left"/>
            </w:pPr>
            <w:r>
              <w:rPr>
                <w:rFonts w:ascii="Calibri" w:hAnsi="Calibri"/>
                <w:sz w:val="20"/>
              </w:rPr>
              <w:t xml:space="preserve">12,01 [0,04; 20,27]</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10,8 [0,0; 21,2]</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24,95 [-11,58; 45,43]</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19,1</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jc w:val="left"/>
            </w:pPr>
            <w:r>
              <w:rPr>
                <w:rFonts w:ascii="Calibri" w:hAnsi="Calibri"/>
                <w:sz w:val="20"/>
              </w:rPr>
              <w:t xml:space="preserve">26,2</w:t>
            </w:r>
          </w:p>
        </w:tc>
        <w:tc>
          <w:tcPr/>
          <w:p>
            <w:pPr>
              <w:pStyle w:val="Compact"/>
              <w:jc w:val="left"/>
            </w:pPr>
            <w:r>
              <w:rPr>
                <w:rFonts w:ascii="Calibri" w:hAnsi="Calibri"/>
                <w:sz w:val="20"/>
              </w:rPr>
              <w:t xml:space="preserve">19,4</w:t>
            </w:r>
          </w:p>
        </w:tc>
        <w:tc>
          <w:tcPr/>
          <w:p>
            <w:pPr>
              <w:pStyle w:val="Compact"/>
              <w:jc w:val="left"/>
            </w:pPr>
            <w:r>
              <w:rPr>
                <w:rFonts w:ascii="Calibri" w:hAnsi="Calibri"/>
                <w:sz w:val="20"/>
              </w:rPr>
              <w:t xml:space="preserve">16,1</w:t>
            </w:r>
          </w:p>
        </w:tc>
        <w:tc>
          <w:tcPr/>
          <w:p>
            <w:pPr>
              <w:pStyle w:val="Compact"/>
              <w:jc w:val="left"/>
            </w:pPr>
            <w:r>
              <w:rPr>
                <w:rFonts w:ascii="Calibri" w:hAnsi="Calibri"/>
                <w:sz w:val="20"/>
              </w:rPr>
              <w:t xml:space="preserve">7,3</w:t>
            </w:r>
          </w:p>
        </w:tc>
        <w:tc>
          <w:tcPr/>
          <w:p>
            <w:pPr>
              <w:pStyle w:val="Compact"/>
              <w:jc w:val="left"/>
            </w:pPr>
            <w:r>
              <w:rPr>
                <w:rFonts w:ascii="Calibri" w:hAnsi="Calibri"/>
                <w:sz w:val="20"/>
              </w:rPr>
              <w:t xml:space="preserve">63,4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bookmarkEnd w:id="137"/>
    <w:bookmarkEnd w:id="138"/>
    <w:bookmarkStart w:id="139" w:name="referencias"/>
    <w:p>
      <w:pPr>
        <w:pStyle w:val="Heading1"/>
      </w:pPr>
      <w:r>
        <w:t xml:space="preserve">Referencias</w:t>
      </w:r>
    </w:p>
    <w:p>
      <w:pPr>
        <w:numPr>
          <w:ilvl w:val="0"/>
          <w:numId w:val="1008"/>
        </w:numPr>
        <w:pStyle w:val="Compact"/>
      </w:pPr>
      <w:r>
        <w:t xml:space="preserve">Adler, G., Djigbenou, M.-L., y Sosa, S. (2016). Global financial shocks and foreign asset repatriation: Do local investors play a stabilizing role?</w:t>
      </w:r>
      <w:r>
        <w:t xml:space="preserve"> </w:t>
      </w:r>
      <w:r>
        <w:rPr>
          <w:iCs/>
          <w:i/>
        </w:rPr>
        <w:t xml:space="preserve">Journal of International Money and Finance</w:t>
      </w:r>
      <w:r>
        <w:t xml:space="preserve">,</w:t>
      </w:r>
      <w:r>
        <w:t xml:space="preserve"> </w:t>
      </w:r>
      <w:r>
        <w:rPr>
          <w:iCs/>
          <w:i/>
        </w:rPr>
        <w:t xml:space="preserve">60</w:t>
      </w:r>
      <w:r>
        <w:t xml:space="preserve">, 8-28. https://doi.org/10.1016/j.jimonfin.2015.03.007</w:t>
      </w:r>
    </w:p>
    <w:p>
      <w:pPr>
        <w:numPr>
          <w:ilvl w:val="0"/>
          <w:numId w:val="1008"/>
        </w:numPr>
        <w:pStyle w:val="Compact"/>
      </w:pPr>
      <w:r>
        <w:t xml:space="preserve">Adler, G., y Sosa, S. (2013).</w:t>
      </w:r>
      <w:r>
        <w:t xml:space="preserve"> </w:t>
      </w:r>
      <w:r>
        <w:rPr>
          <w:iCs/>
          <w:i/>
        </w:rPr>
        <w:t xml:space="preserve">External conditions and debt sustainability in Latin America</w:t>
      </w:r>
      <w:r>
        <w:t xml:space="preserve"> </w:t>
      </w:r>
      <w:r>
        <w:t xml:space="preserve">(IMF Working Paper No. 13/27). Fondo Monetario Internacional.</w:t>
      </w:r>
    </w:p>
    <w:p>
      <w:pPr>
        <w:numPr>
          <w:ilvl w:val="0"/>
          <w:numId w:val="1008"/>
        </w:numPr>
        <w:pStyle w:val="Compact"/>
      </w:pPr>
      <w:r>
        <w:t xml:space="preserve">Alesina, A., y Tabellini, G. (1990). A positive theory of fiscal deficits and government debt.</w:t>
      </w:r>
      <w:r>
        <w:t xml:space="preserve"> </w:t>
      </w:r>
      <w:r>
        <w:rPr>
          <w:iCs/>
          <w:i/>
        </w:rPr>
        <w:t xml:space="preserve">The Review of Economic Studies</w:t>
      </w:r>
      <w:r>
        <w:t xml:space="preserve">,</w:t>
      </w:r>
      <w:r>
        <w:t xml:space="preserve"> </w:t>
      </w:r>
      <w:r>
        <w:rPr>
          <w:iCs/>
          <w:i/>
        </w:rPr>
        <w:t xml:space="preserve">57</w:t>
      </w:r>
      <w:r>
        <w:t xml:space="preserve">(3), 403-414.</w:t>
      </w:r>
    </w:p>
    <w:p>
      <w:pPr>
        <w:numPr>
          <w:ilvl w:val="0"/>
          <w:numId w:val="1008"/>
        </w:numPr>
        <w:pStyle w:val="Compac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numPr>
          <w:ilvl w:val="0"/>
          <w:numId w:val="1008"/>
        </w:numPr>
        <w:pStyle w:val="Compact"/>
      </w:pPr>
      <w:r>
        <w:t xml:space="preserve">Aruguete, E. (2021). Crisis de balanza de pagos y recuperación de la sostenibilidad de la deuda pública en la Argentina (2016-2020).</w:t>
      </w:r>
      <w:r>
        <w:t xml:space="preserve"> </w:t>
      </w:r>
      <w:r>
        <w:rPr>
          <w:iCs/>
          <w:i/>
        </w:rPr>
        <w:t xml:space="preserve">Revista Estado y Políticas Públicas</w:t>
      </w:r>
      <w:r>
        <w:t xml:space="preserve">, (16), 101-123.</w:t>
      </w:r>
    </w:p>
    <w:p>
      <w:pPr>
        <w:numPr>
          <w:ilvl w:val="0"/>
          <w:numId w:val="1008"/>
        </w:numPr>
        <w:pStyle w:val="Compac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numPr>
          <w:ilvl w:val="0"/>
          <w:numId w:val="1008"/>
        </w:numPr>
        <w:pStyle w:val="Compact"/>
      </w:pPr>
      <w:r>
        <w:t xml:space="preserve">Banco Central de la República Argentina [BCRA]. (s. f.).</w:t>
      </w:r>
      <w:r>
        <w:t xml:space="preserve"> </w:t>
      </w:r>
      <w:r>
        <w:rPr>
          <w:iCs/>
          <w:i/>
        </w:rPr>
        <w:t xml:space="preserve">Balance del Banco Central, serie histórica</w:t>
      </w:r>
      <w:r>
        <w:t xml:space="preserve"> </w:t>
      </w:r>
      <w:r>
        <w:t xml:space="preserve">[Conjunto de datos]. https://www.bcra.gob.ar/Pdfs/PublicacionesEstadisticas/balbcrhis.xls</w:t>
      </w:r>
    </w:p>
    <w:p>
      <w:pPr>
        <w:numPr>
          <w:ilvl w:val="0"/>
          <w:numId w:val="1008"/>
        </w:numPr>
        <w:pStyle w:val="Compact"/>
      </w:pPr>
      <w:r>
        <w:t xml:space="preserve">Banco Central de la República Argentina [BCRA]. (2025).</w:t>
      </w:r>
      <w:r>
        <w:t xml:space="preserve"> </w:t>
      </w:r>
      <w:r>
        <w:rPr>
          <w:iCs/>
          <w:i/>
        </w:rPr>
        <w:t xml:space="preserve">Informe monetario mensual, junio de 2025</w:t>
      </w:r>
      <w:r>
        <w:t xml:space="preserve">. https://www.bcra.gob.ar/archivos/Pdfs/PublicacionesEstadisticas/informe-monetario-mensual-jun-25.pdf</w:t>
      </w:r>
    </w:p>
    <w:p>
      <w:pPr>
        <w:numPr>
          <w:ilvl w:val="0"/>
          <w:numId w:val="1008"/>
        </w:numPr>
        <w:pStyle w:val="Compact"/>
      </w:pPr>
      <w:r>
        <w:t xml:space="preserve">Banco Central de la República Argentina [BCRA]. (2026).</w:t>
      </w:r>
      <w:r>
        <w:t xml:space="preserve"> </w:t>
      </w:r>
      <w:r>
        <w:rPr>
          <w:iCs/>
          <w:i/>
        </w:rPr>
        <w:t xml:space="preserve">Informe monetario mensual, diciembre de 2025</w:t>
      </w:r>
      <w:r>
        <w:t xml:space="preserve">. https://www.bcra.gob.ar/archivos/Pdfs/PublicacionesEstadisticas/informe-monetario-mensual-dic-25.pdf</w:t>
      </w:r>
    </w:p>
    <w:p>
      <w:pPr>
        <w:numPr>
          <w:ilvl w:val="0"/>
          <w:numId w:val="1008"/>
        </w:numPr>
        <w:pStyle w:val="Compact"/>
      </w:pPr>
      <w:r>
        <w:t xml:space="preserve">Bank for International Settlements [BIS]. (s. f.).</w:t>
      </w:r>
      <w:r>
        <w:t xml:space="preserve"> </w:t>
      </w:r>
      <w:r>
        <w:rPr>
          <w:iCs/>
          <w:i/>
        </w:rPr>
        <w:t xml:space="preserve">Effective exchange rate indices: Broad real effective exchange rate, Argentina</w:t>
      </w:r>
      <w:r>
        <w:t xml:space="preserve"> </w:t>
      </w:r>
      <w:r>
        <w:t xml:space="preserve">[M.R.B.AR; conjunto de datos]. https://data.bis.org/topics/EER</w:t>
      </w:r>
    </w:p>
    <w:p>
      <w:pPr>
        <w:numPr>
          <w:ilvl w:val="0"/>
          <w:numId w:val="1008"/>
        </w:numPr>
        <w:pStyle w:val="Compact"/>
      </w:pPr>
      <w:r>
        <w:t xml:space="preserve">Blanchard, O. (1990).</w:t>
      </w:r>
      <w:r>
        <w:t xml:space="preserve"> </w:t>
      </w:r>
      <w:r>
        <w:rPr>
          <w:iCs/>
          <w:i/>
        </w:rPr>
        <w:t xml:space="preserve">Suggestions for a new set of fiscal indicators</w:t>
      </w:r>
      <w:r>
        <w:t xml:space="preserve"> </w:t>
      </w:r>
      <w:r>
        <w:t xml:space="preserve">(OECD Economics Department Working Papers No. 79). OECD Publishing.</w:t>
      </w:r>
    </w:p>
    <w:p>
      <w:pPr>
        <w:numPr>
          <w:ilvl w:val="0"/>
          <w:numId w:val="1008"/>
        </w:numPr>
        <w:pStyle w:val="Compact"/>
      </w:pPr>
      <w:r>
        <w:t xml:space="preserve">Blanchard, O. (2019). Public debt and low interest rates.</w:t>
      </w:r>
      <w:r>
        <w:t xml:space="preserve"> </w:t>
      </w:r>
      <w:r>
        <w:rPr>
          <w:iCs/>
          <w:i/>
        </w:rPr>
        <w:t xml:space="preserve">American Economic Review</w:t>
      </w:r>
      <w:r>
        <w:t xml:space="preserve">,</w:t>
      </w:r>
      <w:r>
        <w:t xml:space="preserve"> </w:t>
      </w:r>
      <w:r>
        <w:rPr>
          <w:iCs/>
          <w:i/>
        </w:rPr>
        <w:t xml:space="preserve">109</w:t>
      </w:r>
      <w:r>
        <w:t xml:space="preserve">(4), 1197-1229. https://doi.org/10.1257/aer.109.4.1197</w:t>
      </w:r>
    </w:p>
    <w:p>
      <w:pPr>
        <w:numPr>
          <w:ilvl w:val="0"/>
          <w:numId w:val="1008"/>
        </w:numPr>
        <w:pStyle w:val="Compac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numPr>
          <w:ilvl w:val="0"/>
          <w:numId w:val="1008"/>
        </w:numPr>
        <w:pStyle w:val="Compact"/>
      </w:pPr>
      <w:r>
        <w:t xml:space="preserve">Board of Governors of the Federal Reserve System (US). (s. f.).</w:t>
      </w:r>
      <w:r>
        <w:t xml:space="preserve"> </w:t>
      </w:r>
      <w:r>
        <w:rPr>
          <w:iCs/>
          <w:i/>
        </w:rPr>
        <w:t xml:space="preserve">Federal funds effective rate</w:t>
      </w:r>
      <w:r>
        <w:t xml:space="preserve"> </w:t>
      </w:r>
      <w:r>
        <w:t xml:space="preserve">[FEDFUNDS; conjunto de datos]. Federal Reserve Bank of St. Louis, FRED. https://fred.stlouisfed.org/series/FEDFUNDS</w:t>
      </w:r>
    </w:p>
    <w:p>
      <w:pPr>
        <w:numPr>
          <w:ilvl w:val="0"/>
          <w:numId w:val="1008"/>
        </w:numPr>
        <w:pStyle w:val="Compac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numPr>
          <w:ilvl w:val="0"/>
          <w:numId w:val="1008"/>
        </w:numPr>
        <w:pStyle w:val="Compact"/>
      </w:pPr>
      <w:r>
        <w:t xml:space="preserve">Bohn, H. (2005).</w:t>
      </w:r>
      <w:r>
        <w:t xml:space="preserve"> </w:t>
      </w:r>
      <w:r>
        <w:rPr>
          <w:iCs/>
          <w:i/>
        </w:rPr>
        <w:t xml:space="preserve">The sustainability of fiscal policy in the United States</w:t>
      </w:r>
      <w:r>
        <w:t xml:space="preserve"> </w:t>
      </w:r>
      <w:r>
        <w:t xml:space="preserve">(CESifo Working Paper No. 1446). CESifo.</w:t>
      </w:r>
    </w:p>
    <w:p>
      <w:pPr>
        <w:numPr>
          <w:ilvl w:val="0"/>
          <w:numId w:val="1008"/>
        </w:numPr>
        <w:pStyle w:val="Compact"/>
      </w:pPr>
      <w:r>
        <w:t xml:space="preserve">Bohn, H. (2007). Are stationarity and cointegration restrictions really necessary for the intertemporal budget constraint?</w:t>
      </w:r>
      <w:r>
        <w:t xml:space="preserve"> </w:t>
      </w:r>
      <w:r>
        <w:rPr>
          <w:iCs/>
          <w:i/>
        </w:rPr>
        <w:t xml:space="preserve">Journal of Monetary Economics</w:t>
      </w:r>
      <w:r>
        <w:t xml:space="preserve">,</w:t>
      </w:r>
      <w:r>
        <w:t xml:space="preserve"> </w:t>
      </w:r>
      <w:r>
        <w:rPr>
          <w:iCs/>
          <w:i/>
        </w:rPr>
        <w:t xml:space="preserve">54</w:t>
      </w:r>
      <w:r>
        <w:t xml:space="preserve">(7), 1837-1847. https://doi.org/10.1016/j.jmoneco.2006.12.012</w:t>
      </w:r>
    </w:p>
    <w:p>
      <w:pPr>
        <w:numPr>
          <w:ilvl w:val="0"/>
          <w:numId w:val="1008"/>
        </w:numPr>
        <w:pStyle w:val="Compact"/>
      </w:pPr>
      <w:r>
        <w:t xml:space="preserve">Bohoslavsky, J. P., y Cantamutto, F. J. (2024). Deuda pública y desarrollo (no)sustentable en Argentina. Una visión crítica sobre la especialización productiva.</w:t>
      </w:r>
      <w:r>
        <w:t xml:space="preserve"> </w:t>
      </w:r>
      <w:r>
        <w:rPr>
          <w:iCs/>
          <w:i/>
        </w:rPr>
        <w:t xml:space="preserve">FACES</w:t>
      </w:r>
      <w:r>
        <w:t xml:space="preserve">,</w:t>
      </w:r>
      <w:r>
        <w:t xml:space="preserve"> </w:t>
      </w:r>
      <w:r>
        <w:rPr>
          <w:iCs/>
          <w:i/>
        </w:rPr>
        <w:t xml:space="preserve">30</w:t>
      </w:r>
      <w:r>
        <w:t xml:space="preserve">(62), 1-18. https://nulan.mdp.edu.ar/id/eprint/4109/1/FACES-30-62-bohoslavsky-cantamutto.pdf</w:t>
      </w:r>
    </w:p>
    <w:p>
      <w:pPr>
        <w:numPr>
          <w:ilvl w:val="0"/>
          <w:numId w:val="1008"/>
        </w:numPr>
        <w:pStyle w:val="Compact"/>
      </w:pPr>
      <w:r>
        <w:t xml:space="preserve">Bouabdallah, O., Checherita-Westphal, C., Warmedinger, T., de Stefani, R., Drudi, F., Setzer, R., y Westphal, A. (2017).</w:t>
      </w:r>
      <w:r>
        <w:t xml:space="preserve"> </w:t>
      </w:r>
      <w:r>
        <w:rPr>
          <w:iCs/>
          <w:i/>
        </w:rPr>
        <w:t xml:space="preserve">Debt sustainability analysis for euro area sovereigns: A methodological framework</w:t>
      </w:r>
      <w:r>
        <w:t xml:space="preserve"> </w:t>
      </w:r>
      <w:r>
        <w:t xml:space="preserve">(ECB Occasional Paper No. 185). Banco Central Europeo. https://ecb.europa.eu/pub/pdf/scpops/ecbop185.bg.pdf</w:t>
      </w:r>
    </w:p>
    <w:p>
      <w:pPr>
        <w:numPr>
          <w:ilvl w:val="0"/>
          <w:numId w:val="1008"/>
        </w:numPr>
        <w:pStyle w:val="Compact"/>
      </w:pPr>
      <w:r>
        <w:t xml:space="preserve">Braun, O., y Joy, L. (1968). A model of economic stagnation: A case study of the Argentine economy.</w:t>
      </w:r>
      <w:r>
        <w:t xml:space="preserve"> </w:t>
      </w:r>
      <w:r>
        <w:rPr>
          <w:iCs/>
          <w:i/>
        </w:rPr>
        <w:t xml:space="preserve">The Economic Journal</w:t>
      </w:r>
      <w:r>
        <w:t xml:space="preserve">,</w:t>
      </w:r>
      <w:r>
        <w:t xml:space="preserve"> </w:t>
      </w:r>
      <w:r>
        <w:rPr>
          <w:iCs/>
          <w:i/>
        </w:rPr>
        <w:t xml:space="preserve">78</w:t>
      </w:r>
      <w:r>
        <w:t xml:space="preserve">(312), 868-887. https://doi.org/10.2307/2229183</w:t>
      </w:r>
    </w:p>
    <w:p>
      <w:pPr>
        <w:numPr>
          <w:ilvl w:val="0"/>
          <w:numId w:val="1008"/>
        </w:numPr>
        <w:pStyle w:val="Compac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numPr>
          <w:ilvl w:val="0"/>
          <w:numId w:val="1008"/>
        </w:numPr>
        <w:pStyle w:val="Compac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numPr>
          <w:ilvl w:val="0"/>
          <w:numId w:val="1008"/>
        </w:numPr>
        <w:pStyle w:val="Compact"/>
      </w:pPr>
      <w:r>
        <w:t xml:space="preserve">Canova, F. (2005). The transmission of US shocks to Latin America.</w:t>
      </w:r>
      <w:r>
        <w:t xml:space="preserve"> </w:t>
      </w:r>
      <w:r>
        <w:rPr>
          <w:iCs/>
          <w:i/>
        </w:rPr>
        <w:t xml:space="preserve">Journal of Applied Econometrics</w:t>
      </w:r>
      <w:r>
        <w:t xml:space="preserve">,</w:t>
      </w:r>
      <w:r>
        <w:t xml:space="preserve"> </w:t>
      </w:r>
      <w:r>
        <w:rPr>
          <w:iCs/>
          <w:i/>
        </w:rPr>
        <w:t xml:space="preserve">20</w:t>
      </w:r>
      <w:r>
        <w:t xml:space="preserve">(2), 229-251. https://doi.org/10.1002/jae.837</w:t>
      </w:r>
    </w:p>
    <w:p>
      <w:pPr>
        <w:numPr>
          <w:ilvl w:val="0"/>
          <w:numId w:val="1008"/>
        </w:numPr>
        <w:pStyle w:val="Compact"/>
      </w:pPr>
      <w:r>
        <w:t xml:space="preserve">Cantamutto, F. J., y Féliz, M. (2021). Argentina entre la sostenibilidad de la deuda y la vida.</w:t>
      </w:r>
      <w:r>
        <w:t xml:space="preserve"> </w:t>
      </w:r>
      <w:r>
        <w:rPr>
          <w:iCs/>
          <w:i/>
        </w:rPr>
        <w:t xml:space="preserve">Revista Nuestramérica</w:t>
      </w:r>
      <w:r>
        <w:t xml:space="preserve">,</w:t>
      </w:r>
      <w:r>
        <w:t xml:space="preserve"> </w:t>
      </w:r>
      <w:r>
        <w:rPr>
          <w:iCs/>
          <w:i/>
        </w:rPr>
        <w:t xml:space="preserve">9</w:t>
      </w:r>
      <w:r>
        <w:t xml:space="preserve">(17), e6167845.</w:t>
      </w:r>
    </w:p>
    <w:p>
      <w:pPr>
        <w:numPr>
          <w:ilvl w:val="0"/>
          <w:numId w:val="1008"/>
        </w:numPr>
        <w:pStyle w:val="Compact"/>
      </w:pPr>
      <w:r>
        <w:t xml:space="preserve">Cantamutto, F. J., Lobato, J., Rodríguez-Enríquez, C., y Féliz, M. (2024). Sustentabilidad de la deuda y derechos humanos desde la perspectiva de la sostenibilidad de la vida. En J. P. Bohoslavsky y M. L. Clérico (Eds.),</w:t>
      </w:r>
      <w:r>
        <w:t xml:space="preserve"> </w:t>
      </w:r>
      <w:r>
        <w:rPr>
          <w:iCs/>
          <w:i/>
        </w:rPr>
        <w:t xml:space="preserve">Deuda y derechos humanos: Claves desde el sistema interamericano</w:t>
      </w:r>
      <w:r>
        <w:t xml:space="preserve"> </w:t>
      </w:r>
      <w:r>
        <w:t xml:space="preserve">(pp. 170-195). EDULP.</w:t>
      </w:r>
    </w:p>
    <w:p>
      <w:pPr>
        <w:numPr>
          <w:ilvl w:val="0"/>
          <w:numId w:val="1008"/>
        </w:numPr>
        <w:pStyle w:val="Compac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numPr>
          <w:ilvl w:val="0"/>
          <w:numId w:val="1008"/>
        </w:numPr>
        <w:pStyle w:val="Compact"/>
      </w:pPr>
      <w:r>
        <w:t xml:space="preserve">Cetrángolo, O., Damill, M., Frenkel, R., y Jiménez, J. P. (1997).</w:t>
      </w:r>
      <w:r>
        <w:t xml:space="preserve"> </w:t>
      </w:r>
      <w:r>
        <w:rPr>
          <w:iCs/>
          <w:i/>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numPr>
          <w:ilvl w:val="0"/>
          <w:numId w:val="1008"/>
        </w:numPr>
        <w:pStyle w:val="Compact"/>
      </w:pPr>
      <w:r>
        <w:t xml:space="preserve">Christiano, L. J., Eichenbaum, M., y Evans, C. L. (1999). Monetary policy shocks: What have we learned and to what end? En J. B. Taylor y M. Woodford (Eds.),</w:t>
      </w:r>
      <w:r>
        <w:t xml:space="preserve"> </w:t>
      </w:r>
      <w:r>
        <w:rPr>
          <w:iCs/>
          <w:i/>
        </w:rPr>
        <w:t xml:space="preserve">Handbook of Macroeconomics</w:t>
      </w:r>
      <w:r>
        <w:t xml:space="preserve"> </w:t>
      </w:r>
      <w:r>
        <w:t xml:space="preserve">(Vol. 1A, pp. 65-148). Elsevier.</w:t>
      </w:r>
    </w:p>
    <w:p>
      <w:pPr>
        <w:numPr>
          <w:ilvl w:val="0"/>
          <w:numId w:val="1008"/>
        </w:numPr>
        <w:pStyle w:val="Compact"/>
      </w:pPr>
      <w:r>
        <w:t xml:space="preserve">Comín Comín, F. (2014).</w:t>
      </w:r>
      <w:r>
        <w:t xml:space="preserve"> </w:t>
      </w:r>
      <w:r>
        <w:rPr>
          <w:iCs/>
          <w:i/>
        </w:rPr>
        <w:t xml:space="preserve">Historia económica mundial: De los orígenes a la actualidad</w:t>
      </w:r>
      <w:r>
        <w:t xml:space="preserve">. Alianza Editorial.</w:t>
      </w:r>
    </w:p>
    <w:p>
      <w:pPr>
        <w:numPr>
          <w:ilvl w:val="0"/>
          <w:numId w:val="1008"/>
        </w:numPr>
        <w:pStyle w:val="Compact"/>
      </w:pPr>
      <w:r>
        <w:t xml:space="preserve">Cushman, D. O., y Zha, T. (1997). Identifying monetary policy in a small open economy under flexible exchange rates.</w:t>
      </w:r>
      <w:r>
        <w:t xml:space="preserve"> </w:t>
      </w:r>
      <w:r>
        <w:rPr>
          <w:iCs/>
          <w:i/>
        </w:rPr>
        <w:t xml:space="preserve">Journal of Monetary Economics</w:t>
      </w:r>
      <w:r>
        <w:t xml:space="preserve">,</w:t>
      </w:r>
      <w:r>
        <w:t xml:space="preserve"> </w:t>
      </w:r>
      <w:r>
        <w:rPr>
          <w:iCs/>
          <w:i/>
        </w:rPr>
        <w:t xml:space="preserve">39</w:t>
      </w:r>
      <w:r>
        <w:t xml:space="preserve">(3), 433-448. https://doi.org/10.1016/S0304-3932(97)00029-9</w:t>
      </w:r>
    </w:p>
    <w:p>
      <w:pPr>
        <w:numPr>
          <w:ilvl w:val="0"/>
          <w:numId w:val="1008"/>
        </w:numPr>
        <w:pStyle w:val="Compact"/>
      </w:pPr>
      <w:r>
        <w:t xml:space="preserve">Damill, M., Frenkel, R., y Rapetti, M. (2015). Macroeconomic policy in Argentina during 2002-2013.</w:t>
      </w:r>
      <w:r>
        <w:t xml:space="preserve"> </w:t>
      </w:r>
      <w:r>
        <w:rPr>
          <w:iCs/>
          <w:i/>
        </w:rPr>
        <w:t xml:space="preserve">Comparative Economic Studies</w:t>
      </w:r>
      <w:r>
        <w:t xml:space="preserve">,</w:t>
      </w:r>
      <w:r>
        <w:t xml:space="preserve"> </w:t>
      </w:r>
      <w:r>
        <w:rPr>
          <w:iCs/>
          <w:i/>
        </w:rPr>
        <w:t xml:space="preserve">57</w:t>
      </w:r>
      <w:r>
        <w:t xml:space="preserve">(3), 369-400. https://doi.org/10.1057/ces.2015.3</w:t>
      </w:r>
    </w:p>
    <w:p>
      <w:pPr>
        <w:numPr>
          <w:ilvl w:val="0"/>
          <w:numId w:val="1008"/>
        </w:numPr>
        <w:pStyle w:val="Compact"/>
      </w:pPr>
      <w:r>
        <w:t xml:space="preserve">della Paolera, G., y Taylor, A. M. (2001).</w:t>
      </w:r>
      <w:r>
        <w:t xml:space="preserve"> </w:t>
      </w:r>
      <w:r>
        <w:rPr>
          <w:iCs/>
          <w:i/>
        </w:rPr>
        <w:t xml:space="preserve">Straining at the anchor: The Argentine currency board and the search for macroeconomic stability, 1880-1935</w:t>
      </w:r>
      <w:r>
        <w:t xml:space="preserve">. University of Chicago Press.</w:t>
      </w:r>
    </w:p>
    <w:p>
      <w:pPr>
        <w:numPr>
          <w:ilvl w:val="0"/>
          <w:numId w:val="1008"/>
        </w:numPr>
        <w:pStyle w:val="Compact"/>
      </w:pPr>
      <w:r>
        <w:t xml:space="preserve">Diamand, M. (1972). La estructura productiva desequilibrada argentina y el tipo de cambio.</w:t>
      </w:r>
      <w:r>
        <w:t xml:space="preserve"> </w:t>
      </w:r>
      <w:r>
        <w:rPr>
          <w:iCs/>
          <w:i/>
        </w:rPr>
        <w:t xml:space="preserve">Desarrollo Económico</w:t>
      </w:r>
      <w:r>
        <w:t xml:space="preserve">,</w:t>
      </w:r>
      <w:r>
        <w:t xml:space="preserve"> </w:t>
      </w:r>
      <w:r>
        <w:rPr>
          <w:iCs/>
          <w:i/>
        </w:rPr>
        <w:t xml:space="preserve">12</w:t>
      </w:r>
      <w:r>
        <w:t xml:space="preserve">(45), 25-47. https://doi.org/10.2307/3465991</w:t>
      </w:r>
    </w:p>
    <w:p>
      <w:pPr>
        <w:numPr>
          <w:ilvl w:val="0"/>
          <w:numId w:val="1008"/>
        </w:numPr>
        <w:pStyle w:val="Compact"/>
      </w:pPr>
      <w:r>
        <w:t xml:space="preserve">Díaz Alejandro, C. F. (1970).</w:t>
      </w:r>
      <w:r>
        <w:t xml:space="preserve"> </w:t>
      </w:r>
      <w:r>
        <w:rPr>
          <w:iCs/>
          <w:i/>
        </w:rPr>
        <w:t xml:space="preserve">Essays on the economic history of the Argentine Republic</w:t>
      </w:r>
      <w:r>
        <w:t xml:space="preserve">. Yale University Press.</w:t>
      </w:r>
    </w:p>
    <w:p>
      <w:pPr>
        <w:numPr>
          <w:ilvl w:val="0"/>
          <w:numId w:val="1008"/>
        </w:numPr>
        <w:pStyle w:val="Compact"/>
      </w:pPr>
      <w:r>
        <w:t xml:space="preserve">Dickey, D. A., y Fuller, W. A. (1979). Distribution of the estimators for autoregressive time series with a unit root.</w:t>
      </w:r>
      <w:r>
        <w:t xml:space="preserve"> </w:t>
      </w:r>
      <w:r>
        <w:rPr>
          <w:iCs/>
          <w:i/>
        </w:rPr>
        <w:t xml:space="preserve">Journal of the American Statistical Association</w:t>
      </w:r>
      <w:r>
        <w:t xml:space="preserve">,</w:t>
      </w:r>
      <w:r>
        <w:t xml:space="preserve"> </w:t>
      </w:r>
      <w:r>
        <w:rPr>
          <w:iCs/>
          <w:i/>
        </w:rPr>
        <w:t xml:space="preserve">74</w:t>
      </w:r>
      <w:r>
        <w:t xml:space="preserve">(366), 427-431. https://doi.org/10.2307/2286348</w:t>
      </w:r>
    </w:p>
    <w:p>
      <w:pPr>
        <w:numPr>
          <w:ilvl w:val="0"/>
          <w:numId w:val="1008"/>
        </w:numPr>
        <w:pStyle w:val="Compact"/>
      </w:pPr>
      <w:r>
        <w:t xml:space="preserve">Eichengreen, B., Hausmann, R., y Panizza, U. (2003).</w:t>
      </w:r>
      <w:r>
        <w:t xml:space="preserve"> </w:t>
      </w:r>
      <w:r>
        <w:rPr>
          <w:iCs/>
          <w:i/>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numPr>
          <w:ilvl w:val="0"/>
          <w:numId w:val="1008"/>
        </w:numPr>
        <w:pStyle w:val="Compact"/>
      </w:pPr>
      <w:r>
        <w:t xml:space="preserve">Engle, R. F. (1982). Autoregressive conditional heteroscedasticity with estimates of the variance of United Kingdom inflation.</w:t>
      </w:r>
      <w:r>
        <w:t xml:space="preserve"> </w:t>
      </w:r>
      <w:r>
        <w:rPr>
          <w:iCs/>
          <w:i/>
        </w:rPr>
        <w:t xml:space="preserve">Econometrica</w:t>
      </w:r>
      <w:r>
        <w:t xml:space="preserve">,</w:t>
      </w:r>
      <w:r>
        <w:t xml:space="preserve"> </w:t>
      </w:r>
      <w:r>
        <w:rPr>
          <w:iCs/>
          <w:i/>
        </w:rPr>
        <w:t xml:space="preserve">50</w:t>
      </w:r>
      <w:r>
        <w:t xml:space="preserve">(4), 987-1007. https://doi.org/10.2307/1912773</w:t>
      </w:r>
    </w:p>
    <w:p>
      <w:pPr>
        <w:numPr>
          <w:ilvl w:val="0"/>
          <w:numId w:val="1008"/>
        </w:numPr>
        <w:pStyle w:val="Compact"/>
      </w:pPr>
      <w:r>
        <w:t xml:space="preserve">Everaert, G., y Jansen, S. (2018). On the estimation of panel fiscal reaction functions: Heterogeneity or fiscal fatigue?</w:t>
      </w:r>
      <w:r>
        <w:t xml:space="preserve"> </w:t>
      </w:r>
      <w:r>
        <w:rPr>
          <w:iCs/>
          <w:i/>
        </w:rPr>
        <w:t xml:space="preserve">Economic Modelling</w:t>
      </w:r>
      <w:r>
        <w:t xml:space="preserve">,</w:t>
      </w:r>
      <w:r>
        <w:t xml:space="preserve"> </w:t>
      </w:r>
      <w:r>
        <w:rPr>
          <w:iCs/>
          <w:i/>
        </w:rPr>
        <w:t xml:space="preserve">70</w:t>
      </w:r>
      <w:r>
        <w:t xml:space="preserve">, 87-96. https://doi.org/10.1016/j.econmod.2017.10.014</w:t>
      </w:r>
    </w:p>
    <w:p>
      <w:pPr>
        <w:numPr>
          <w:ilvl w:val="0"/>
          <w:numId w:val="1008"/>
        </w:numPr>
        <w:pStyle w:val="Compac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numPr>
          <w:ilvl w:val="0"/>
          <w:numId w:val="1008"/>
        </w:numPr>
        <w:pStyle w:val="Compact"/>
      </w:pPr>
      <w:r>
        <w:t xml:space="preserve">Federal Reserve Bank of Atlanta. (s. f.).</w:t>
      </w:r>
      <w:r>
        <w:t xml:space="preserve"> </w:t>
      </w:r>
      <w:r>
        <w:rPr>
          <w:iCs/>
          <w:i/>
        </w:rPr>
        <w:t xml:space="preserve">Wu-Xia shadow federal funds rate</w:t>
      </w:r>
      <w:r>
        <w:t xml:space="preserve"> </w:t>
      </w:r>
      <w:r>
        <w:t xml:space="preserve">[Conjunto de datos]. https://www.atlantafed.org/cqer/research/wu-xia-shadow-federal-funds-rate</w:t>
      </w:r>
    </w:p>
    <w:p>
      <w:pPr>
        <w:numPr>
          <w:ilvl w:val="0"/>
          <w:numId w:val="1008"/>
        </w:numPr>
        <w:pStyle w:val="Compac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numPr>
          <w:ilvl w:val="0"/>
          <w:numId w:val="1008"/>
        </w:numPr>
        <w:pStyle w:val="Compac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numPr>
          <w:ilvl w:val="0"/>
          <w:numId w:val="1008"/>
        </w:numPr>
        <w:pStyle w:val="Compact"/>
      </w:pPr>
      <w:r>
        <w:t xml:space="preserve">Fondo Monetario Internacional [FMI]. (2024).</w:t>
      </w:r>
      <w:r>
        <w:t xml:space="preserve"> </w:t>
      </w:r>
      <w:r>
        <w:rPr>
          <w:iCs/>
          <w:i/>
        </w:rPr>
        <w:t xml:space="preserve">Argentina: Eighth review under the extended arrangement under the Extended Fund Facility</w:t>
      </w:r>
      <w:r>
        <w:t xml:space="preserve"> </w:t>
      </w:r>
      <w:r>
        <w:t xml:space="preserve">(IMF Country Report No. 24/167).</w:t>
      </w:r>
    </w:p>
    <w:p>
      <w:pPr>
        <w:numPr>
          <w:ilvl w:val="0"/>
          <w:numId w:val="1008"/>
        </w:numPr>
        <w:pStyle w:val="Compac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numPr>
          <w:ilvl w:val="0"/>
          <w:numId w:val="1008"/>
        </w:numPr>
        <w:pStyle w:val="Compac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numPr>
          <w:ilvl w:val="0"/>
          <w:numId w:val="1008"/>
        </w:numPr>
        <w:pStyle w:val="Compact"/>
      </w:pPr>
      <w:r>
        <w:t xml:space="preserve">Fondo Monetario Internacional [FMI] y Mecanismo Europeo de Estabilidad [ESM]. (2023).</w:t>
      </w:r>
      <w:r>
        <w:t xml:space="preserve"> </w:t>
      </w:r>
      <w:r>
        <w:rPr>
          <w:iCs/>
          <w:i/>
        </w:rPr>
        <w:t xml:space="preserve">The stochastic debt fanchart in the IMF’s Sovereign Risk and Debt Sustainability Framework for MACs</w:t>
      </w:r>
      <w:r>
        <w:t xml:space="preserve"> </w:t>
      </w:r>
      <w:r>
        <w:t xml:space="preserve">[Presentación, 30 de noviembre de 2023].</w:t>
      </w:r>
    </w:p>
    <w:p>
      <w:pPr>
        <w:numPr>
          <w:ilvl w:val="0"/>
          <w:numId w:val="1008"/>
        </w:numPr>
        <w:pStyle w:val="Compac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numPr>
          <w:ilvl w:val="0"/>
          <w:numId w:val="1008"/>
        </w:numPr>
        <w:pStyle w:val="Compact"/>
      </w:pPr>
      <w:r>
        <w:t xml:space="preserve">Girouard, N., y André, C. (2005).</w:t>
      </w:r>
      <w:r>
        <w:t xml:space="preserve"> </w:t>
      </w:r>
      <w:r>
        <w:rPr>
          <w:iCs/>
          <w:i/>
        </w:rPr>
        <w:t xml:space="preserve">Measuring cyclically-adjusted budget balances for OECD countries</w:t>
      </w:r>
      <w:r>
        <w:t xml:space="preserve"> </w:t>
      </w:r>
      <w:r>
        <w:t xml:space="preserve">(OECD Economics Department Working Papers No. 434). OECD Publishing.</w:t>
      </w:r>
    </w:p>
    <w:p>
      <w:pPr>
        <w:numPr>
          <w:ilvl w:val="0"/>
          <w:numId w:val="1008"/>
        </w:numPr>
        <w:pStyle w:val="Compact"/>
      </w:pPr>
      <w:r>
        <w:t xml:space="preserve">González, M. J., y Hernández, J. M. (2023).</w:t>
      </w:r>
      <w:r>
        <w:t xml:space="preserve"> </w:t>
      </w:r>
      <w:r>
        <w:rPr>
          <w:iCs/>
          <w:i/>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numPr>
          <w:ilvl w:val="0"/>
          <w:numId w:val="1008"/>
        </w:numPr>
        <w:pStyle w:val="Compact"/>
      </w:pPr>
      <w:r>
        <w:t xml:space="preserve">Hakkio, C. S., y Rush, M. (1991). Is the budget deficit</w:t>
      </w:r>
      <w:r>
        <w:t xml:space="preserve"> </w:t>
      </w:r>
      <w:r>
        <w:t xml:space="preserve">“</w:t>
      </w:r>
      <w:r>
        <w:t xml:space="preserve">too large?</w:t>
      </w:r>
      <w:r>
        <w:t xml:space="preserve">”</w:t>
      </w:r>
      <w:r>
        <w:t xml:space="preserve"> </w:t>
      </w:r>
      <w:r>
        <w:rPr>
          <w:iCs/>
          <w:i/>
        </w:rPr>
        <w:t xml:space="preserve">Economic Inquiry</w:t>
      </w:r>
      <w:r>
        <w:t xml:space="preserve">,</w:t>
      </w:r>
      <w:r>
        <w:t xml:space="preserve"> </w:t>
      </w:r>
      <w:r>
        <w:rPr>
          <w:iCs/>
          <w:i/>
        </w:rPr>
        <w:t xml:space="preserve">29</w:t>
      </w:r>
      <w:r>
        <w:t xml:space="preserve">(3), 429-445. https://doi.org/10.1111/j.1465-7295.1991.tb00837.x</w:t>
      </w:r>
    </w:p>
    <w:p>
      <w:pPr>
        <w:numPr>
          <w:ilvl w:val="0"/>
          <w:numId w:val="1008"/>
        </w:numPr>
        <w:pStyle w:val="Compact"/>
      </w:pPr>
      <w:r>
        <w:t xml:space="preserve">Hall, P. (1992).</w:t>
      </w:r>
      <w:r>
        <w:t xml:space="preserve"> </w:t>
      </w:r>
      <w:r>
        <w:rPr>
          <w:iCs/>
          <w:i/>
        </w:rPr>
        <w:t xml:space="preserve">The bootstrap and Edgeworth expansion</w:t>
      </w:r>
      <w:r>
        <w:t xml:space="preserve">. Springer. https://doi.org/10.1007/978-1-4612-4384-7</w:t>
      </w:r>
    </w:p>
    <w:p>
      <w:pPr>
        <w:numPr>
          <w:ilvl w:val="0"/>
          <w:numId w:val="1008"/>
        </w:numPr>
        <w:pStyle w:val="Compact"/>
      </w:pPr>
      <w:r>
        <w:t xml:space="preserve">Hébert, B., y Schreger, J. (2017). The costs of sovereign default: Evidence from Argentina.</w:t>
      </w:r>
      <w:r>
        <w:t xml:space="preserve"> </w:t>
      </w:r>
      <w:r>
        <w:rPr>
          <w:iCs/>
          <w:i/>
        </w:rPr>
        <w:t xml:space="preserve">American Economic Review</w:t>
      </w:r>
      <w:r>
        <w:t xml:space="preserve">,</w:t>
      </w:r>
      <w:r>
        <w:t xml:space="preserve"> </w:t>
      </w:r>
      <w:r>
        <w:rPr>
          <w:iCs/>
          <w:i/>
        </w:rPr>
        <w:t xml:space="preserve">107</w:t>
      </w:r>
      <w:r>
        <w:t xml:space="preserve">(10), 3119-3145. https://doi.org/10.1257/aer.20151667</w:t>
      </w:r>
    </w:p>
    <w:p>
      <w:pPr>
        <w:numPr>
          <w:ilvl w:val="0"/>
          <w:numId w:val="1008"/>
        </w:numPr>
        <w:pStyle w:val="Compact"/>
      </w:pPr>
      <w:r>
        <w:t xml:space="preserve">Hobijn, B., Franses, P. H., y Ooms, M. (2004). Generalizations of the KPSS-test for stationarity.</w:t>
      </w:r>
      <w:r>
        <w:t xml:space="preserve"> </w:t>
      </w:r>
      <w:r>
        <w:rPr>
          <w:iCs/>
          <w:i/>
        </w:rPr>
        <w:t xml:space="preserve">Statistica Neerlandica</w:t>
      </w:r>
      <w:r>
        <w:t xml:space="preserve">,</w:t>
      </w:r>
      <w:r>
        <w:t xml:space="preserve"> </w:t>
      </w:r>
      <w:r>
        <w:rPr>
          <w:iCs/>
          <w:i/>
        </w:rPr>
        <w:t xml:space="preserve">58</w:t>
      </w:r>
      <w:r>
        <w:t xml:space="preserve">(4), 483-502. https://doi.org/10.1111/j.1467-9574.2004.00272.x</w:t>
      </w:r>
    </w:p>
    <w:p>
      <w:pPr>
        <w:numPr>
          <w:ilvl w:val="0"/>
          <w:numId w:val="1008"/>
        </w:numPr>
        <w:pStyle w:val="Compact"/>
      </w:pPr>
      <w:r>
        <w:t xml:space="preserve">Hodrick, R. J., y Prescott, E. C. (1997). Postwar U.S. business cycles: An empirical investigation.</w:t>
      </w:r>
      <w:r>
        <w:t xml:space="preserve"> </w:t>
      </w:r>
      <w:r>
        <w:rPr>
          <w:iCs/>
          <w:i/>
        </w:rPr>
        <w:t xml:space="preserve">Journal of Money, Credit and Banking</w:t>
      </w:r>
      <w:r>
        <w:t xml:space="preserve">,</w:t>
      </w:r>
      <w:r>
        <w:t xml:space="preserve"> </w:t>
      </w:r>
      <w:r>
        <w:rPr>
          <w:iCs/>
          <w:i/>
        </w:rPr>
        <w:t xml:space="preserve">29</w:t>
      </w:r>
      <w:r>
        <w:t xml:space="preserve">(1), 1-16. https://doi.org/10.2307/2953682</w:t>
      </w:r>
    </w:p>
    <w:p>
      <w:pPr>
        <w:numPr>
          <w:ilvl w:val="0"/>
          <w:numId w:val="1008"/>
        </w:numPr>
        <w:pStyle w:val="Compact"/>
      </w:pPr>
      <w:r>
        <w:t xml:space="preserve">Hosking, J. R. M. (1980). The multivariate portmanteau statistic.</w:t>
      </w:r>
      <w:r>
        <w:t xml:space="preserve"> </w:t>
      </w:r>
      <w:r>
        <w:rPr>
          <w:iCs/>
          <w:i/>
        </w:rPr>
        <w:t xml:space="preserve">Journal of the American Statistical Association</w:t>
      </w:r>
      <w:r>
        <w:t xml:space="preserve">,</w:t>
      </w:r>
      <w:r>
        <w:t xml:space="preserve"> </w:t>
      </w:r>
      <w:r>
        <w:rPr>
          <w:iCs/>
          <w:i/>
        </w:rPr>
        <w:t xml:space="preserve">75</w:t>
      </w:r>
      <w:r>
        <w:t xml:space="preserve">(371), 602-608. https://doi.org/10.1080/01621459.1980.10477520</w:t>
      </w:r>
    </w:p>
    <w:p>
      <w:pPr>
        <w:numPr>
          <w:ilvl w:val="0"/>
          <w:numId w:val="1008"/>
        </w:numPr>
        <w:pStyle w:val="Compact"/>
      </w:pPr>
      <w:r>
        <w:t xml:space="preserve">Infobae. (2026, 23 de septiembre).</w:t>
      </w:r>
      <w:r>
        <w:t xml:space="preserve"> </w:t>
      </w:r>
      <w:r>
        <w:rPr>
          <w:iCs/>
          <w:i/>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numPr>
          <w:ilvl w:val="0"/>
          <w:numId w:val="1008"/>
        </w:numPr>
        <w:pStyle w:val="Compac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numPr>
          <w:ilvl w:val="0"/>
          <w:numId w:val="1008"/>
        </w:numPr>
        <w:pStyle w:val="Compact"/>
      </w:pPr>
      <w:r>
        <w:t xml:space="preserve">Jarque, C. M., y Bera, A. K. (1987). A test for normality of observations and regression residuals.</w:t>
      </w:r>
      <w:r>
        <w:t xml:space="preserve"> </w:t>
      </w:r>
      <w:r>
        <w:rPr>
          <w:iCs/>
          <w:i/>
        </w:rPr>
        <w:t xml:space="preserve">International Statistical Review</w:t>
      </w:r>
      <w:r>
        <w:t xml:space="preserve">,</w:t>
      </w:r>
      <w:r>
        <w:t xml:space="preserve"> </w:t>
      </w:r>
      <w:r>
        <w:rPr>
          <w:iCs/>
          <w:i/>
        </w:rPr>
        <w:t xml:space="preserve">55</w:t>
      </w:r>
      <w:r>
        <w:t xml:space="preserve">(2), 163-172. https://doi.org/10.2307/1403192</w:t>
      </w:r>
    </w:p>
    <w:p>
      <w:pPr>
        <w:numPr>
          <w:ilvl w:val="0"/>
          <w:numId w:val="1008"/>
        </w:numPr>
        <w:pStyle w:val="Compact"/>
      </w:pPr>
      <w:r>
        <w:t xml:space="preserve">Johansen, S. (1991). Estimation and hypothesis testing of cointegration vectors in Gaussian vector autoregressive models.</w:t>
      </w:r>
      <w:r>
        <w:t xml:space="preserve"> </w:t>
      </w:r>
      <w:r>
        <w:rPr>
          <w:iCs/>
          <w:i/>
        </w:rPr>
        <w:t xml:space="preserve">Econometrica</w:t>
      </w:r>
      <w:r>
        <w:t xml:space="preserve">,</w:t>
      </w:r>
      <w:r>
        <w:t xml:space="preserve"> </w:t>
      </w:r>
      <w:r>
        <w:rPr>
          <w:iCs/>
          <w:i/>
        </w:rPr>
        <w:t xml:space="preserve">59</w:t>
      </w:r>
      <w:r>
        <w:t xml:space="preserve">(6), 1551-1580. https://doi.org/10.2307/2938278</w:t>
      </w:r>
    </w:p>
    <w:p>
      <w:pPr>
        <w:numPr>
          <w:ilvl w:val="0"/>
          <w:numId w:val="1008"/>
        </w:numPr>
        <w:pStyle w:val="Compact"/>
      </w:pPr>
      <w:r>
        <w:t xml:space="preserve">Johansen, S., Mosconi, R., y Nielsen, B. (2000). Cointegration analysis in the presence of structural breaks in the deterministic trend.</w:t>
      </w:r>
      <w:r>
        <w:t xml:space="preserve"> </w:t>
      </w:r>
      <w:r>
        <w:rPr>
          <w:iCs/>
          <w:i/>
        </w:rPr>
        <w:t xml:space="preserve">The Econometrics Journal</w:t>
      </w:r>
      <w:r>
        <w:t xml:space="preserve">,</w:t>
      </w:r>
      <w:r>
        <w:t xml:space="preserve"> </w:t>
      </w:r>
      <w:r>
        <w:rPr>
          <w:iCs/>
          <w:i/>
        </w:rPr>
        <w:t xml:space="preserve">3</w:t>
      </w:r>
      <w:r>
        <w:t xml:space="preserve">(2), 216-249. https://doi.org/10.1111/1368-423X.00047</w:t>
      </w:r>
    </w:p>
    <w:p>
      <w:pPr>
        <w:numPr>
          <w:ilvl w:val="0"/>
          <w:numId w:val="1008"/>
        </w:numPr>
        <w:pStyle w:val="Compact"/>
      </w:pPr>
      <w:r>
        <w:t xml:space="preserve">Kalemli-Özcan, Ş. (2019).</w:t>
      </w:r>
      <w:r>
        <w:t xml:space="preserve"> </w:t>
      </w:r>
      <w:r>
        <w:rPr>
          <w:iCs/>
          <w:i/>
        </w:rPr>
        <w:t xml:space="preserve">U.S. monetary policy and international risk spillovers</w:t>
      </w:r>
      <w:r>
        <w:t xml:space="preserve"> </w:t>
      </w:r>
      <w:r>
        <w:t xml:space="preserve">(NBER Working Paper No. 26297). National Bureau of Economic Research. https://doi.org/10.3386/w26297</w:t>
      </w:r>
    </w:p>
    <w:p>
      <w:pPr>
        <w:numPr>
          <w:ilvl w:val="0"/>
          <w:numId w:val="1008"/>
        </w:numPr>
        <w:pStyle w:val="Compact"/>
      </w:pPr>
      <w:r>
        <w:t xml:space="preserve">Kaminsky, G., Lizondo, S., y Reinhart, C. M. (1998). Leading indicators of currency crises.</w:t>
      </w:r>
      <w:r>
        <w:t xml:space="preserve"> </w:t>
      </w:r>
      <w:r>
        <w:rPr>
          <w:iCs/>
          <w:i/>
        </w:rPr>
        <w:t xml:space="preserve">IMF Staff Papers</w:t>
      </w:r>
      <w:r>
        <w:t xml:space="preserve">,</w:t>
      </w:r>
      <w:r>
        <w:t xml:space="preserve"> </w:t>
      </w:r>
      <w:r>
        <w:rPr>
          <w:iCs/>
          <w:i/>
        </w:rPr>
        <w:t xml:space="preserve">45</w:t>
      </w:r>
      <w:r>
        <w:t xml:space="preserve">(1), 1-48. https://doi.org/10.2307/3867328</w:t>
      </w:r>
    </w:p>
    <w:p>
      <w:pPr>
        <w:numPr>
          <w:ilvl w:val="0"/>
          <w:numId w:val="1008"/>
        </w:numPr>
        <w:pStyle w:val="Compac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numPr>
          <w:ilvl w:val="0"/>
          <w:numId w:val="1008"/>
        </w:numPr>
        <w:pStyle w:val="Compact"/>
      </w:pPr>
      <w:r>
        <w:t xml:space="preserve">Kwiatkowski, D., Phillips, P. C. B., Schmidt, P., y Shin, Y. (1992). Testing the null hypothesis of stationarity against the alternative of a unit root.</w:t>
      </w:r>
      <w:r>
        <w:t xml:space="preserve"> </w:t>
      </w:r>
      <w:r>
        <w:rPr>
          <w:iCs/>
          <w:i/>
        </w:rPr>
        <w:t xml:space="preserve">Journal of Econometrics</w:t>
      </w:r>
      <w:r>
        <w:t xml:space="preserve">,</w:t>
      </w:r>
      <w:r>
        <w:t xml:space="preserve"> </w:t>
      </w:r>
      <w:r>
        <w:rPr>
          <w:iCs/>
          <w:i/>
        </w:rPr>
        <w:t xml:space="preserve">54</w:t>
      </w:r>
      <w:r>
        <w:t xml:space="preserve">(1-3), 159-178. https://doi.org/10.1016/0304-4076(92)90104-Y</w:t>
      </w:r>
    </w:p>
    <w:p>
      <w:pPr>
        <w:numPr>
          <w:ilvl w:val="0"/>
          <w:numId w:val="1008"/>
        </w:numPr>
        <w:pStyle w:val="Compact"/>
      </w:pPr>
      <w:r>
        <w:t xml:space="preserve">Leeper, E. M. (1991). Equilibria under</w:t>
      </w:r>
      <w:r>
        <w:t xml:space="preserve"> </w:t>
      </w:r>
      <w:r>
        <w:t xml:space="preserve">“</w:t>
      </w:r>
      <w:r>
        <w:t xml:space="preserve">active</w:t>
      </w:r>
      <w:r>
        <w:t xml:space="preserve">”</w:t>
      </w:r>
      <w:r>
        <w:t xml:space="preserve"> </w:t>
      </w:r>
      <w:r>
        <w:t xml:space="preserve">and</w:t>
      </w:r>
      <w:r>
        <w:t xml:space="preserve"> </w:t>
      </w:r>
      <w:r>
        <w:t xml:space="preserve">“</w:t>
      </w:r>
      <w:r>
        <w:t xml:space="preserve">passive</w:t>
      </w:r>
      <w:r>
        <w:t xml:space="preserve">”</w:t>
      </w:r>
      <w:r>
        <w:t xml:space="preserve"> </w:t>
      </w:r>
      <w:r>
        <w:t xml:space="preserve">monetary and fiscal policies.</w:t>
      </w:r>
      <w:r>
        <w:t xml:space="preserve"> </w:t>
      </w:r>
      <w:r>
        <w:rPr>
          <w:iCs/>
          <w:i/>
        </w:rPr>
        <w:t xml:space="preserve">Journal of Monetary Economics</w:t>
      </w:r>
      <w:r>
        <w:t xml:space="preserve">,</w:t>
      </w:r>
      <w:r>
        <w:t xml:space="preserve"> </w:t>
      </w:r>
      <w:r>
        <w:rPr>
          <w:iCs/>
          <w:i/>
        </w:rPr>
        <w:t xml:space="preserve">27</w:t>
      </w:r>
      <w:r>
        <w:t xml:space="preserve">(1), 129-147. https://doi.org/10.1016/0304-3932(91)90007-B</w:t>
      </w:r>
    </w:p>
    <w:p>
      <w:pPr>
        <w:numPr>
          <w:ilvl w:val="0"/>
          <w:numId w:val="1008"/>
        </w:numPr>
        <w:pStyle w:val="Compac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numPr>
          <w:ilvl w:val="0"/>
          <w:numId w:val="1008"/>
        </w:numPr>
        <w:pStyle w:val="Compact"/>
      </w:pPr>
      <w:r>
        <w:t xml:space="preserve">Ley 27.612 de Fortalecimiento de la Sostenibilidad de la Deuda Pública. (2021, 3 de marzo). Boletín Oficial de la República Argentina. https://www.argentina.gob.ar/normativa/nacional/norma-347532/texto</w:t>
      </w:r>
    </w:p>
    <w:p>
      <w:pPr>
        <w:numPr>
          <w:ilvl w:val="0"/>
          <w:numId w:val="1008"/>
        </w:numPr>
        <w:pStyle w:val="Compact"/>
      </w:pPr>
      <w:r>
        <w:t xml:space="preserve">Lütkepohl, H. (2005).</w:t>
      </w:r>
      <w:r>
        <w:t xml:space="preserve"> </w:t>
      </w:r>
      <w:r>
        <w:rPr>
          <w:iCs/>
          <w:i/>
        </w:rPr>
        <w:t xml:space="preserve">New introduction to multiple time series analysis</w:t>
      </w:r>
      <w:r>
        <w:t xml:space="preserve">. Springer.</w:t>
      </w:r>
    </w:p>
    <w:p>
      <w:pPr>
        <w:numPr>
          <w:ilvl w:val="0"/>
          <w:numId w:val="1008"/>
        </w:numPr>
        <w:pStyle w:val="Compac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numPr>
          <w:ilvl w:val="0"/>
          <w:numId w:val="1008"/>
        </w:numPr>
        <w:pStyle w:val="Compact"/>
      </w:pPr>
      <w:r>
        <w:t xml:space="preserve">Mendoza, E. G., y Oviedo, P. M. (2009). Public debt, fiscal solvency and macroeconomic uncertainty in Latin America: The cases of Brazil, Colombia, Costa Rica and Mexico.</w:t>
      </w:r>
      <w:r>
        <w:t xml:space="preserve"> </w:t>
      </w:r>
      <w:r>
        <w:rPr>
          <w:iCs/>
          <w:i/>
        </w:rPr>
        <w:t xml:space="preserve">Economía Mexicana. Nueva Época</w:t>
      </w:r>
      <w:r>
        <w:t xml:space="preserve">,</w:t>
      </w:r>
      <w:r>
        <w:t xml:space="preserve"> </w:t>
      </w:r>
      <w:r>
        <w:rPr>
          <w:iCs/>
          <w:i/>
        </w:rPr>
        <w:t xml:space="preserve">18</w:t>
      </w:r>
      <w:r>
        <w:t xml:space="preserve">(2), 133-177.</w:t>
      </w:r>
    </w:p>
    <w:p>
      <w:pPr>
        <w:numPr>
          <w:ilvl w:val="0"/>
          <w:numId w:val="1008"/>
        </w:numPr>
        <w:pStyle w:val="Compact"/>
      </w:pPr>
      <w:r>
        <w:t xml:space="preserve">Ministerio de Economía de la Nación, Secretaría de Finanzas. (2025).</w:t>
      </w:r>
      <w:r>
        <w:t xml:space="preserve"> </w:t>
      </w:r>
      <w:r>
        <w:rPr>
          <w:iCs/>
          <w:i/>
        </w:rPr>
        <w:t xml:space="preserve">Informe de deuda pública al 31/12/2025</w:t>
      </w:r>
      <w:r>
        <w:t xml:space="preserve"> </w:t>
      </w:r>
      <w:r>
        <w:t xml:space="preserve">[Conjunto de datos].</w:t>
      </w:r>
    </w:p>
    <w:p>
      <w:pPr>
        <w:numPr>
          <w:ilvl w:val="0"/>
          <w:numId w:val="1008"/>
        </w:numPr>
        <w:pStyle w:val="Compac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numPr>
          <w:ilvl w:val="0"/>
          <w:numId w:val="1008"/>
        </w:numPr>
        <w:pStyle w:val="Compact"/>
      </w:pPr>
      <w:r>
        <w:t xml:space="preserve">Oficina de Presupuesto del Congreso [OPC]. (2026).</w:t>
      </w:r>
      <w:r>
        <w:t xml:space="preserve"> </w:t>
      </w:r>
      <w:r>
        <w:rPr>
          <w:iCs/>
          <w:i/>
        </w:rPr>
        <w:t xml:space="preserve">Operaciones de deuda pública, julio 2026</w:t>
      </w:r>
      <w:r>
        <w:t xml:space="preserve">.</w:t>
      </w:r>
    </w:p>
    <w:p>
      <w:pPr>
        <w:numPr>
          <w:ilvl w:val="0"/>
          <w:numId w:val="1008"/>
        </w:numPr>
        <w:pStyle w:val="Compact"/>
      </w:pPr>
      <w:r>
        <w:t xml:space="preserve">Perron, P. (1989). The great crash, the oil price shock, and the unit root hypothesis.</w:t>
      </w:r>
      <w:r>
        <w:t xml:space="preserve"> </w:t>
      </w:r>
      <w:r>
        <w:rPr>
          <w:iCs/>
          <w:i/>
        </w:rPr>
        <w:t xml:space="preserve">Econometrica</w:t>
      </w:r>
      <w:r>
        <w:t xml:space="preserve">,</w:t>
      </w:r>
      <w:r>
        <w:t xml:space="preserve"> </w:t>
      </w:r>
      <w:r>
        <w:rPr>
          <w:iCs/>
          <w:i/>
        </w:rPr>
        <w:t xml:space="preserve">57</w:t>
      </w:r>
      <w:r>
        <w:t xml:space="preserve">(6), 1361-1401. https://doi.org/10.2307/1913712</w:t>
      </w:r>
    </w:p>
    <w:p>
      <w:pPr>
        <w:numPr>
          <w:ilvl w:val="0"/>
          <w:numId w:val="1008"/>
        </w:numPr>
        <w:pStyle w:val="Compact"/>
      </w:pPr>
      <w:r>
        <w:t xml:space="preserve">Pesaran, M. H., y Smith, R. (1995). Estimating long-run relationships from dynamic heterogeneous panels.</w:t>
      </w:r>
      <w:r>
        <w:t xml:space="preserve"> </w:t>
      </w:r>
      <w:r>
        <w:rPr>
          <w:iCs/>
          <w:i/>
        </w:rPr>
        <w:t xml:space="preserve">Journal of Econometrics</w:t>
      </w:r>
      <w:r>
        <w:t xml:space="preserve">,</w:t>
      </w:r>
      <w:r>
        <w:t xml:space="preserve"> </w:t>
      </w:r>
      <w:r>
        <w:rPr>
          <w:iCs/>
          <w:i/>
        </w:rPr>
        <w:t xml:space="preserve">68</w:t>
      </w:r>
      <w:r>
        <w:t xml:space="preserve">(1), 79-113. https://doi.org/10.1016/0304-4076(94)01644-F</w:t>
      </w:r>
    </w:p>
    <w:p>
      <w:pPr>
        <w:numPr>
          <w:ilvl w:val="0"/>
          <w:numId w:val="1008"/>
        </w:numPr>
        <w:pStyle w:val="Compact"/>
      </w:pPr>
      <w:r>
        <w:t xml:space="preserve">Porto, A. (2020).</w:t>
      </w:r>
      <w:r>
        <w:t xml:space="preserve"> </w:t>
      </w:r>
      <w:r>
        <w:rPr>
          <w:iCs/>
          <w:i/>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numPr>
          <w:ilvl w:val="0"/>
          <w:numId w:val="1008"/>
        </w:numPr>
        <w:pStyle w:val="Compact"/>
      </w:pPr>
      <w:r>
        <w:t xml:space="preserve">Rapoport, M. (2020).</w:t>
      </w:r>
      <w:r>
        <w:t xml:space="preserve"> </w:t>
      </w:r>
      <w:r>
        <w:rPr>
          <w:iCs/>
          <w:i/>
        </w:rPr>
        <w:t xml:space="preserve">Historia económica, política y social de la Argentina (1880-2003)</w:t>
      </w:r>
      <w:r>
        <w:t xml:space="preserve">. Crítica.</w:t>
      </w:r>
    </w:p>
    <w:p>
      <w:pPr>
        <w:numPr>
          <w:ilvl w:val="0"/>
          <w:numId w:val="1008"/>
        </w:numPr>
        <w:pStyle w:val="Compact"/>
      </w:pPr>
      <w:r>
        <w:t xml:space="preserve">Reinhart, C. M., y Rogoff, K. S. (2009).</w:t>
      </w:r>
      <w:r>
        <w:t xml:space="preserve"> </w:t>
      </w:r>
      <w:r>
        <w:rPr>
          <w:iCs/>
          <w:i/>
        </w:rPr>
        <w:t xml:space="preserve">This time is different: Eight centuries of financial folly</w:t>
      </w:r>
      <w:r>
        <w:t xml:space="preserve">. Princeton University Press.</w:t>
      </w:r>
    </w:p>
    <w:p>
      <w:pPr>
        <w:numPr>
          <w:ilvl w:val="0"/>
          <w:numId w:val="1008"/>
        </w:numPr>
        <w:pStyle w:val="Compact"/>
      </w:pPr>
      <w:r>
        <w:t xml:space="preserve">Reinhart, C. M., Rogoff, K. S., y Savastano, M. A. (2003). Debt intolerance.</w:t>
      </w:r>
      <w:r>
        <w:t xml:space="preserve"> </w:t>
      </w:r>
      <w:r>
        <w:rPr>
          <w:iCs/>
          <w:i/>
        </w:rPr>
        <w:t xml:space="preserve">Brookings Papers on Economic Activity</w:t>
      </w:r>
      <w:r>
        <w:t xml:space="preserve">,</w:t>
      </w:r>
      <w:r>
        <w:t xml:space="preserve"> </w:t>
      </w:r>
      <w:r>
        <w:rPr>
          <w:iCs/>
          <w:i/>
        </w:rPr>
        <w:t xml:space="preserve">2003</w:t>
      </w:r>
      <w:r>
        <w:t xml:space="preserve">(1), 1-74. https://doi.org/10.1353/eca.2003.0018</w:t>
      </w:r>
    </w:p>
    <w:p>
      <w:pPr>
        <w:numPr>
          <w:ilvl w:val="0"/>
          <w:numId w:val="1008"/>
        </w:numPr>
        <w:pStyle w:val="Compact"/>
      </w:pPr>
      <w:r>
        <w:t xml:space="preserve">Renzhi, N., y Beirne, J. (2024).</w:t>
      </w:r>
      <w:r>
        <w:t xml:space="preserve"> </w:t>
      </w:r>
      <w:r>
        <w:rPr>
          <w:iCs/>
          <w:i/>
        </w:rPr>
        <w:t xml:space="preserve">Global shocks and monetary policy transmission in emerging markets</w:t>
      </w:r>
      <w:r>
        <w:t xml:space="preserve"> </w:t>
      </w:r>
      <w:r>
        <w:t xml:space="preserve">(ADB Economics Working Paper No. 726). Asian Development Bank.</w:t>
      </w:r>
    </w:p>
    <w:p>
      <w:pPr>
        <w:numPr>
          <w:ilvl w:val="0"/>
          <w:numId w:val="1008"/>
        </w:numPr>
        <w:pStyle w:val="Compact"/>
      </w:pPr>
      <w:r>
        <w:t xml:space="preserve">Rey, H. (2013).</w:t>
      </w:r>
      <w:r>
        <w:t xml:space="preserve"> </w:t>
      </w:r>
      <w:r>
        <w:rPr>
          <w:iCs/>
          <w:i/>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numPr>
          <w:ilvl w:val="0"/>
          <w:numId w:val="1008"/>
        </w:numPr>
        <w:pStyle w:val="Compact"/>
      </w:pPr>
      <w:r>
        <w:t xml:space="preserve">Rigobon, R. (2003). Identification through heteroskedasticity.</w:t>
      </w:r>
      <w:r>
        <w:t xml:space="preserve"> </w:t>
      </w:r>
      <w:r>
        <w:rPr>
          <w:iCs/>
          <w:i/>
        </w:rPr>
        <w:t xml:space="preserve">The Review of Economics and Statistics</w:t>
      </w:r>
      <w:r>
        <w:t xml:space="preserve">,</w:t>
      </w:r>
      <w:r>
        <w:t xml:space="preserve"> </w:t>
      </w:r>
      <w:r>
        <w:rPr>
          <w:iCs/>
          <w:i/>
        </w:rPr>
        <w:t xml:space="preserve">85</w:t>
      </w:r>
      <w:r>
        <w:t xml:space="preserve">(4), 777-792. https://doi.org/10.1162/003465303772815727</w:t>
      </w:r>
    </w:p>
    <w:p>
      <w:pPr>
        <w:numPr>
          <w:ilvl w:val="0"/>
          <w:numId w:val="1008"/>
        </w:numPr>
        <w:pStyle w:val="Compact"/>
      </w:pPr>
      <w:r>
        <w:t xml:space="preserve">Rigobon, R., y Sack, B. (2004). The impact of monetary policy on asset prices.</w:t>
      </w:r>
      <w:r>
        <w:t xml:space="preserve"> </w:t>
      </w:r>
      <w:r>
        <w:rPr>
          <w:iCs/>
          <w:i/>
        </w:rPr>
        <w:t xml:space="preserve">Journal of Monetary Economics</w:t>
      </w:r>
      <w:r>
        <w:t xml:space="preserve">,</w:t>
      </w:r>
      <w:r>
        <w:t xml:space="preserve"> </w:t>
      </w:r>
      <w:r>
        <w:rPr>
          <w:iCs/>
          <w:i/>
        </w:rPr>
        <w:t xml:space="preserve">51</w:t>
      </w:r>
      <w:r>
        <w:t xml:space="preserve">(8), 1553-1575. https://doi.org/10.1016/j.jmoneco.2004.02.004</w:t>
      </w:r>
    </w:p>
    <w:p>
      <w:pPr>
        <w:numPr>
          <w:ilvl w:val="0"/>
          <w:numId w:val="1008"/>
        </w:numPr>
        <w:pStyle w:val="Compac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numPr>
          <w:ilvl w:val="0"/>
          <w:numId w:val="1008"/>
        </w:numPr>
        <w:pStyle w:val="Compact"/>
      </w:pPr>
      <w:r>
        <w:t xml:space="preserve">Roldán, V. (2021).</w:t>
      </w:r>
      <w:r>
        <w:t xml:space="preserve"> </w:t>
      </w:r>
      <w:r>
        <w:rPr>
          <w:iCs/>
          <w:i/>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numPr>
          <w:ilvl w:val="0"/>
          <w:numId w:val="1008"/>
        </w:numPr>
        <w:pStyle w:val="Compac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numPr>
          <w:ilvl w:val="0"/>
          <w:numId w:val="1008"/>
        </w:numPr>
        <w:pStyle w:val="Compact"/>
      </w:pPr>
      <w:r>
        <w:t xml:space="preserve">Sargent, T. J., y Wallace, N. (1981). Some unpleasant monetarist arithmetic.</w:t>
      </w:r>
      <w:r>
        <w:t xml:space="preserve"> </w:t>
      </w:r>
      <w:r>
        <w:rPr>
          <w:iCs/>
          <w:i/>
        </w:rPr>
        <w:t xml:space="preserve">Federal Reserve Bank of Minneapolis Quarterly Review</w:t>
      </w:r>
      <w:r>
        <w:t xml:space="preserve">,</w:t>
      </w:r>
      <w:r>
        <w:t xml:space="preserve"> </w:t>
      </w:r>
      <w:r>
        <w:rPr>
          <w:iCs/>
          <w:i/>
        </w:rPr>
        <w:t xml:space="preserve">5</w:t>
      </w:r>
      <w:r>
        <w:t xml:space="preserve">(3), 1-17.</w:t>
      </w:r>
    </w:p>
    <w:p>
      <w:pPr>
        <w:numPr>
          <w:ilvl w:val="0"/>
          <w:numId w:val="1008"/>
        </w:numPr>
        <w:pStyle w:val="Compac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numPr>
          <w:ilvl w:val="0"/>
          <w:numId w:val="1008"/>
        </w:numPr>
        <w:pStyle w:val="Compact"/>
      </w:pPr>
      <w:r>
        <w:t xml:space="preserve">Schwert, G. W. (1989). Tests for unit roots: A Monte Carlo investigation.</w:t>
      </w:r>
      <w:r>
        <w:t xml:space="preserve"> </w:t>
      </w:r>
      <w:r>
        <w:rPr>
          <w:iCs/>
          <w:i/>
        </w:rPr>
        <w:t xml:space="preserve">Journal of Business &amp; Economic Statistics</w:t>
      </w:r>
      <w:r>
        <w:t xml:space="preserve">,</w:t>
      </w:r>
      <w:r>
        <w:t xml:space="preserve"> </w:t>
      </w:r>
      <w:r>
        <w:rPr>
          <w:iCs/>
          <w:i/>
        </w:rPr>
        <w:t xml:space="preserve">7</w:t>
      </w:r>
      <w:r>
        <w:t xml:space="preserve">(2), 147-159. https://doi.org/10.1080/07350015.1989.10509723</w:t>
      </w:r>
    </w:p>
    <w:p>
      <w:pPr>
        <w:numPr>
          <w:ilvl w:val="0"/>
          <w:numId w:val="1008"/>
        </w:numPr>
        <w:pStyle w:val="Compact"/>
      </w:pPr>
      <w:r>
        <w:t xml:space="preserve">Sims, C. A. (1980). Macroeconomics and reality.</w:t>
      </w:r>
      <w:r>
        <w:t xml:space="preserve"> </w:t>
      </w:r>
      <w:r>
        <w:rPr>
          <w:iCs/>
          <w:i/>
        </w:rPr>
        <w:t xml:space="preserve">Econometrica</w:t>
      </w:r>
      <w:r>
        <w:t xml:space="preserve">,</w:t>
      </w:r>
      <w:r>
        <w:t xml:space="preserve"> </w:t>
      </w:r>
      <w:r>
        <w:rPr>
          <w:iCs/>
          <w:i/>
        </w:rPr>
        <w:t xml:space="preserve">48</w:t>
      </w:r>
      <w:r>
        <w:t xml:space="preserve">(1), 1-48. https://doi.org/10.2307/1912017</w:t>
      </w:r>
    </w:p>
    <w:p>
      <w:pPr>
        <w:numPr>
          <w:ilvl w:val="0"/>
          <w:numId w:val="1008"/>
        </w:numPr>
        <w:pStyle w:val="Compact"/>
      </w:pPr>
      <w:r>
        <w:t xml:space="preserve">Sims, C. A., Stock, J. H., y Watson, M. W. (1990). Inference in linear time series models with some unit roots.</w:t>
      </w:r>
      <w:r>
        <w:t xml:space="preserve"> </w:t>
      </w:r>
      <w:r>
        <w:rPr>
          <w:iCs/>
          <w:i/>
        </w:rPr>
        <w:t xml:space="preserve">Econometrica</w:t>
      </w:r>
      <w:r>
        <w:t xml:space="preserve">,</w:t>
      </w:r>
      <w:r>
        <w:t xml:space="preserve"> </w:t>
      </w:r>
      <w:r>
        <w:rPr>
          <w:iCs/>
          <w:i/>
        </w:rPr>
        <w:t xml:space="preserve">58</w:t>
      </w:r>
      <w:r>
        <w:t xml:space="preserve">(1), 113-144. https://doi.org/10.2307/2938337</w:t>
      </w:r>
    </w:p>
    <w:p>
      <w:pPr>
        <w:numPr>
          <w:ilvl w:val="0"/>
          <w:numId w:val="1008"/>
        </w:numPr>
        <w:pStyle w:val="Compact"/>
      </w:pPr>
      <w:r>
        <w:t xml:space="preserve">Thirlwall, A. P. (1979). The balance of payments constraint as an explanation of international growth rate differences.</w:t>
      </w:r>
      <w:r>
        <w:t xml:space="preserve"> </w:t>
      </w:r>
      <w:r>
        <w:rPr>
          <w:iCs/>
          <w:i/>
        </w:rPr>
        <w:t xml:space="preserve">Banca Nazionale del Lavoro Quarterly Review</w:t>
      </w:r>
      <w:r>
        <w:t xml:space="preserve">,</w:t>
      </w:r>
      <w:r>
        <w:t xml:space="preserve"> </w:t>
      </w:r>
      <w:r>
        <w:rPr>
          <w:iCs/>
          <w:i/>
        </w:rPr>
        <w:t xml:space="preserve">32</w:t>
      </w:r>
      <w:r>
        <w:t xml:space="preserve">(128), 45-53.</w:t>
      </w:r>
    </w:p>
    <w:p>
      <w:pPr>
        <w:numPr>
          <w:ilvl w:val="0"/>
          <w:numId w:val="1008"/>
        </w:numPr>
        <w:pStyle w:val="Compact"/>
      </w:pPr>
      <w:r>
        <w:t xml:space="preserve">Trehan, B., y Walsh, C. E. (1991). Testing intertemporal budget constraints: Theory and applications to U.S. federal budget and current account deficits.</w:t>
      </w:r>
      <w:r>
        <w:t xml:space="preserve"> </w:t>
      </w:r>
      <w:r>
        <w:rPr>
          <w:iCs/>
          <w:i/>
        </w:rPr>
        <w:t xml:space="preserve">Journal of Money, Credit and Banking</w:t>
      </w:r>
      <w:r>
        <w:t xml:space="preserve">,</w:t>
      </w:r>
      <w:r>
        <w:t xml:space="preserve"> </w:t>
      </w:r>
      <w:r>
        <w:rPr>
          <w:iCs/>
          <w:i/>
        </w:rPr>
        <w:t xml:space="preserve">23</w:t>
      </w:r>
      <w:r>
        <w:t xml:space="preserve">(2), 206-223. https://doi.org/10.2307/1992777</w:t>
      </w:r>
    </w:p>
    <w:p>
      <w:pPr>
        <w:numPr>
          <w:ilvl w:val="0"/>
          <w:numId w:val="1008"/>
        </w:numPr>
        <w:pStyle w:val="Compac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numPr>
          <w:ilvl w:val="0"/>
          <w:numId w:val="1008"/>
        </w:numPr>
        <w:pStyle w:val="Compact"/>
      </w:pPr>
      <w:r>
        <w:t xml:space="preserve">Wijayanti, R., y Rachmanira, S. (2020). Early warning system for government debt crisis in developing countries.</w:t>
      </w:r>
      <w:r>
        <w:t xml:space="preserve"> </w:t>
      </w:r>
      <w:r>
        <w:rPr>
          <w:iCs/>
          <w:i/>
        </w:rPr>
        <w:t xml:space="preserve">Journal of Central Banking Theory and Practice</w:t>
      </w:r>
      <w:r>
        <w:t xml:space="preserve">,</w:t>
      </w:r>
      <w:r>
        <w:t xml:space="preserve"> </w:t>
      </w:r>
      <w:r>
        <w:rPr>
          <w:iCs/>
          <w:i/>
        </w:rPr>
        <w:t xml:space="preserve">9</w:t>
      </w:r>
      <w:r>
        <w:t xml:space="preserve">(número especial 1), 103-124. https://doi.org/10.2478/jcbtp-2020-0025</w:t>
      </w:r>
    </w:p>
    <w:p>
      <w:pPr>
        <w:numPr>
          <w:ilvl w:val="0"/>
          <w:numId w:val="1008"/>
        </w:numPr>
        <w:pStyle w:val="Compac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p>
      <w:pPr>
        <w:numPr>
          <w:ilvl w:val="0"/>
          <w:numId w:val="1008"/>
        </w:numPr>
        <w:pStyle w:val="Compact"/>
      </w:pPr>
      <w:r>
        <w:t xml:space="preserve">Zivot, E., y Andrews, D. W. K. (1992). Further evidence on the great crash, the oil-price shock, and the unit-root hypothesis.</w:t>
      </w:r>
      <w:r>
        <w:t xml:space="preserve"> </w:t>
      </w:r>
      <w:r>
        <w:rPr>
          <w:iCs/>
          <w:i/>
        </w:rPr>
        <w:t xml:space="preserve">Journal of Business and Economic Statistics</w:t>
      </w:r>
      <w:r>
        <w:t xml:space="preserve">,</w:t>
      </w:r>
      <w:r>
        <w:t xml:space="preserve"> </w:t>
      </w:r>
      <w:r>
        <w:rPr>
          <w:iCs/>
          <w:i/>
        </w:rPr>
        <w:t xml:space="preserve">10</w:t>
      </w:r>
      <w:r>
        <w:t xml:space="preserve">(3), 251-270. https://doi.org/10.1080/07350015.1992.10509904</w:t>
      </w:r>
    </w:p>
    <w:p>
      <w:r>
        <w:pict>
          <v:rect style="width:0;height:1.5pt" o:hralign="center" o:hrstd="t" o:hr="t"/>
        </w:pict>
      </w:r>
    </w:p>
    <w:bookmarkEnd w:id="139"/>
    <w:bookmarkStart w:id="146" w:name="X94fa00cbba88d80644c76c995e4abd03512405e"/>
    <w:p>
      <w:pPr>
        <w:pStyle w:val="Heading1"/>
      </w:pPr>
      <w:r>
        <w:t xml:space="preserve">Notas para el grupo (no forman parte del texto de la tesis)</w:t>
      </w:r>
    </w:p>
    <w:bookmarkStart w:id="140" w:name="Xe7002bb9638089656e0a1b406a1cb785342ca29"/>
    <w:p>
      <w:pPr>
        <w:pStyle w:val="Heading2"/>
      </w:pPr>
      <w:r>
        <w:t xml:space="preserve">Nota 1. Criterio de H1b (actualizado el 12/10/2026)</w:t>
      </w:r>
    </w:p>
    <w:p>
      <w:pPr>
        <w:pStyle w:val="FirstParagraph"/>
      </w:pPr>
      <w:r>
        <w:rPr>
          <w:bCs/>
          <w:b/>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Cs/>
          <w:b/>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Cs/>
          <w:b/>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Cs/>
          <w:b/>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40"/>
    <w:bookmarkStart w:id="141"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0,501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de 90% que excluyen el cero; con la corrección de Bonferroni solo lo sigue haciendo la senda de 2022-2025 (Capítulo 6).</w:t>
      </w:r>
    </w:p>
    <w:bookmarkEnd w:id="141"/>
    <w:bookmarkStart w:id="142" w:name="Xdc62a78a0129496ecd1fbc5ea8002834bc8b4bf"/>
    <w:p>
      <w:pPr>
        <w:pStyle w:val="Heading2"/>
      </w:pPr>
      <w:r>
        <w:t xml:space="preserve">Nota 3. Cambios respecto de la versión anterior del texto</w:t>
      </w:r>
    </w:p>
    <w:p>
      <w:pPr>
        <w:pStyle w:val="FirstParagraph"/>
      </w:pPr>
      <w:r>
        <w:rPr>
          <w:bCs/>
          <w:b/>
        </w:rPr>
        <w:t xml:space="preserve">Introducción:</w:t>
      </w:r>
    </w:p>
    <w:p>
      <w:pPr>
        <w:numPr>
          <w:ilvl w:val="0"/>
          <w:numId w:val="1009"/>
        </w:numPr>
        <w:pStyle w:val="Compact"/>
      </w:pPr>
      <w:r>
        <w:rPr>
          <w:bCs/>
          <w:b/>
        </w:rPr>
        <w:t xml:space="preserve">Coyuntura actualizada:</w:t>
      </w:r>
      <w:r>
        <w:t xml:space="preserve"> </w:t>
      </w:r>
      <w:r>
        <w:t xml:space="preserve">“</w:t>
      </w:r>
      <w:r>
        <w:t xml:space="preserve">administración ingresante</w:t>
      </w:r>
      <w:r>
        <w:t xml:space="preserve">”</w:t>
      </w:r>
      <w:r>
        <w:t xml:space="preserve"> </w:t>
      </w:r>
      <w:r>
        <w:t xml:space="preserve">pasó a</w:t>
      </w:r>
      <w:r>
        <w:t xml:space="preserve"> </w:t>
      </w:r>
      <w:r>
        <w:t xml:space="preserve">“</w:t>
      </w:r>
      <w:r>
        <w:t xml:space="preserve">la que asumió en diciembre de 2023</w:t>
      </w:r>
      <w:r>
        <w:t xml:space="preserve">”</w:t>
      </w:r>
      <w:r>
        <w:t xml:space="preserve">, y se usan datos de la OPC de julio de 2026.</w:t>
      </w:r>
    </w:p>
    <w:p>
      <w:pPr>
        <w:numPr>
          <w:ilvl w:val="0"/>
          <w:numId w:val="1009"/>
        </w:numPr>
        <w:pStyle w:val="Compact"/>
      </w:pPr>
      <w:r>
        <w:rPr>
          <w:bCs/>
          <w:b/>
        </w:rPr>
        <w:t xml:space="preserve">Citas corregidas:</w:t>
      </w:r>
    </w:p>
    <w:p>
      <w:pPr>
        <w:numPr>
          <w:ilvl w:val="1"/>
          <w:numId w:val="1010"/>
        </w:numPr>
        <w:pStyle w:val="Compact"/>
      </w:pPr>
      <w:r>
        <w:t xml:space="preserve">Reinhart et al. (2003) se usa ahora para la intolerancia a la deuda.</w:t>
      </w:r>
    </w:p>
    <w:p>
      <w:pPr>
        <w:numPr>
          <w:ilvl w:val="1"/>
          <w:numId w:val="1010"/>
        </w:numPr>
        <w:pStyle w:val="Compact"/>
      </w:pPr>
      <w:r>
        <w:t xml:space="preserve">Mendoza y Oviedo (2009), para la incertidumbre y el límite de deuda.</w:t>
      </w:r>
    </w:p>
    <w:p>
      <w:pPr>
        <w:numPr>
          <w:ilvl w:val="1"/>
          <w:numId w:val="1010"/>
        </w:numPr>
        <w:pStyle w:val="Compact"/>
      </w:pPr>
      <w:r>
        <w:t xml:space="preserve">La fatiga fiscal pasa a Ghosh et al. (2013).</w:t>
      </w:r>
    </w:p>
    <w:p>
      <w:pPr>
        <w:numPr>
          <w:ilvl w:val="1"/>
          <w:numId w:val="1010"/>
        </w:numPr>
        <w:pStyle w:val="Compact"/>
      </w:pPr>
      <w:r>
        <w:t xml:space="preserve">Ando et al. queda con año 2025.</w:t>
      </w:r>
    </w:p>
    <w:p>
      <w:pPr>
        <w:numPr>
          <w:ilvl w:val="1"/>
          <w:numId w:val="1010"/>
        </w:numPr>
        <w:pStyle w:val="Compact"/>
      </w:pPr>
      <w:r>
        <w:t xml:space="preserve">Se sacan Garud y la tesis propia.</w:t>
      </w:r>
    </w:p>
    <w:p>
      <w:pPr>
        <w:numPr>
          <w:ilvl w:val="0"/>
          <w:numId w:val="1009"/>
        </w:numPr>
        <w:pStyle w:val="Compact"/>
      </w:pPr>
      <w:r>
        <w:rPr>
          <w:bCs/>
          <w:b/>
        </w:rPr>
        <w:t xml:space="preserve">Canal cuasifiscal del shock de la FED:</w:t>
      </w:r>
      <w:r>
        <w:t xml:space="preserve"> </w:t>
      </w:r>
      <w:r>
        <w:t xml:space="preserve">se redacta en pasado.</w:t>
      </w:r>
    </w:p>
    <w:p>
      <w:pPr>
        <w:numPr>
          <w:ilvl w:val="0"/>
          <w:numId w:val="1009"/>
        </w:numPr>
        <w:pStyle w:val="Compact"/>
      </w:pPr>
      <w:r>
        <w:rPr>
          <w:bCs/>
          <w:b/>
        </w:rPr>
        <w:t xml:space="preserve">Pregunta e hipótesis:</w:t>
      </w:r>
      <w:r>
        <w:t xml:space="preserve"> </w:t>
      </w:r>
      <w:r>
        <w:t xml:space="preserve">se acorta la pregunta, se agregan seis objetivos específicos, y H1a mantiene su concepto central con un criterio de contraste explícito (Capítulo 4).</w:t>
      </w:r>
    </w:p>
    <w:p>
      <w:pPr>
        <w:numPr>
          <w:ilvl w:val="0"/>
          <w:numId w:val="1009"/>
        </w:numPr>
        <w:pStyle w:val="Compact"/>
      </w:pPr>
      <w:r>
        <w:rPr>
          <w:bCs/>
          <w:b/>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el período de estudio es 1996-2025 en todo el texto y la proyección, 2026-2035.</w:t>
      </w:r>
    </w:p>
    <w:p>
      <w:pPr>
        <w:numPr>
          <w:ilvl w:val="0"/>
          <w:numId w:val="1009"/>
        </w:numPr>
        <w:pStyle w:val="Compact"/>
      </w:pPr>
      <w:r>
        <w:rPr>
          <w:bCs/>
          <w:b/>
        </w:rPr>
        <w:t xml:space="preserve">Del texto LaTeX:</w:t>
      </w:r>
      <w:r>
        <w:t xml:space="preserve"> </w:t>
      </w:r>
      <w:r>
        <w:t xml:space="preserve">se suman la Justificación (Ley 27.612) y la organización por capítulos.</w:t>
      </w:r>
    </w:p>
    <w:p>
      <w:pPr>
        <w:pStyle w:val="FirstParagraph"/>
      </w:pPr>
      <w:r>
        <w:rPr>
          <w:bCs/>
          <w:b/>
        </w:rPr>
        <w:t xml:space="preserve">Antecedentes:</w:t>
      </w:r>
    </w:p>
    <w:p>
      <w:pPr>
        <w:numPr>
          <w:ilvl w:val="0"/>
          <w:numId w:val="1011"/>
        </w:numPr>
        <w:pStyle w:val="Compact"/>
      </w:pPr>
      <w:r>
        <w:rPr>
          <w:bCs/>
          <w:b/>
        </w:rPr>
        <w:t xml:space="preserve">Fusión con el texto LaTeX:</w:t>
      </w:r>
      <w:r>
        <w:t xml:space="preserve"> </w:t>
      </w:r>
      <w:r>
        <w:t xml:space="preserve">se fusionaron los ocho ejes del LaTeX con la versión anterior, incluido el párrafo sobre Everaert y Jansen.</w:t>
      </w:r>
    </w:p>
    <w:p>
      <w:pPr>
        <w:numPr>
          <w:ilvl w:val="0"/>
          <w:numId w:val="1011"/>
        </w:numPr>
        <w:pStyle w:val="Compact"/>
      </w:pPr>
      <w:r>
        <w:rPr>
          <w:bCs/>
          <w:b/>
        </w:rPr>
        <w:t xml:space="preserve">Porcentaje en Hébert y Schreger:</w:t>
      </w:r>
      <w:r>
        <w:t xml:space="preserve"> </w:t>
      </w:r>
      <w:r>
        <w:t xml:space="preserve">se corrigió a</w:t>
      </w:r>
      <w:r>
        <w:t xml:space="preserve"> </w:t>
      </w:r>
      <w:r>
        <w:t xml:space="preserve">“</w:t>
      </w:r>
      <w:r>
        <w:t xml:space="preserve">10 puntos porcentuales</w:t>
      </w:r>
      <w:r>
        <w:t xml:space="preserve">”</w:t>
      </w:r>
      <w:r>
        <w:t xml:space="preserve">.</w:t>
      </w:r>
    </w:p>
    <w:p>
      <w:pPr>
        <w:numPr>
          <w:ilvl w:val="0"/>
          <w:numId w:val="1011"/>
        </w:numPr>
        <w:pStyle w:val="Compact"/>
      </w:pPr>
      <w:r>
        <w:rPr>
          <w:bCs/>
          <w:b/>
        </w:rPr>
        <w:t xml:space="preserve">Cifras del FMI:</w:t>
      </w:r>
      <w:r>
        <w:t xml:space="preserve"> </w:t>
      </w:r>
      <w:r>
        <w:t xml:space="preserve">las del salto de 2023 se apoyan ahora en el informe de 2025, y las de 2024 quedan marcadas para verificar.</w:t>
      </w:r>
    </w:p>
    <w:p>
      <w:pPr>
        <w:pStyle w:val="FirstParagraph"/>
      </w:pPr>
      <w:r>
        <w:rPr>
          <w:bCs/>
          <w:b/>
        </w:rPr>
        <w:t xml:space="preserve">Vacancia:</w:t>
      </w:r>
    </w:p>
    <w:p>
      <w:pPr>
        <w:numPr>
          <w:ilvl w:val="0"/>
          <w:numId w:val="1012"/>
        </w:numPr>
        <w:pStyle w:val="Compact"/>
      </w:pPr>
      <w:r>
        <w:rPr>
          <w:bCs/>
          <w:b/>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Cs/>
          <w:i/>
        </w:rPr>
        <w:t xml:space="preserve">shocks</w:t>
      </w:r>
      <w:r>
        <w:t xml:space="preserve"> </w:t>
      </w:r>
      <w:r>
        <w:t xml:space="preserve">identificados cuyo resultado es la métrica del FMI sobre su propio perímetro y escenario, con el perímetro consolidado como extensión.</w:t>
      </w:r>
    </w:p>
    <w:p>
      <w:pPr>
        <w:numPr>
          <w:ilvl w:val="0"/>
          <w:numId w:val="1012"/>
        </w:numPr>
        <w:pStyle w:val="Compact"/>
      </w:pPr>
      <w:r>
        <w:rPr>
          <w:bCs/>
          <w:b/>
        </w:rPr>
        <w:t xml:space="preserve">Párrafo cortado:</w:t>
      </w:r>
      <w:r>
        <w:t xml:space="preserve"> </w:t>
      </w:r>
      <w:r>
        <w:t xml:space="preserve">el párrafo sobre la subordinación del BCRA, que estaba cortado, se completó y quedó marcado para verificar.</w:t>
      </w:r>
    </w:p>
    <w:bookmarkEnd w:id="142"/>
    <w:bookmarkStart w:id="143" w:name="X5356dde57f307558a0c9819d9bda278c8d20a6f"/>
    <w:p>
      <w:pPr>
        <w:pStyle w:val="Heading2"/>
      </w:pPr>
      <w:r>
        <w:t xml:space="preserve">Nota 3b. Qué se hizo con cada comentario de Pablo y cada punto de la propuesta metodológica</w:t>
      </w:r>
    </w:p>
    <w:p>
      <w:pPr>
        <w:pStyle w:val="FirstParagraph"/>
      </w:pPr>
      <w:r>
        <w:rPr>
          <w:bCs/>
          <w:b/>
        </w:rPr>
        <w:t xml:space="preserve">Comentarios de Pablo sobre Introducción y Antecedentes (PDF anotado del 15/9/2026)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Comentario</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Dar citas para el patrón histórico de crisis de deuda</w:t>
            </w:r>
          </w:p>
        </w:tc>
        <w:tc>
          <w:tcPr/>
          <w:p>
            <w:pPr>
              <w:pStyle w:val="Compact"/>
              <w:jc w:val="left"/>
            </w:pPr>
            <w:r>
              <w:rPr>
                <w:rFonts w:ascii="Calibri" w:hAnsi="Calibri"/>
                <w:sz w:val="20"/>
              </w:rPr>
              <w:t xml:space="preserve">Comín Comín (2014), Reinhart y Rogoff (2009), Díaz Alejandro (1970), della Paolera y Taylor (2001), Rapoport (2020)</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La frase sobre que la solvencia no depende solo del saldo fiscal necesita cita</w:t>
            </w:r>
          </w:p>
        </w:tc>
        <w:tc>
          <w:tcPr/>
          <w:p>
            <w:pPr>
              <w:pStyle w:val="Compact"/>
              <w:jc w:val="left"/>
            </w:pPr>
            <w:r>
              <w:rPr>
                <w:rFonts w:ascii="Calibri" w:hAnsi="Calibri"/>
                <w:sz w:val="20"/>
              </w:rPr>
              <w:t xml:space="preserve">Ando et al. (2025), Calvo et al. (2003), Levy Yeyati y Sturzenegger (2023)</w:t>
            </w:r>
          </w:p>
        </w:tc>
        <w:tc>
          <w:tcPr/>
          <w:p>
            <w:pPr>
              <w:pStyle w:val="Compact"/>
              <w:jc w:val="left"/>
            </w:pPr>
            <w:r>
              <w:rPr>
                <w:rFonts w:ascii="Calibri" w:hAnsi="Calibri"/>
                <w:sz w:val="20"/>
              </w:rPr>
              <w:t xml:space="preserve">1.2</w:t>
            </w:r>
          </w:p>
        </w:tc>
      </w:tr>
      <w:tr>
        <w:tc>
          <w:tcPr/>
          <w:p>
            <w:pPr>
              <w:pStyle w:val="Compact"/>
              <w:jc w:val="lef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w:t>
            </w:r>
            <w:r>
              <w:rPr>
                <w:rFonts w:ascii="Calibri" w:hAnsi="Calibri"/>
                <w:sz w:val="20"/>
              </w:rPr>
              <w:t xml:space="preserve">reabre un interrogante decisivo</w:t>
            </w:r>
            <w:r>
              <w:rPr>
                <w:rFonts w:ascii="Calibri" w:hAnsi="Calibri"/>
                <w:sz w:val="20"/>
              </w:rPr>
              <w:t xml:space="preserve">”</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w:t>
            </w:r>
            <w:r>
              <w:rPr>
                <w:rFonts w:ascii="Calibri" w:hAnsi="Calibri"/>
                <w:sz w:val="20"/>
              </w:rPr>
              <w:t xml:space="preserve">Frente a este dilema</w:t>
            </w:r>
            <w:r>
              <w:rPr>
                <w:rFonts w:ascii="Calibri" w:hAnsi="Calibri"/>
                <w:sz w:val="20"/>
              </w:rPr>
              <w:t xml:space="preserve">”</w:t>
            </w:r>
          </w:p>
        </w:tc>
        <w:tc>
          <w:tcPr/>
          <w:p>
            <w:pPr>
              <w:pStyle w:val="Compact"/>
              <w:jc w:val="left"/>
            </w:pPr>
            <w:r>
              <w:rPr>
                <w:rFonts w:ascii="Calibri" w:hAnsi="Calibri"/>
                <w:sz w:val="20"/>
              </w:rPr>
              <w:t xml:space="preserve">Reescrito</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Sacar la parte de</w:t>
            </w:r>
            <w:r>
              <w:rPr>
                <w:rFonts w:ascii="Calibri" w:hAnsi="Calibri"/>
                <w:sz w:val="20"/>
              </w:rPr>
              <w:t xml:space="preserve"> </w:t>
            </w:r>
            <w:r>
              <w:rPr>
                <w:rFonts w:ascii="Calibri" w:hAnsi="Calibri"/>
                <w:sz w:val="20"/>
              </w:rPr>
              <w:t xml:space="preserve">“</w:t>
            </w:r>
            <w:r>
              <w:rPr>
                <w:rFonts w:ascii="Calibri" w:hAnsi="Calibri"/>
                <w:sz w:val="20"/>
              </w:rPr>
              <w:t xml:space="preserve">margen de solvencia para honrar los compromisos</w:t>
            </w:r>
            <w:r>
              <w:rPr>
                <w:rFonts w:ascii="Calibri" w:hAnsi="Calibri"/>
                <w:sz w:val="20"/>
              </w:rPr>
              <w:t xml:space="preserve">”</w:t>
            </w:r>
            <w:r>
              <w:rPr>
                <w:rFonts w:ascii="Calibri" w:hAnsi="Calibri"/>
                <w:sz w:val="20"/>
              </w:rPr>
              <w:t xml:space="preserve"> </w:t>
            </w:r>
            <w:r>
              <w:rPr>
                <w:rFonts w:ascii="Calibri" w:hAnsi="Calibri"/>
                <w:sz w:val="20"/>
              </w:rPr>
              <w:t xml:space="preserve">del objetivo</w:t>
            </w:r>
          </w:p>
        </w:tc>
        <w:tc>
          <w:tcPr/>
          <w:p>
            <w:pPr>
              <w:pStyle w:val="Compact"/>
              <w:jc w:val="left"/>
            </w:pPr>
            <w:r>
              <w:rPr>
                <w:rFonts w:ascii="Calibri" w:hAnsi="Calibri"/>
                <w:sz w:val="20"/>
              </w:rPr>
              <w:t xml:space="preserve">Sacada; el objetivo quedó en evaluar la dinámica y estimar la probabilidad de no estabilización</w:t>
            </w:r>
          </w:p>
        </w:tc>
        <w:tc>
          <w:tcPr/>
          <w:p>
            <w:pPr>
              <w:pStyle w:val="Compact"/>
              <w:jc w:val="left"/>
            </w:pPr>
            <w:r>
              <w:rPr>
                <w:rFonts w:ascii="Calibri" w:hAnsi="Calibri"/>
                <w:sz w:val="20"/>
              </w:rPr>
              <w:t xml:space="preserve">1.4</w:t>
            </w:r>
          </w:p>
        </w:tc>
      </w:tr>
      <w:tr>
        <w:tc>
          <w:tcPr/>
          <w:p>
            <w:pPr>
              <w:pStyle w:val="Compact"/>
              <w:jc w:val="left"/>
            </w:pPr>
            <w:r>
              <w:rPr>
                <w:iCs/>
                <w:rFonts w:ascii="Calibri" w:hAnsi="Calibri"/>
                <w:i/>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iCs/>
                <w:rFonts w:ascii="Calibri" w:hAnsi="Calibri"/>
                <w:i/>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Introducción y 2.5</w:t>
            </w:r>
          </w:p>
        </w:tc>
      </w:tr>
      <w:tr>
        <w:tc>
          <w:tcPr/>
          <w:p>
            <w:pPr>
              <w:pStyle w:val="Compact"/>
              <w:jc w:val="lef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w:t>
            </w:r>
            <w:r>
              <w:rPr>
                <w:rFonts w:ascii="Calibri" w:hAnsi="Calibri"/>
                <w:sz w:val="20"/>
              </w:rPr>
              <w:t xml:space="preserve">de 36,5% a 50,8%</w:t>
            </w:r>
            <w:r>
              <w:rPr>
                <w:rFonts w:ascii="Calibri" w:hAnsi="Calibri"/>
                <w:sz w:val="20"/>
              </w:rPr>
              <w:t xml:space="preserve">”</w:t>
            </w:r>
          </w:p>
        </w:tc>
        <w:tc>
          <w:tcPr/>
          <w:p>
            <w:pPr>
              <w:pStyle w:val="Compact"/>
              <w:jc w:val="left"/>
            </w:pPr>
            <w:r>
              <w:rPr>
                <w:rFonts w:ascii="Calibri" w:hAnsi="Calibri"/>
                <w:sz w:val="20"/>
              </w:rPr>
              <w:t xml:space="preserve">Sacado</w:t>
            </w:r>
          </w:p>
        </w:tc>
        <w:tc>
          <w:tcPr/>
          <w:p>
            <w:pPr>
              <w:pStyle w:val="Compact"/>
              <w:jc w:val="left"/>
            </w:pPr>
            <w:r>
              <w:rPr>
                <w:rFonts w:ascii="Calibri" w:hAnsi="Calibri"/>
                <w:sz w:val="20"/>
              </w:rPr>
              <w:t xml:space="preserve">2.7</w:t>
            </w:r>
          </w:p>
        </w:tc>
      </w:tr>
      <w:tr>
        <w:tc>
          <w:tcPr/>
          <w:p>
            <w:pPr>
              <w:pStyle w:val="Compact"/>
              <w:jc w:val="left"/>
            </w:pPr>
            <w:r>
              <w:rPr>
                <w:rFonts w:ascii="Calibri" w:hAnsi="Calibri"/>
                <w:sz w:val="20"/>
              </w:rPr>
              <w:t xml:space="preserve">Cerrar Antecedentes con por qué esta metodología y estas variables (no se probó, cambió el contexto, hay una variable nueva)</w:t>
            </w:r>
          </w:p>
        </w:tc>
        <w:tc>
          <w:tcPr/>
          <w:p>
            <w:pPr>
              <w:pStyle w:val="Compact"/>
              <w:jc w:val="lef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jc w:val="left"/>
            </w:pPr>
            <w:r>
              <w:rPr>
                <w:rFonts w:ascii="Calibri" w:hAnsi="Calibri"/>
                <w:sz w:val="20"/>
              </w:rPr>
              <w:t xml:space="preserve">2.9</w:t>
            </w:r>
          </w:p>
        </w:tc>
      </w:tr>
    </w:tbl>
    <w:p>
      <w:pPr>
        <w:pStyle w:val="BodyText"/>
      </w:pPr>
      <w:r>
        <w:rPr>
          <w:bCs/>
          <w:b/>
        </w:rPr>
        <w:t xml:space="preserve">Decisiones de reuniones con Pablo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No nombrar la</w:t>
            </w:r>
            <w:r>
              <w:rPr>
                <w:rFonts w:ascii="Calibri" w:hAnsi="Calibri"/>
                <w:sz w:val="20"/>
              </w:rPr>
              <w:t xml:space="preserve"> </w:t>
            </w:r>
            <w:r>
              <w:rPr>
                <w:rFonts w:ascii="Calibri" w:hAnsi="Calibri"/>
                <w:sz w:val="20"/>
              </w:rPr>
              <w:t xml:space="preserve">“</w:t>
            </w:r>
            <w:r>
              <w:rPr>
                <w:rFonts w:ascii="Calibri" w:hAnsi="Calibri"/>
                <w:sz w:val="20"/>
              </w:rPr>
              <w:t xml:space="preserve">ventana única</w:t>
            </w:r>
            <w:r>
              <w:rPr>
                <w:rFonts w:ascii="Calibri" w:hAnsi="Calibri"/>
                <w:sz w:val="20"/>
              </w:rPr>
              <w:t xml:space="preserve">”</w:t>
            </w:r>
            <w:r>
              <w:rPr>
                <w:rFonts w:ascii="Calibri" w:hAnsi="Calibri"/>
                <w:sz w:val="20"/>
              </w:rPr>
              <w:t xml:space="preserve"> </w:t>
            </w:r>
            <w:r>
              <w:rPr>
                <w:rFonts w:ascii="Calibri" w:hAnsi="Calibri"/>
                <w:sz w:val="20"/>
              </w:rPr>
              <w:t xml:space="preserve">(18/9)</w:t>
            </w:r>
          </w:p>
        </w:tc>
        <w:tc>
          <w:tcPr/>
          <w:p>
            <w:pPr>
              <w:pStyle w:val="Compact"/>
              <w:jc w:val="left"/>
            </w:pPr>
            <w:r>
              <w:rPr>
                <w:rFonts w:ascii="Calibri" w:hAnsi="Calibri"/>
                <w:sz w:val="20"/>
              </w:rPr>
              <w:t xml:space="preserve">La expresión no aparece; el texto dice siempre 1996-2025 para el estudio y 2026-2035 para la proyección</w:t>
            </w:r>
          </w:p>
        </w:tc>
      </w:tr>
      <w:tr>
        <w:tc>
          <w:tcPr/>
          <w:p>
            <w:pPr>
              <w:pStyle w:val="Compact"/>
              <w:jc w:val="left"/>
            </w:pPr>
            <w:r>
              <w:rPr>
                <w:rFonts w:ascii="Calibri" w:hAnsi="Calibri"/>
                <w:sz w:val="20"/>
              </w:rPr>
              <w:t xml:space="preserve">No discutir en el texto si el riesgo país es endógeno (17/9)</w:t>
            </w:r>
          </w:p>
        </w:tc>
        <w:tc>
          <w:tcPr/>
          <w:p>
            <w:pPr>
              <w:pStyle w:val="Compact"/>
              <w:jc w:val="left"/>
            </w:pPr>
            <w:r>
              <w:rPr>
                <w:rFonts w:ascii="Calibri" w:hAnsi="Calibri"/>
                <w:sz w:val="20"/>
              </w:rPr>
              <w:t xml:space="preserve">No aparece; queda como respuesta oral en la guía de defensa</w:t>
            </w:r>
          </w:p>
        </w:tc>
      </w:tr>
      <w:tr>
        <w:tc>
          <w:tcPr/>
          <w:p>
            <w:pPr>
              <w:pStyle w:val="Compact"/>
              <w:jc w:val="lef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w:t>
            </w:r>
            <w:r>
              <w:rPr>
                <w:rFonts w:ascii="Calibri" w:hAnsi="Calibri"/>
                <w:sz w:val="20"/>
              </w:rPr>
              <w:t xml:space="preserve">donde gira todo</w:t>
            </w:r>
            <w:r>
              <w:rPr>
                <w:rFonts w:ascii="Calibri" w:hAnsi="Calibri"/>
                <w:sz w:val="20"/>
              </w:rPr>
              <w:t xml:space="preserve">”</w:t>
            </w:r>
          </w:p>
        </w:tc>
        <w:tc>
          <w:tcPr/>
          <w:p>
            <w:pPr>
              <w:pStyle w:val="Compact"/>
              <w:jc w:val="left"/>
            </w:pPr>
            <w:r>
              <w:rPr>
                <w:rFonts w:ascii="Calibri" w:hAnsi="Calibri"/>
                <w:sz w:val="20"/>
              </w:rPr>
              <w:t xml:space="preserve">Secciones 4.4 (identificación) y 4.3 (canales de la FED)</w:t>
            </w:r>
          </w:p>
        </w:tc>
      </w:tr>
      <w:tr>
        <w:tc>
          <w:tcPr/>
          <w:p>
            <w:pPr>
              <w:pStyle w:val="Compact"/>
              <w:jc w:val="left"/>
            </w:pPr>
            <w:r>
              <w:rPr>
                <w:rFonts w:ascii="Calibri" w:hAnsi="Calibri"/>
                <w:sz w:val="20"/>
              </w:rPr>
              <w:t xml:space="preserve">Panel Argentina-Chile como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Bajar la extensión</w:t>
            </w:r>
          </w:p>
        </w:tc>
        <w:tc>
          <w:tcPr/>
          <w:p>
            <w:pPr>
              <w:pStyle w:val="Compact"/>
              <w:jc w:val="left"/>
            </w:pPr>
            <w:r>
              <w:rPr>
                <w:rFonts w:ascii="Calibri" w:hAnsi="Calibri"/>
                <w:sz w:val="20"/>
              </w:rPr>
              <w:t xml:space="preserve">La tabla completa de robustez pasó al Apéndice (A.10) y los ejes 2, 3 y 8 de Antecedentes se redujeron a lo esencial</w:t>
            </w:r>
          </w:p>
        </w:tc>
      </w:tr>
    </w:tbl>
    <w:p>
      <w:pPr>
        <w:pStyle w:val="BodyText"/>
      </w:pPr>
      <w:r>
        <w:rPr>
          <w:bCs/>
          <w:b/>
        </w:rPr>
        <w:t xml:space="preserve">Propuesta metodológica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ADF y KPSS para raíz unitaria, Zivot-Andrews y Bai-Perron para quiebres</w:t>
            </w:r>
          </w:p>
        </w:tc>
        <w:tc>
          <w:tcPr/>
          <w:p>
            <w:pPr>
              <w:pStyle w:val="Compact"/>
              <w:jc w:val="left"/>
            </w:pPr>
            <w:r>
              <w:rPr>
                <w:rFonts w:ascii="Calibri" w:hAnsi="Calibri"/>
                <w:sz w:val="20"/>
              </w:rPr>
              <w:t xml:space="preserve">Hecho; los quiebres de Bai-Perron entran como variables binarias</w:t>
            </w:r>
          </w:p>
        </w:tc>
        <w:tc>
          <w:tcPr/>
          <w:p>
            <w:pPr>
              <w:pStyle w:val="Compact"/>
              <w:jc w:val="left"/>
            </w:pPr>
            <w:r>
              <w:rPr>
                <w:rFonts w:ascii="Calibri" w:hAnsi="Calibri"/>
                <w:sz w:val="20"/>
              </w:rPr>
              <w:t xml:space="preserve">4.2, 6.1 y A.3</w:t>
            </w:r>
          </w:p>
        </w:tc>
      </w:tr>
      <w:tr>
        <w:tc>
          <w:tcPr/>
          <w:p>
            <w:pPr>
              <w:pStyle w:val="Compact"/>
              <w:jc w:val="left"/>
            </w:pPr>
            <w:r>
              <w:rPr>
                <w:rFonts w:ascii="Calibri" w:hAnsi="Calibri"/>
                <w:sz w:val="20"/>
              </w:rPr>
              <w:t xml:space="preserve">Selección de rezagos por AIC y BIC con residuos sin autocorrelación</w:t>
            </w:r>
          </w:p>
        </w:tc>
        <w:tc>
          <w:tcPr/>
          <w:p>
            <w:pPr>
              <w:pStyle w:val="Compact"/>
              <w:jc w:val="lef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ningún orden estable pasa la prueba con la muestra corregida; regla de reserva: el estable de mayor p-valor, 2 rezagos (Portmanteau p = 0,031), el mismo orden que elige Hannan-Quinn</w:t>
            </w:r>
          </w:p>
        </w:tc>
        <w:tc>
          <w:tcPr/>
          <w:p>
            <w:pPr>
              <w:pStyle w:val="Compact"/>
              <w:jc w:val="left"/>
            </w:pPr>
            <w:r>
              <w:rPr>
                <w:rFonts w:ascii="Calibri" w:hAnsi="Calibri"/>
                <w:sz w:val="20"/>
              </w:rPr>
              <w:t xml:space="preserve">4.5 y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4.2</w:t>
            </w:r>
          </w:p>
        </w:tc>
      </w:tr>
      <w:tr>
        <w:tc>
          <w:tcPr/>
          <w:p>
            <w:pPr>
              <w:pStyle w:val="Compact"/>
              <w:jc w:val="lef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w:t>
            </w:r>
            <w:r>
              <w:rPr>
                <w:rFonts w:ascii="Calibri" w:hAnsi="Calibri"/>
                <w:sz w:val="20"/>
              </w:rPr>
              <w:t xml:space="preserve">esponja contable</w:t>
            </w:r>
            <w:r>
              <w:rPr>
                <w:rFonts w:ascii="Calibri" w:hAnsi="Calibri"/>
                <w:sz w:val="20"/>
              </w:rPr>
              <w:t xml:space="preserve">”</w:t>
            </w:r>
            <w:r>
              <w:rPr>
                <w:rFonts w:ascii="Calibri" w:hAnsi="Calibri"/>
                <w:sz w:val="20"/>
              </w:rPr>
              <w:t xml:space="preserve"> </w:t>
            </w:r>
            <w:r>
              <w:rPr>
                <w:rFonts w:ascii="Calibri" w:hAnsi="Calibri"/>
                <w:sz w:val="20"/>
              </w:rPr>
              <w:t xml:space="preserve">(retroalimentación)</w:t>
            </w:r>
          </w:p>
        </w:tc>
        <w:tc>
          <w:tcPr/>
          <w:p>
            <w:pPr>
              <w:pStyle w:val="Compact"/>
              <w:jc w:val="lef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bruta sube el EMBI 34,9 puntos básicos, con un intervalo de 90% de 13,9 a 47,6 (con la versión anterior, sin binarias presidenciales, el intervalo incluía el cero)</w:t>
            </w:r>
          </w:p>
        </w:tc>
        <w:tc>
          <w:tcPr/>
          <w:p>
            <w:pPr>
              <w:pStyle w:val="Compact"/>
              <w:jc w:val="left"/>
            </w:pPr>
            <w:r>
              <w:rPr>
                <w:rFonts w:ascii="Calibri" w:hAnsi="Calibri"/>
                <w:sz w:val="20"/>
              </w:rPr>
              <w:t xml:space="preserve">6.1</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 sin retroalimentación, la probabilidad de no estabilización de 2031 es 27,2%, frente a 27,7% con ella</w:t>
            </w:r>
          </w:p>
        </w:tc>
        <w:tc>
          <w:tcPr/>
          <w:p>
            <w:pPr>
              <w:pStyle w:val="Compact"/>
              <w:jc w:val="left"/>
            </w:pPr>
            <w:r>
              <w:rPr>
                <w:rFonts w:ascii="Calibri" w:hAnsi="Calibri"/>
                <w:sz w:val="20"/>
              </w:rPr>
              <w:t xml:space="preserve">6.6 y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identificación principal son restricciones de impacto en la línea de Blanchard y Perotti (2002) para el bloque fiscal y de actividad, con un bloque cambiario y de riesgo (EMBI y TCRM) identificado en conjunto, la que validaron Pablo y el equipo</w:t>
            </w:r>
          </w:p>
        </w:tc>
        <w:tc>
          <w:tcPr/>
          <w:p>
            <w:pPr>
              <w:pStyle w:val="Compact"/>
              <w:jc w:val="left"/>
            </w:pPr>
            <w:r>
              <w:rPr>
                <w:rFonts w:ascii="Calibri" w:hAnsi="Calibri"/>
                <w:sz w:val="20"/>
              </w:rPr>
              <w:t xml:space="preserve">6.6</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la variante con el riesgo país en la tasa en pesos se informa como robustez</w:t>
            </w:r>
          </w:p>
        </w:tc>
        <w:tc>
          <w:tcPr/>
          <w:p>
            <w:pPr>
              <w:pStyle w:val="Compact"/>
              <w:jc w:val="left"/>
            </w:pPr>
            <w:r>
              <w:rPr>
                <w:rFonts w:ascii="Calibri" w:hAnsi="Calibri"/>
                <w:sz w:val="20"/>
              </w:rPr>
              <w:t xml:space="preserve">4.6 y 6.6</w:t>
            </w:r>
          </w:p>
        </w:tc>
      </w:tr>
      <w:tr>
        <w:tc>
          <w:tcPr/>
          <w:p>
            <w:pPr>
              <w:pStyle w:val="Compact"/>
              <w:jc w:val="left"/>
            </w:pPr>
            <w:r>
              <w:rPr>
                <w:rFonts w:ascii="Calibri" w:hAnsi="Calibri"/>
                <w:sz w:val="20"/>
              </w:rPr>
              <w:t xml:space="preserve">Shock de la FED con la tasa sombra</w:t>
            </w:r>
          </w:p>
        </w:tc>
        <w:tc>
          <w:tcPr/>
          <w:p>
            <w:pPr>
              <w:pStyle w:val="Compact"/>
              <w:jc w:val="left"/>
            </w:pPr>
            <w:r>
              <w:rPr>
                <w:rFonts w:ascii="Calibri" w:hAnsi="Calibri"/>
                <w:sz w:val="20"/>
              </w:rPr>
              <w:t xml:space="preserve">Hecho (Wu y Xia, 2016), con el empalme de 2022T1 calculado con la tasa efectiva en ambos trimestres</w:t>
            </w:r>
          </w:p>
        </w:tc>
        <w:tc>
          <w:tcPr/>
          <w:p>
            <w:pPr>
              <w:pStyle w:val="Compact"/>
              <w:jc w:val="left"/>
            </w:pPr>
            <w:r>
              <w:rPr>
                <w:rFonts w:ascii="Calibri" w:hAnsi="Calibri"/>
                <w:sz w:val="20"/>
              </w:rPr>
              <w:t xml:space="preserve">5.4</w:t>
            </w:r>
          </w:p>
        </w:tc>
      </w:tr>
      <w:tr>
        <w:tc>
          <w:tcPr/>
          <w:p>
            <w:pPr>
              <w:pStyle w:val="Compact"/>
              <w:jc w:val="left"/>
            </w:pPr>
            <w:r>
              <w:rPr>
                <w:rFonts w:ascii="Calibri" w:hAnsi="Calibri"/>
                <w:sz w:val="20"/>
              </w:rPr>
              <w:t xml:space="preserve">Shocks de la FED identificados por la literatura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Términos de intercambio (Lanteri, 2019)</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100% no tiene fuente</w:t>
            </w:r>
          </w:p>
        </w:tc>
        <w:tc>
          <w:tcPr/>
          <w:p>
            <w:pPr>
              <w:pStyle w:val="Compact"/>
              <w:jc w:val="left"/>
            </w:pPr>
            <w:r>
              <w:rPr>
                <w:rFonts w:ascii="Calibri" w:hAnsi="Calibri"/>
                <w:sz w:val="20"/>
              </w:rPr>
              <w:t xml:space="preserve">4.7</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(es otra tesis); 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la neutralidad de largo plazo del TCRM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Se usan variables binarias estacionales</w:t>
            </w:r>
          </w:p>
        </w:tc>
        <w:tc>
          <w:tcPr/>
          <w:p>
            <w:pPr>
              <w:pStyle w:val="Compact"/>
              <w:jc w:val="left"/>
            </w:pPr>
            <w:r>
              <w:rPr>
                <w:rFonts w:ascii="Calibri" w:hAnsi="Calibri"/>
                <w:sz w:val="20"/>
              </w:rPr>
              <w:t xml:space="preserve">4.2</w:t>
            </w:r>
          </w:p>
        </w:tc>
      </w:tr>
    </w:tbl>
    <w:bookmarkEnd w:id="143"/>
    <w:bookmarkStart w:id="144"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Perímetro principal (D1)</w:t>
            </w:r>
          </w:p>
        </w:tc>
        <w:tc>
          <w:tcPr/>
          <w:p>
            <w:pPr>
              <w:pStyle w:val="Compact"/>
              <w:jc w:val="lef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jc w:val="left"/>
            </w:pPr>
            <w:r>
              <w:rPr>
                <w:rFonts w:ascii="Calibri" w:hAnsi="Calibri"/>
                <w:sz w:val="20"/>
              </w:rPr>
              <w:t xml:space="preserve">Ventana (D2)</w:t>
            </w:r>
          </w:p>
        </w:tc>
        <w:tc>
          <w:tcPr/>
          <w:p>
            <w:pPr>
              <w:pStyle w:val="Compact"/>
              <w:jc w:val="left"/>
            </w:pPr>
            <w:r>
              <w:rPr>
                <w:rFonts w:ascii="Calibri" w:hAnsi="Calibri"/>
                <w:sz w:val="20"/>
              </w:rPr>
              <w:t xml:space="preserve">1996-2025 para todo el estudio y 2026-2035 para la proyección. El EMBI de 1996T1-1998T3 se empalma con la tasa de préstamos interfinancieros en dólares del BCRA menos la tasa de fondos federales, y el TCRM de 1996 con el tipo de cambio real efectivo amplio del BIS (validación en el Apéndice, A.2). Las ecuaciones se estiman con 1998T2-2025T4 (111 trimestres). Con datos desde 1999, sin empalme, la probabilidad de 2031 es 29,5%, contra 27,7%</w:t>
            </w:r>
          </w:p>
        </w:tc>
      </w:tr>
      <w:tr>
        <w:tc>
          <w:tcPr/>
          <w:p>
            <w:pPr>
              <w:pStyle w:val="Compact"/>
              <w:jc w:val="left"/>
            </w:pPr>
            <w:r>
              <w:rPr>
                <w:rFonts w:ascii="Calibri" w:hAnsi="Calibri"/>
                <w:sz w:val="20"/>
              </w:rPr>
              <w:t xml:space="preserve">Rezagos (D3)</w:t>
            </w:r>
          </w:p>
        </w:tc>
        <w:tc>
          <w:tcPr/>
          <w:p>
            <w:pPr>
              <w:pStyle w:val="Compact"/>
              <w:jc w:val="left"/>
            </w:pPr>
            <w:r>
              <w:rPr>
                <w:rFonts w:ascii="Calibri" w:hAnsi="Calibri"/>
                <w:sz w:val="20"/>
              </w:rPr>
              <w:t xml:space="preserve">2, por la regla de Schwarz con la regla de reserva (Portmanteau p = 0,031; autocorrelación leve declarada como limitación)</w:t>
            </w:r>
          </w:p>
        </w:tc>
      </w:tr>
      <w:tr>
        <w:tc>
          <w:tcPr/>
          <w:p>
            <w:pPr>
              <w:pStyle w:val="Compact"/>
              <w:jc w:val="left"/>
            </w:pPr>
            <w:r>
              <w:rPr>
                <w:rFonts w:ascii="Calibri" w:hAnsi="Calibri"/>
                <w:sz w:val="20"/>
              </w:rPr>
              <w:t xml:space="preserve">Resultado primario (D4)</w:t>
            </w:r>
          </w:p>
        </w:tc>
        <w:tc>
          <w:tcPr/>
          <w:p>
            <w:pPr>
              <w:pStyle w:val="Compact"/>
              <w:jc w:val="left"/>
            </w:pPr>
            <w:r>
              <w:rPr>
                <w:rFonts w:ascii="Calibri" w:hAnsi="Calibri"/>
                <w:sz w:val="20"/>
              </w:rPr>
              <w:t xml:space="preserve">Una sola definición: resultado primario del Sector Público Nacional sin rentas de la propiedad, porque el FMI excluye las transferencias de utilidades del BCRA (FMI, 2026, cuadro 1, nota 4) y el MECON no las separa del resto de las rentas. La serie con rentas es robustez. Máximo 1996-2025: 3,29% del PIB en 2004 (3,58% con rentas). Se corrigió la versión anterior, que presentaba la serie con rentas como la definición del FMI</w:t>
            </w:r>
          </w:p>
        </w:tc>
      </w:tr>
      <w:tr>
        <w:tc>
          <w:tcPr/>
          <w:p>
            <w:pPr>
              <w:pStyle w:val="Compact"/>
              <w:jc w:val="left"/>
            </w:pPr>
            <w:r>
              <w:rPr>
                <w:rFonts w:ascii="Calibri" w:hAnsi="Calibri"/>
                <w:sz w:val="20"/>
              </w:rPr>
              <w:t xml:space="preserve">Inferencia (D7 y D8)</w:t>
            </w:r>
          </w:p>
        </w:tc>
        <w:tc>
          <w:tcPr/>
          <w:p>
            <w:pPr>
              <w:pStyle w:val="Compact"/>
              <w:jc w:val="left"/>
            </w:pPr>
            <w:r>
              <w:rPr>
                <w:rFonts w:ascii="Calibri" w:hAnsi="Calibri"/>
                <w:sz w:val="20"/>
              </w:rPr>
              <w:t xml:space="preserve">Remuestreo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jc w:val="left"/>
            </w:pPr>
            <w:r>
              <w:rPr>
                <w:rFonts w:ascii="Calibri" w:hAnsi="Calibri"/>
                <w:sz w:val="20"/>
              </w:rPr>
              <w:t xml:space="preserve">H1a (D10)</w:t>
            </w:r>
          </w:p>
        </w:tc>
        <w:tc>
          <w:tcPr/>
          <w:p>
            <w:pPr>
              <w:pStyle w:val="Compact"/>
              <w:jc w:val="left"/>
            </w:pPr>
            <w:r>
              <w:rPr>
                <w:rFonts w:ascii="Calibri" w:hAnsi="Calibri"/>
                <w:sz w:val="20"/>
              </w:rPr>
              <w:t xml:space="preserve">Criterio original (descomposición de la varianza): 96,8 puntos [90,8; 99,8] (77,9 [67,3; 99,4] sin binarias presidenciales); se cumple en las 21 especificaciones. Se agrega un criterio formal de suficiencia del superávit: con el máximo histórico sostenido, la probabilidad de 2031 es 23,0%, mayor que el 1% del FMI</w:t>
            </w:r>
          </w:p>
        </w:tc>
      </w:tr>
      <w:tr>
        <w:tc>
          <w:tcPr/>
          <w:p>
            <w:pPr>
              <w:pStyle w:val="Compact"/>
              <w:jc w:val="left"/>
            </w:pPr>
            <w:r>
              <w:rPr>
                <w:rFonts w:ascii="Calibri" w:hAnsi="Calibri"/>
                <w:sz w:val="20"/>
              </w:rPr>
              <w:t xml:space="preserve">H1b (D11)</w:t>
            </w:r>
          </w:p>
        </w:tc>
        <w:tc>
          <w:tcPr/>
          <w:p>
            <w:pPr>
              <w:pStyle w:val="Compact"/>
              <w:jc w:val="left"/>
            </w:pPr>
            <w:r>
              <w:rPr>
                <w:rFonts w:ascii="Calibri" w:hAnsi="Calibri"/>
                <w:sz w:val="20"/>
              </w:rPr>
              <w:t xml:space="preserve">Mismo perímetro, punto de partida, escenario y métrica que el FMI: 27,7% [20,6; 34,7] en 2031 y 29,0% [25,0; 36,1] en 2035; se cumple en las 21 especificaciones</w:t>
            </w:r>
          </w:p>
        </w:tc>
      </w:tr>
      <w:tr>
        <w:tc>
          <w:tcPr/>
          <w:p>
            <w:pPr>
              <w:pStyle w:val="Compact"/>
              <w:jc w:val="left"/>
            </w:pPr>
            <w:r>
              <w:rPr>
                <w:rFonts w:ascii="Calibri" w:hAnsi="Calibri"/>
                <w:sz w:val="20"/>
              </w:rPr>
              <w:t xml:space="preserve">H2 (D12)</w:t>
            </w:r>
          </w:p>
        </w:tc>
        <w:tc>
          <w:tcPr/>
          <w:p>
            <w:pPr>
              <w:pStyle w:val="Compact"/>
              <w:jc w:val="left"/>
            </w:pPr>
            <w:r>
              <w:rPr>
                <w:rFonts w:ascii="Calibri" w:hAnsi="Calibri"/>
                <w:sz w:val="20"/>
              </w:rPr>
              <w:t xml:space="preserve">Criterio sin cambios, con regla de informe: parcialmente respaldada. Efecto de la senda de 2022-2025 sobre la probabilidad: +18,4 puntos en 2035, robusto a Bonferroni y en 20 de 21 especificaciones. El efecto sobre la deuda esperada (+19,3 [-0,3; 31,3]) no excluye el cero y el del desvío estándar no resiste Bonferroni; el 77% del efecto sobre la deuda es el costo directo de la deuda en dólares</w:t>
            </w:r>
          </w:p>
        </w:tc>
      </w:tr>
      <w:tr>
        <w:tc>
          <w:tcPr/>
          <w:p>
            <w:pPr>
              <w:pStyle w:val="Compact"/>
              <w:jc w:val="left"/>
            </w:pPr>
            <w:r>
              <w:rPr>
                <w:rFonts w:ascii="Calibri" w:hAnsi="Calibri"/>
                <w:sz w:val="20"/>
              </w:rPr>
              <w:t xml:space="preserve">Título (D13)</w:t>
            </w:r>
          </w:p>
        </w:tc>
        <w:tc>
          <w:tcPr/>
          <w:p>
            <w:pPr>
              <w:pStyle w:val="Compact"/>
              <w:jc w:val="left"/>
            </w:pPr>
            <w:r>
              <w:rPr>
                <w:rFonts w:ascii="Calibri" w:hAnsi="Calibri"/>
                <w:sz w:val="20"/>
              </w:rPr>
              <w:t xml:space="preserve">“</w:t>
            </w:r>
            <w:r>
              <w:rPr>
                <w:rFonts w:ascii="Calibri" w:hAnsi="Calibri"/>
                <w:sz w:val="20"/>
              </w:rPr>
              <w:t xml:space="preserve">Probabilidad de no estabilización de la deuda pública argentina, 2026-2035: un modelo SVARX con determinantes macroeconómicos y política monetaria de Estados Unidos</w:t>
            </w:r>
            <w:r>
              <w:rPr>
                <w:rFonts w:ascii="Calibri" w:hAnsi="Calibri"/>
                <w:sz w:val="20"/>
              </w:rPr>
              <w:t xml:space="preserve">”</w:t>
            </w:r>
          </w:p>
        </w:tc>
      </w:tr>
    </w:tbl>
    <w:bookmarkEnd w:id="144"/>
    <w:bookmarkStart w:id="145" w:name="nota-4.-pendientes"/>
    <w:p>
      <w:pPr>
        <w:pStyle w:val="Heading2"/>
      </w:pPr>
      <w:r>
        <w:t xml:space="preserve">Nota 4. Pendientes</w:t>
      </w:r>
    </w:p>
    <w:p>
      <w:pPr>
        <w:numPr>
          <w:ilvl w:val="0"/>
          <w:numId w:val="1013"/>
        </w:numPr>
        <w:pStyle w:val="Compact"/>
      </w:pPr>
      <w:r>
        <w:t xml:space="preserve">Adler y Sosa: la versión anterior les atribuía un VAR global con un índice de precios netos de materias primas, que</w:t>
      </w:r>
      <w:r>
        <w:t xml:space="preserve"> </w:t>
      </w:r>
      <w:r>
        <w:t xml:space="preserve">“</w:t>
      </w:r>
      <w:r>
        <w:t xml:space="preserve">más de la mitad</w:t>
      </w:r>
      <w:r>
        <w:t xml:space="preserve">”</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numPr>
          <w:ilvl w:val="0"/>
          <w:numId w:val="1013"/>
        </w:numPr>
        <w:pStyle w:val="Compact"/>
      </w:pPr>
      <w:r>
        <w:t xml:space="preserve">Klemm et al. (2014) y Adler y Magud (2014) salieron del texto: no se pudo leer el capítulo de Klemm et al., y en Adler y Magud no está definido el índice que se les atribuía.</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22">
    <w:p>
      <w:pPr>
        <w:pStyle w:val="FootnoteText"/>
      </w:pPr>
      <w:r>
        <w:rPr>
          <w:rStyle w:val="FootnoteReference"/>
        </w:rPr>
        <w:footnoteRef/>
      </w:r>
      <w:r>
        <w:t xml:space="preserve"> </w:t>
      </w:r>
      <w:r>
        <w:rPr>
          <w:iCs/>
          <w:i/>
        </w:rPr>
        <w:t xml:space="preserve">Default</w:t>
      </w:r>
      <w:r>
        <w:t xml:space="preserve">: cesación de pagos de la deuda.</w:t>
      </w:r>
    </w:p>
  </w:footnote>
  <w:footnote w:id="23">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7">
    <w:p>
      <w:pPr>
        <w:pStyle w:val="FootnoteText"/>
      </w:pPr>
      <w:r>
        <w:rPr>
          <w:rStyle w:val="FootnoteReference"/>
        </w:rPr>
        <w:footnoteRef/>
      </w:r>
      <w:r>
        <w:t xml:space="preserve"> </w:t>
      </w:r>
      <w:r>
        <w:rPr>
          <w:iCs/>
          <w:i/>
        </w:rPr>
        <w:t xml:space="preserve">Shock</w:t>
      </w:r>
      <w:r>
        <w:t xml:space="preserve">: perturbación inesperada que afecta a una variable del sistema y se transmite a las demás.</w:t>
      </w:r>
    </w:p>
  </w:footnote>
  <w:footnote w:id="30">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36">
    <w:p>
      <w:pPr>
        <w:pStyle w:val="FootnoteText"/>
      </w:pPr>
      <w:r>
        <w:rPr>
          <w:rStyle w:val="FootnoteReference"/>
        </w:rPr>
        <w:footnoteRef/>
      </w:r>
      <w:r>
        <w:t xml:space="preserve"> </w:t>
      </w:r>
      <w:r>
        <w:t xml:space="preserve">Acreedores que rechazan una reestructuración y reclaman judicialmente el pago completo.</w:t>
      </w:r>
    </w:p>
  </w:footnote>
  <w:footnote w:id="40">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Cs/>
          <w:i/>
        </w:rPr>
        <w:t xml:space="preserve">pull</w:t>
      </w:r>
      <w:r>
        <w:t xml:space="preserve">), asociados a condiciones domésticas.</w:t>
      </w:r>
    </w:p>
  </w:footnote>
  <w:footnote w:id="41">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44">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45">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 w:id="48">
    <w:p>
      <w:pPr>
        <w:pStyle w:val="FootnoteText"/>
      </w:pPr>
      <w:r>
        <w:rPr>
          <w:rStyle w:val="FootnoteReference"/>
        </w:rPr>
        <w:footnoteRef/>
      </w:r>
      <w:r>
        <w:t xml:space="preserve"> </w:t>
      </w:r>
      <w:r>
        <w:rPr>
          <w:iCs/>
          <w:i/>
        </w:rPr>
        <w:t xml:space="preserve">Spread</w:t>
      </w:r>
      <w:r>
        <w:t xml:space="preserve">: diferencia de rendimiento entre un bono y otro de referencia; en el caso soberano, entre los bonos del país y los del Tesoro de Estados Unidos.</w:t>
      </w:r>
    </w:p>
  </w:footnote>
  <w:footnote w:id="85">
    <w:p>
      <w:pPr>
        <w:pStyle w:val="FootnoteText"/>
      </w:pPr>
      <w:r>
        <w:rPr>
          <w:rStyle w:val="FootnoteReference"/>
        </w:rPr>
        <w:footnoteRef/>
      </w:r>
      <w:r>
        <w:t xml:space="preserve"> </w:t>
      </w:r>
      <w:r>
        <w:rPr>
          <w:iCs/>
          <w:i/>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image" Target="media/rId73.png"/><Relationship Id="rId78" Type="http://schemas.openxmlformats.org/officeDocument/2006/relationships/image" Target="media/rId78.png"/><Relationship Id="rId81" Type="http://schemas.openxmlformats.org/officeDocument/2006/relationships/image" Target="media/rId81.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6" Type="http://schemas.openxmlformats.org/officeDocument/2006/relationships/image" Target="media/rId106.png"/><Relationship Id="rId100" Type="http://schemas.openxmlformats.org/officeDocument/2006/relationships/image" Target="media/rId100.png"/><Relationship Id="rId112" Type="http://schemas.openxmlformats.org/officeDocument/2006/relationships/image" Target="media/rId112.png"/><Relationship Id="rId115" Type="http://schemas.openxmlformats.org/officeDocument/2006/relationships/image" Target="media/rId115.png"/><Relationship Id="rId126" Type="http://schemas.openxmlformats.org/officeDocument/2006/relationships/image" Target="media/rId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2026-10-20T11:35:47Z</dcterms:created>
  <dcterms:modified xsi:type="dcterms:W3CDTF">2026-10-20T11:35:47Z</dcterms:modified>
</cp:coreProperties>
</file>

<file path=docProps/custom.xml><?xml version="1.0" encoding="utf-8"?>
<Properties xmlns="http://schemas.openxmlformats.org/officeDocument/2006/custom-properties" xmlns:vt="http://schemas.openxmlformats.org/officeDocument/2006/docPropsVTypes"/>
</file>