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9" w:name="resumen"/>
    <w:p>
      <w:pPr>
        <w:pStyle w:val="Heading1"/>
      </w:pPr>
      <w:r>
        <w:t xml:space="preserve">Resumen</w:t>
      </w:r>
    </w:p>
    <w:p>
      <w:pPr>
        <w:pStyle w:val="FirstParagraph"/>
      </w:pPr>
      <w:r>
        <w:rPr>
          <w:b/>
          <w:bCs/>
        </w:rPr>
        <w:t xml:space="preserve">Objetivo.</w:t>
      </w:r>
      <w:r>
        <w:t xml:space="preserve"> </w:t>
      </w:r>
      <w:r>
        <w:t xml:space="preserve">La tesis evalúa la sostenibilidad de la deuda pública consolidada argentina, que suma la del Sector Público No Financiero y la del Banco Central, en el horizonte 2026-2035, a partir de sus determinantes macroeconómicos históricos (1996-2025): el crecimiento, el tipo de cambio real, el riesgo país y el resultado primario.</w:t>
      </w:r>
    </w:p>
    <w:p>
      <w:pPr>
        <w:pStyle w:val="BodyText"/>
      </w:pPr>
      <w:r>
        <w:rPr>
          <w:b/>
          <w:bCs/>
        </w:rPr>
        <w:t xml:space="preserve">Metodología.</w:t>
      </w:r>
      <w:r>
        <w:t xml:space="preserve"> </w:t>
      </w:r>
      <w:r>
        <w:t xml:space="preserve">Se estima un modelo de vectores autorregresivos estructural con variables exógenas (SVARX) sobre datos trimestrales, con la tasa de política de la Reserva Federal y la volatilidad financiera global como variables externas. Los shocks fiscales se identifican con el método de Blanchard y Perotti (2002), y la deuda consolidada neta se construye según el criterio del FMI (2021). Con el modelo se simulan 120.000 trayectorias de la deuda alrededor del escenario base del FMI (2026) y se mide la probabilidad de que la deuda no se estabilice, la métrica central del marco de sostenibilidad del FMI.</w:t>
      </w:r>
    </w:p>
    <w:p>
      <w:pPr>
        <w:pStyle w:val="BodyText"/>
      </w:pPr>
      <w:r>
        <w:rPr>
          <w:b/>
          <w:bCs/>
        </w:rPr>
        <w:t xml:space="preserve">Resultados.</w:t>
      </w:r>
      <w:r>
        <w:t xml:space="preserve"> </w:t>
      </w:r>
      <w:r>
        <w:t xml:space="preserve">La política fiscal respondió a la deuda en el período (reacción de 0,05 por punto de deuda), pero los shocks cambiarios y de riesgo explican cerca de 60% de la incertidumbre sobre la deuda en 2035, y los fiscales, alrededor de 20%. La probabilidad de que la deuda no se estabilice a cinco años es de 11,5%, con un intervalo de 90% de 7,7% a 15,2%, frente a alrededor de 1% en el análisis del FMI. A diez años baja a 6,6%, frente a menos de 3% del FMI. Un endurecimiento de la Reserva Federal como el de 2022-2023 eleva la deuda esperada en 8 puntos del PIB hacia 2035, sobre todo por el mayor costo de refinanciar la deuda en dólares.</w:t>
      </w:r>
    </w:p>
    <w:p>
      <w:pPr>
        <w:pStyle w:val="BodyText"/>
      </w:pPr>
      <w:r>
        <w:rPr>
          <w:b/>
          <w:bCs/>
        </w:rPr>
        <w:t xml:space="preserve">Conclusión.</w:t>
      </w:r>
      <w:r>
        <w:t xml:space="preserve"> </w:t>
      </w:r>
      <w:r>
        <w:t xml:space="preserve">El superávit primario es necesario pero no alcanza para estabilizar la deuda. Con el mismo escenario base, representar la incertidumbre con la dinámica histórica de la economía argentina da un diagnóstico de sostenibilidad más exigente que el del FMI.</w:t>
      </w:r>
    </w:p>
    <w:p>
      <w:pPr>
        <w:pStyle w:val="BodyText"/>
      </w:pPr>
      <w:r>
        <w:rPr>
          <w:b/>
          <w:bCs/>
        </w:rPr>
        <w:t xml:space="preserve">Palabras clave:</w:t>
      </w:r>
      <w:r>
        <w:t xml:space="preserve"> </w:t>
      </w:r>
      <w:r>
        <w:t xml:space="preserve">deuda pública, sostenibilidad fiscal, SVAR, gráfico de abanico, Argentina.</w:t>
      </w:r>
    </w:p>
    <w:p>
      <w:pPr>
        <w:pStyle w:val="BodyText"/>
      </w:pPr>
      <w:r>
        <w:rPr>
          <w:b/>
          <w:bCs/>
        </w:rPr>
        <w:t xml:space="preserve">Clasificación JEL:</w:t>
      </w:r>
      <w:r>
        <w:t xml:space="preserve"> </w:t>
      </w:r>
      <w:r>
        <w:t xml:space="preserve">E62, F34, H63.</w:t>
      </w:r>
    </w:p>
    <w:bookmarkEnd w:id="9"/>
    <w:bookmarkStart w:id="20" w:name="introducción"/>
    <w:p>
      <w:pPr>
        <w:pStyle w:val="Heading1"/>
      </w:pPr>
      <w:r>
        <w:t xml:space="preserve">1. Introducción</w:t>
      </w:r>
    </w:p>
    <w:bookmarkStart w:id="11"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10"/>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con un bono a 2029 bajo legislación local por USD 1.000 millones de valor nominal y un rendimiento de 9,26% anual (Secretaría de Finanzas, 2025). El precio de colocación fue de 91 por cada 100 nominales, de modo que el Tesoro recaudó unos USD 910 millones (Chequeado, 2025). En 2026 el Tesoro siguió financiándose con bonos en dólares bajo ley local y no emitió bajo legislación de Nueva York: en septiembre,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1"/>
    <w:bookmarkStart w:id="12" w:name="planteamiento-del-problema"/>
    <w:p>
      <w:pPr>
        <w:pStyle w:val="Heading2"/>
      </w:pPr>
      <w:r>
        <w:t xml:space="preserve">1.2 Planteamiento del problema</w:t>
      </w:r>
    </w:p>
    <w:p>
      <w:pPr>
        <w:pStyle w:val="FirstParagraph"/>
      </w:pPr>
      <w:r>
        <w:t xml:space="preserve">Resta determinar si un superávit fiscal primario y la voluntad política de pago alcanzan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 default (Reinhart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2"/>
    <w:bookmarkStart w:id="13"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3"/>
    <w:bookmarkStart w:id="14"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4"/>
    <w:bookmarkStart w:id="15"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(SPNF y BCRA), de modo que el superávit primario, por sí solo, no basta para estabilizarla en 2026-2035.</w:t>
      </w:r>
    </w:p>
    <w:p>
      <w:pPr>
        <w:pStyle w:val="BodyText"/>
      </w:pPr>
      <w:r>
        <w:t xml:space="preserve">H1b. La probabilidad de que la deuda consolidada no se estabilice, medida a cinco años (2030, el mismo horizonte de la métrica del FMI) y a diez años (2035, el final del horizonte de proyección) y estimada con shocks estructuralmente identificados, es mayor que la que el FMI reporta para la deuda federal bruta en su análisis más reciente: alrededor de 1% a mediano plazo y menos de 3% a diez años (FMI, 2026).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El shock se mide de dos maneras: un desvío estándar de la variación trimestral de la tasa (convención de la literatura de VAR) y una repetición del ciclo de subas de 2022-2023.</w:t>
      </w:r>
    </w:p>
    <w:bookmarkEnd w:id="15"/>
    <w:bookmarkStart w:id="17"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6"/>
      </w:r>
      <w:r>
        <w:t xml:space="preserve"> </w:t>
      </w:r>
      <w:r>
        <w:t xml:space="preserve">y en las métricas que utiliza el FMI para evaluar el riesgo soberano.</w:t>
      </w:r>
    </w:p>
    <w:bookmarkEnd w:id="17"/>
    <w:bookmarkStart w:id="18"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8"/>
    <w:bookmarkStart w:id="19"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9"/>
    <w:bookmarkEnd w:id="20"/>
    <w:bookmarkStart w:id="33"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1"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1"/>
    <w:bookmarkStart w:id="23"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2"/>
      </w:r>
      <w:r>
        <w:t xml:space="preserve">.</w:t>
      </w:r>
    </w:p>
    <w:bookmarkEnd w:id="23"/>
    <w:bookmarkStart w:id="24"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4"/>
    <w:bookmarkStart w:id="25"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5"/>
    <w:bookmarkStart w:id="28"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6"/>
      </w:r>
      <w:r>
        <w:t xml:space="preserve">. Adler et al. (2016), con un VAR de panel de 38 economías emergentes entre 1990 y 2012, encontraron que los inversores locales amortiguan los shocks de incertidumbre global y de tasas largas de Estados Unidos, pero frente a las subas de tasas cortas se comportan igual que los no residentes, lo que vuelve especialmente relevante un shock de la política monetaria estadounidense.</w:t>
      </w:r>
    </w:p>
    <w:p>
      <w:pPr>
        <w:pStyle w:val="BodyText"/>
      </w:pPr>
      <w:r>
        <w:t xml:space="preserve">La literatura de sistemas de alerta temprana (</w:t>
      </w:r>
      <w:r>
        <w:rPr>
          <w:i/>
          <w:iCs/>
        </w:rPr>
        <w:t xml:space="preserve">early warning systems</w:t>
      </w:r>
      <w:r>
        <w:t xml:space="preserve">)</w:t>
      </w:r>
      <w:r>
        <w:rPr>
          <w:rStyle w:val="FootnoteReference"/>
        </w:rPr>
        <w:footnoteReference w:id="27"/>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8"/>
    <w:bookmarkStart w:id="29"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9"/>
    <w:bookmarkStart w:id="30"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30"/>
    <w:bookmarkStart w:id="31"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1"/>
    <w:bookmarkStart w:id="32"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Estados Unidos sobre las economías emergentes se estudiaron sobre los spreads 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que respondieron a los mismos shocks cambiarios y de riesgo que la deuda del Tesoro. Un modelo estimado solo sobre la deuda del Tesoro omite esa parte del endeudamiento y puede subestimar la sensibilidad de la deuda a esos shocks. Esto sigue siendo cierto aunque, desde 2024, los pasivos remunerados del BCRA se hayan reducido a niveles mínimos. Los pases pasivos se suspendieron en julio de 2024 y su stock pasó al Tesoro como Letras Fiscales de Liquidez (LEFI), que el BCRA dejó de ofrecer en julio de 2025 (BCRA, 2025). A fin de 2025 el stock de LEFI era nulo, frente a 11,1 billones de pesos un año antes (BCRA, 2026).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p>
      <w:pPr>
        <w:pStyle w:val="BodyText"/>
      </w:pPr>
      <w:r>
        <w:t xml:space="preserve">La elección de la metodología y de las variables responde a tres razones. Primero, la combinación no se probó para Argentina: los trabajos que identifican shocks lo hacen sobre paneles de países, y los que estudian la deuda argentina no los identifican. Segundo, el contexto cambió: desde 2024 la política fiscal tiene superávit primario y el BCRA casi no tiene pasivos remunerados, de modo que la pregunta por lo que el superávit no controla cobra más peso. Tercero, el sistema incluye una variable que los trabajos citados no suman a la deuda: los pasivos del BCRA, consolidados con los del Tesoro. Las variables endógenas son los cuatro impulsores de la deuda en la identidad del FMI (crecimiento, tipo de cambio real, costo del financiamiento a través del riesgo país y resultado primario), y la tasa de la FED entra como el shock externo que la literatura revisada vincula con esos cuatro canales.</w:t>
      </w:r>
    </w:p>
    <w:bookmarkEnd w:id="32"/>
    <w:bookmarkEnd w:id="33"/>
    <w:bookmarkStart w:id="46"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34"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antes que por la disponibilidad de ahorro o de capacidad ociosa. Braun y Joy (1968) formalizaron un modelo de estancamiento para la economía argentina en el que el balance de pagos, los precios internos y el nivel de actividad se determinan conjuntamente. Diamand (1972) dio la explicación de fondo con el concepto de estructura productiva desequilibrada: un sector primario que opera a precios internacionales y un sector industrial con precios y costos superiores a los internacionales. Como la industria necesita divisas para crecer y no genera las que consume, el abastecimiento de divisas recae en el sector agropecuario, y la expansión interna termina en una crisis de balanza de pagos y una devaluación (Diamand, 1972).</w:t>
      </w:r>
    </w:p>
    <w:p>
      <w:pPr>
        <w:pStyle w:val="BodyText"/>
      </w:pPr>
      <w:r>
        <w:t xml:space="preserve">Thirlwall (1979) dio a la idea una forma general. Si se exige equilibrio de la cuenta corriente en el largo plazo, la tasa de crecimiento compatible con ese equilibrio se aproxima por el cociente entre el crecimiento de las exportaciones y la elasticidad ingreso de la demanda de importaciones. En ese esquema, lo que se ajusta para equilibrar el balance de pagos es el producto, no los precios relativos (Thirlwall, 1979).</w:t>
      </w:r>
    </w:p>
    <w:p>
      <w:pPr>
        <w:pStyle w:val="BodyText"/>
      </w:pPr>
      <w:r>
        <w:t xml:space="preserve">Esos autores describen una restricción de flujos comerciales. Diamand (1972) ya advertía que el crédito externo la posterga sin resolverla, porque cada nuevo crédito agrega intereses y aumenta el déficit externo inicial, de modo que el proceso es inestable cuando se frena la entrada de capitales. Desde los años setenta, la acumulación de deuda pública y privada en moneda extranjera sumó un problema de vulnerabilidad financiera externa (Aruguete, 2021). Ese es el punto de contacto con esta tesis. La deuda en divisas convierte la restricción de divisas en una restricción sobre la deuda pública: los ingresos del Estado se obtienen en pesos y una parte del servicio se paga en dólares. El FMI reconoce esa limitación para el caso actual, al señalar que la base exportadora es pequeña y la capacidad de generar divisas es limitada, de modo que cumplir con las obligaciones en moneda extranjera exige reforzar el balance de pagos (FMI, 2025, anexo II).</w:t>
      </w:r>
    </w:p>
    <w:p>
      <w:pPr>
        <w:pStyle w:val="BodyText"/>
      </w:pPr>
      <w:r>
        <w:t xml:space="preserve">El enfoque cumple en esta tesis una función interpretativa. No se contrasta aquí la ley de Thirlwall, y el modelo no incluye el saldo comercial. Lo que el enfoque aporta es la razón para tratar al tipo de cambio real y al riesgo soberano como determinantes de la deuda y no solo como variables de control. Si la escasez de divisas es el límite del proceso, el superávit primario en pesos no se traduce de manera directa en capacidad de pago en dólares. Esa es la intuición detrás de la hipótesis H1a, y se formaliza con la identidad de la deuda de la sección siguiente.</w:t>
      </w:r>
    </w:p>
    <w:bookmarkEnd w:id="34"/>
    <w:bookmarkStart w:id="39" w:name="Xa279cf3229c29106283bb4d1e58e9229cedcf6a"/>
    <w:p>
      <w:pPr>
        <w:pStyle w:val="Heading2"/>
      </w:pPr>
      <w:r>
        <w:t xml:space="preserve">3.2 Solvencia intertemporal, la regla de Bohn y la identidad de la deuda</w:t>
      </w:r>
    </w:p>
    <w:bookmarkStart w:id="35"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no la insolvencia. Se la interpreta como un indicador de riesgo, no como un diagnóstico de reestructuración.</w:t>
      </w:r>
    </w:p>
    <w:bookmarkEnd w:id="35"/>
    <w:bookmarkStart w:id="36"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 stock 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(Rodríguez, 2023). El mecanismo opera en las dos direcciones. En 2024 la deuda federal bruta pasó de 155,4% a 85,3% del PIB, por un ajuste fiscal de más de cinco puntos y por efectos de valuación cambiaria (FMI, 2025). Esta simetría muestra que el tipo de cambio real puede mover la ratio más que el resultado primario en cualquiera de los dos sentidos.</w:t>
      </w:r>
    </w:p>
    <w:bookmarkEnd w:id="36"/>
    <w:bookmarkStart w:id="37"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uₜ,</w:t>
      </w:r>
    </w:p>
    <w:p>
      <w:pPr>
        <w:pStyle w:val="BodyText"/>
      </w:pPr>
      <w:r>
        <w:t xml:space="preserve">con zₜ un conjunto de determinantes cíclicos. Si ρ &gt; 0, uₜ está acotado como proporción del PIB y el valor presente del PIB es finito, la política fiscal satisface la restricción presupuestaria intertemporal y la condición de transversalidad. La demostración formal figuraba en un apéndice no publicado de Bohn (1998) y se presenta en Bohn (2005), donde se la presenta como un resultado de trabajos previos del autor, entre ellos Bohn (1998). La idea de la prueba es que una respuesta positiva reduce el crecimiento de la deuda respecto de un esquema Ponzi en un factor (1-ρ) por período, por lo que el valor presente de la deuda tiende a cero (Bohn, 2005).</w:t>
      </w:r>
    </w:p>
    <w:p>
      <w:pPr>
        <w:pStyle w:val="BodyText"/>
      </w:pPr>
      <w:r>
        <w:t xml:space="preserve">Bohn (2005) subraya tres puntos que importan para esta tesis. Primero, la proposición es una condición suficiente y no necesaria, porque una respuesta ausente o inestable es compatible tanto con una política insostenible como con una muestra insuficiente para identificarla. Segundo, la regla puede ser no lineal o variar en el tiempo y conservar la propiedad, siempre que la respuesta sea positiva a niveles altos de deuda. Tercero, los datos de Estados Unidos entre 1792 y 2003 arrojan una respuesta positiva y robusta del superávit primario a la deuda, y el propio autor la considera la evidencia más creíble a favor de la sostenibilidad (Bohn, 2005). Para el período 1916-1995 reporta un coeficiente de alrededor de 0,05 (Bohn, 1998, según Bohn, 2005).</w:t>
      </w:r>
    </w:p>
    <w:p>
      <w:pPr>
        <w:pStyle w:val="BodyText"/>
      </w:pPr>
      <w:r>
        <w:t xml:space="preserve">Conviene corregir una atribución frecuente. Bohn (2007) no demuestra que ρ &gt; 0 sea suficiente sin cointegración. Lo que muestra es que las pruebas de estacionariedad y cointegración sobre series fiscales no pueden rechazar la sostenibilidad: la restricción intertemporal se cumple si la deuda, o los ingresos y gastos con intereses, son integrados de orden arbitrariamente alto, y no hace falta que ingresos y gastos cointegren (Bohn, 2007). La suficiencia de ρ &gt; 0 proviene de Bohn (1998, 2005). La lectura de Bohn (2007) tiene una consecuencia para el diseño econométrico: que una prueba de cointegración no rechace la hipótesis nula de no cointegración, como ocurre en la muestra de la tesis, no permite concluir que la política sea insostenible, y por eso el sistema se estima en niveles sin imponer relaciones de cointegración.</w:t>
      </w:r>
    </w:p>
    <w:bookmarkEnd w:id="37"/>
    <w:bookmarkStart w:id="38"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uₜ .</w:t>
      </w:r>
    </w:p>
    <w:p>
      <w:pPr>
        <w:pStyle w:val="BodyText"/>
      </w:pPr>
      <w:r>
        <w:t xml:space="preserve">La ratio converge a un nivel finito solo si ρ &gt; (r-g)/(1+g). Si 0 &lt; ρ &lt; (r-g)/(1+g), la deuda crece a una tasa inferior a la de un esquema Ponzi y, por lo tanto, la condición de transversalidad se cumple, pero la ratio sigue aumentando. Dicho de otro modo, un coeficiente positivo y significativo es compatible con una trayectoria que no se estabiliza en un horizonte de decisión relevante.</w:t>
      </w:r>
    </w:p>
    <w:p>
      <w:pPr>
        <w:pStyle w:val="BodyText"/>
      </w:pPr>
      <w:r>
        <w:t xml:space="preserve">Esta es la lógica de H1a. Con un coeficiente de la magnitud que Bohn estima para Estados Unidos, del orden de 0,05, una respuesta fiscal significativa pero pequeña es superada por un diferencial r-g de uno o dos puntos. En una economía con deuda en moneda extranjera, el término r incluye la depreciación real y el spread soberano, que son variables con shocks grandes y poco predecibles, de modo que (r-g)/(1+g) puede exceder a ρ por márgenes amplios en años de estrés. El coeficiente ρ que estima esta tesis es positivo y de magnitud reducida (Capítulo 6). La conclusión que corresponde a H1a no es que el gobierno no reaccione, sino que su reacción, por sí sola, no basta para estabilizar la deuda cuando dominan el diferencial r-g, los efectos de valuación y los shocks externos. Esa lectura es compatible con la evidencia de que las consolidaciones fiscales discrecionales tienen en promedio un efecto reducido sobre la ratio de deuda (Ando et al., 2025).</w:t>
      </w:r>
    </w:p>
    <w:bookmarkEnd w:id="38"/>
    <w:bookmarkEnd w:id="39"/>
    <w:bookmarkStart w:id="40"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 stock 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es decir, no corrige el resultado primario ante la deuda, y la monetaria es pasiva (región II de Leeper, 1991), se asemeja al régimen fiscal dominante de Sargent y Wallace (1981) y suele llamarse dominancia fiscal.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40"/>
    <w:bookmarkStart w:id="41" w:name="X20862c7541b595f20b5f9ddc0e3ce04fa00711b"/>
    <w:p>
      <w:pPr>
        <w:pStyle w:val="Heading2"/>
      </w:pPr>
      <w:r>
        <w:t xml:space="preserve">3.4 Descalce de monedas, pecado original e interrupciones repentinas</w:t>
      </w:r>
    </w:p>
    <w:p>
      <w:pPr>
        <w:pStyle w:val="FirstParagraph"/>
      </w:pPr>
      <w:r>
        <w:t xml:space="preserve">Eichengreen, Hausmann y Panizza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Rogoff y Savastano, 2003). El pecado original es la dificultad de los emergentes para endeudarse en el exterior en su propia moneda. Los dos primeros tratan de explicar la volatilidad y la dificultad para pagar, y el tercero se ocupa de las consecuencias de esos problemas y de cómo los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Izquierdo y Talvi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 Para el período 2016-2020, Aruguete (2021) describe una crisis de balanza de pagos originada en un proceso de sobreendeudamiento público iniciado cuatro años antes.</w:t>
      </w:r>
    </w:p>
    <w:bookmarkEnd w:id="41"/>
    <w:bookmarkStart w:id="42"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Los tres primeros están en el modelo de la tesis, y el cuarto queda fuera de él.</w:t>
      </w:r>
    </w:p>
    <w:p>
      <w:pPr>
        <w:pStyle w:val="BodyText"/>
      </w:pPr>
      <w:r>
        <w:rPr>
          <w:b/>
          <w:bCs/>
        </w:rPr>
        <w:t xml:space="preserve">Riesgo soberano.</w:t>
      </w:r>
      <w:r>
        <w:t xml:space="preserve"> </w:t>
      </w:r>
      <w:r>
        <w:t xml:space="preserve">Uribe y Yue (2006) estiman que los shocks de la tasa de Estados Unidos explican alrededor de 20% de los movimientos de la actividad en economías emergentes en frecuencias de ciclo económico, y que afectan a las variables domésticas sobre todo a través del spread soberano. Kalemli-Özcan (2019) encuentra que la política monetaria de Estados Unidos afecta el costo del crédito interno de otros países a través de la percepción de riesgo de los inversores globales, con efectos más intensos sobre los emergentes que sobre las economías avanzadas, y que los flujos de capital, muy sensibles a esa percepción, inciden de forma directa sobre los spreads de crédito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 shocks de Estados Unidos influyen en las economías de América Latina por vía financiera y producen en dos episodios, las crisis de Argentina y de Brasil,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2004). El resultado sugiere que el canal relevante es el spread y no el nivel de la tasa de referencia, y coincide con el de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 shocks de Estados Unidos y los trata como exógenos respecto de los países latinoamericanos. Adler, Djigbenou y Sosa (2016), con un VAR de panel sobre los flujos brutos de capital de economías emergentes, muestran que la respuesta ante los shocks globales difiere según el tipo de shock: los inversores locales cumplen un papel estabilizador tanto ante los shocks de incertidumbre global, donde la repatriación de activos compensa en buena medida la salida de no residentes, como ante los de la tasa larga de Estados Unidos, donde la compensación es mucho más limitada. Esto justifica incluir a la vez la tasa de la FED y el VIX, que no se confunden entre sí.</w:t>
      </w:r>
    </w:p>
    <w:bookmarkEnd w:id="42"/>
    <w:bookmarkStart w:id="43"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Debrun y Ostry (2006) proponen un algoritmo de simulación de la trayectoria de la deuda con shocks realistas al crecimiento, a las tasas de interés y al tipo de cambio, junto con la respuesta endógena de la política fiscal y los shocks 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 shocks 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Sugiere correr los escenarios de sostenibilidad también con una función de reacción fiscal o con una hipótesis equivalente de reversión a la media (Medeiros, 2012).</w:t>
      </w:r>
    </w:p>
    <w:p>
      <w:pPr>
        <w:pStyle w:val="BodyText"/>
      </w:pPr>
      <w:r>
        <w:t xml:space="preserve">El FMI adoptó esa lógica. Su marco de 2021 construye el gráfico de abanico aplicando al escenario base shocks 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estimó una probabilidad de estabilización cercana a 97% en el escenario base, tanto en el mediano plazo como en un abanico que termina en 2034 (FMI, 2025, anexo II, párr. 6 y 8). Esa cifra es el umbral de H1b.</w:t>
      </w:r>
    </w:p>
    <w:p>
      <w:pPr>
        <w:pStyle w:val="BodyText"/>
      </w:pPr>
      <w:r>
        <w:t xml:space="preserve">Este enfoque tiene una ventaja sobre el análisis puntual: permite separar la dispersión debida a los shocks (los efectos de valuación, de riesgo y de crecimiento) de la trayectoria central. También tiene el límite que se desprende de la sección 3.2: una probabilidad de no estabilización es una medida de riesgo bajo un escenario base, no una prueba de insostenibilidad en el sentido formal del FMI (FMI, 2021, recuadro 2).</w:t>
      </w:r>
    </w:p>
    <w:bookmarkEnd w:id="43"/>
    <w:bookmarkStart w:id="44"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Kim, Mendoza, Ostry y Qureshi (2013) sostienen que esa respuesta se debilita cuando la deuda crece, porque la capacidad de aumentar el resultado primario no sigue el ritmo del aumento de la deuda. Esa fatiga fiscal genera un límite endógeno de la deuda más allá del cual no puede refinanciarse (Ghosh et al., 2013). Su evidencia proviene de 23 economías avanzadas entre 1970 y 2007, por lo que trasladarla a una economía emergente con restricción externa requiere cautela. Las estimaciones de umbral de tipo Hansen (1999) permiten contrastar si la respuesta fiscal cambia por encima de un nivel de riesgo o de deuda.</w:t>
      </w:r>
    </w:p>
    <w:p>
      <w:pPr>
        <w:pStyle w:val="BodyText"/>
      </w:pPr>
      <w:r>
        <w:t xml:space="preserve">En esta tesis la fatiga fiscal no organiza el marco ni sustenta una hipótesis. Es un resultado complementario del Capítulo 6, que se interpreta como una verificación de robustez de la regla lineal, no como la explicación central. La razón es que el objetivo es evaluar el peso conjunto de los canales sobre la deuda y la probabilidad de que no se estabilice, y para eso la reacción fiscal es un componente más del sistema.</w:t>
      </w:r>
    </w:p>
    <w:bookmarkEnd w:id="44"/>
    <w:bookmarkStart w:id="45" w:name="alcances-y-límites-del-marco"/>
    <w:p>
      <w:pPr>
        <w:pStyle w:val="Heading2"/>
      </w:pPr>
      <w:r>
        <w:t xml:space="preserve">3.8 Alcances y límites del marco</w:t>
      </w:r>
    </w:p>
    <w:p>
      <w:pPr>
        <w:pStyle w:val="FirstParagraph"/>
      </w:pPr>
      <w:r>
        <w:t xml:space="preserve">El marco tiene cuatro límites. Primero, la restricción externa se usa como enfoque interpretativo y no se contrasta de manera directa, porque el sistema no incluye el saldo comercial ni la disponibilidad de reservas. Segundo, la regla de Bohn es una condición suficiente de solvencia asintótica, no una prueba de que la deuda se estabilice en el horizonte 2026-2035, y su interpretación requiere compararla con el diferencial r-g. Tercero, el canal de las tasas domésticas y del costo cuasifiscal no se identifica por separado y se absorbe en la deuda consolidada y en la tasa efectiva del escenario base. Cuarto, la probabilidad de no estabilización se mide bajo el escenario base del FMI y no es una medida de insolvencia ni de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45"/>
    <w:bookmarkEnd w:id="46"/>
    <w:bookmarkStart w:id="55"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47" w:name="arquitectura-general"/>
    <w:p>
      <w:pPr>
        <w:pStyle w:val="Heading2"/>
      </w:pPr>
      <w:r>
        <w:t xml:space="preserve">4.1 Arquitectura general</w:t>
      </w:r>
    </w:p>
    <w:p>
      <w:pPr>
        <w:pStyle w:val="FirstParagraph"/>
      </w:pPr>
      <w:r>
        <w:t xml:space="preserve">El modelo sigue la arquitectura que el propio FMI desarrolló para economías emergentes y aplicó a</w:t>
      </w:r>
      <w:r>
        <w:t xml:space="preserve"> </w:t>
      </w:r>
      <w:r>
        <w:t xml:space="preserve">Argentina. Celasun, Debrun y Ostry (2006) proponen tres piezas:</w:t>
      </w:r>
    </w:p>
    <w:p>
      <w:pPr>
        <w:pStyle w:val="Compact"/>
        <w:numPr>
          <w:ilvl w:val="0"/>
          <w:numId w:val="1002"/>
        </w:numPr>
      </w:pPr>
      <w:r>
        <w:t xml:space="preserve">Un</w:t>
      </w:r>
      <w:r>
        <w:t xml:space="preserve"> </w:t>
      </w:r>
      <w:r>
        <w:rPr>
          <w:b/>
          <w:bCs/>
        </w:rPr>
        <w:t xml:space="preserve">VAR trimestral sin restricciones</w:t>
      </w:r>
      <w:r>
        <w:t xml:space="preserve"> </w:t>
      </w:r>
      <w:r>
        <w:t xml:space="preserve">sobre los determinantes de la dinámica de la deuda:</w:t>
      </w:r>
      <w:r>
        <w:t xml:space="preserve"> </w:t>
      </w:r>
      <w:r>
        <w:t xml:space="preserve">crecimiento, tasas de interés y tipo de cambio. El VAR describe cómo se mueven juntos, estima</w:t>
      </w:r>
      <w:r>
        <w:t xml:space="preserve"> </w:t>
      </w:r>
      <w:r>
        <w:t xml:space="preserve">las varianzas y covarianzas de sus shocks 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w:t>
      </w:r>
      <w:r>
        <w:t xml:space="preserve"> </w:t>
      </w:r>
      <w:r>
        <w:t xml:space="preserve">en moneda extranjera. Por ella pasan las proyecciones del VAR, anualizadas, para calcular la</w:t>
      </w:r>
      <w:r>
        <w:t xml:space="preserve"> </w:t>
      </w:r>
      <w:r>
        <w:t xml:space="preserve">deuda de manera recursiva y construir los gráficos de abanico.</w:t>
      </w:r>
    </w:p>
    <w:p>
      <w:pPr>
        <w:pStyle w:val="FirstParagraph"/>
      </w:pPr>
      <w:r>
        <w:t xml:space="preserve">El marco vigente del FMI (2021, párr. 52) mantiene la idea central: el gráfico de abanico se</w:t>
      </w:r>
      <w:r>
        <w:t xml:space="preserve"> </w:t>
      </w:r>
      <w:r>
        <w:t xml:space="preserve">arma aplicando al escenario base shocks tomados de la historia de los determinantes de la deuda.</w:t>
      </w:r>
    </w:p>
    <w:p>
      <w:pPr>
        <w:pStyle w:val="BodyText"/>
      </w:pPr>
      <w:r>
        <w:t xml:space="preserve">El modelo de esta tesis conserva esas tres piezas. Agrega dos cosas que la vacancia justifica: los</w:t>
      </w:r>
      <w:r>
        <w:t xml:space="preserve"> </w:t>
      </w:r>
      <w:r>
        <w:t xml:space="preserve">shocks se identifican estructuralmente y la tasa de la FED entra como un shock externo con</w:t>
      </w:r>
      <w:r>
        <w:t xml:space="preserve"> </w:t>
      </w:r>
      <w:r>
        <w:t xml:space="preserve">nombre propio.</w:t>
      </w:r>
    </w:p>
    <w:bookmarkEnd w:id="47"/>
    <w:bookmarkStart w:id="48" w:name="variables-del-sistema"/>
    <w:p>
      <w:pPr>
        <w:pStyle w:val="Heading2"/>
      </w:pPr>
      <w:r>
        <w:t xml:space="preserve">4.2 Variables del sistema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no la brecha del producto, porque es lo que entra en la identidad. El PIB real publicado no está desestacionalizado, por lo que el modelo incluye variables binarias estacionales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 que caracteriza la respuesta del superávit al endeudamiento.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spread).</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Entra rezagada en las ecuaciones;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Shock 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Dummies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Bai-Perron estimados sobre la propia serie de deuda (Bai y Perron, 2003).</w:t>
            </w:r>
          </w:p>
        </w:tc>
      </w:tr>
    </w:tbl>
    <w:p>
      <w:pPr>
        <w:pStyle w:val="BodyText"/>
      </w:pPr>
      <w:r>
        <w:rPr>
          <w:b/>
          <w:bCs/>
        </w:rPr>
        <w:t xml:space="preserve">Por qué la deuda entra rezagada y se acumula con la identidad.</w:t>
      </w:r>
      <w:r>
        <w:t xml:space="preserve"> </w:t>
      </w:r>
      <w:r>
        <w:t xml:space="preserve">Favero y Giavazzi (2007)</w:t>
      </w:r>
      <w:r>
        <w:t xml:space="preserve"> </w:t>
      </w:r>
      <w:r>
        <w:t xml:space="preserve">muestran que un VAR fiscal que omite la retroalimentación de la deuda está mal especificado:</w:t>
      </w:r>
      <w:r>
        <w:t xml:space="preserve"> </w:t>
      </w:r>
      <w:r>
        <w:t xml:space="preserve">la restricción presupuestaria hace que el nivel de deuda condicione la política fiscal y las</w:t>
      </w:r>
      <w:r>
        <w:t xml:space="preserve"> </w:t>
      </w:r>
      <w:r>
        <w:t xml:space="preserve">tasas. Su solución es incluir la deuda rezagada en las ecuaciones y hacerla evolucionar con la</w:t>
      </w:r>
      <w:r>
        <w:t xml:space="preserve"> </w:t>
      </w:r>
      <w:r>
        <w:t xml:space="preserve">identidad, no con una ecuación estimada. Eso permite captar los efectos conjuntos que plantea la pregunta de</w:t>
      </w:r>
      <w:r>
        <w:t xml:space="preserve"> </w:t>
      </w:r>
      <w:r>
        <w:t xml:space="preserve">investigación y mantiene la acumulación contablemente exacta.</w:t>
      </w:r>
    </w:p>
    <w:bookmarkEnd w:id="48"/>
    <w:bookmarkStart w:id="50" w:name="variables-exógenas"/>
    <w:p>
      <w:pPr>
        <w:pStyle w:val="Heading2"/>
      </w:pPr>
      <w:r>
        <w:t xml:space="preserve">4.3 Variables exógenas</w:t>
      </w:r>
    </w:p>
    <w:p>
      <w:pPr>
        <w:pStyle w:val="FirstParagraph"/>
      </w:pPr>
      <w:r>
        <w:t xml:space="preserve">Argentina es una economía pequeña y abierta: sus variables no afectan la tasa de la FED ni el</w:t>
      </w:r>
      <w:r>
        <w:t xml:space="preserve"> </w:t>
      </w:r>
      <w:r>
        <w:t xml:space="preserve">VIX. En los VAR de economías pequeñas y abiertas, el supuesto estándar es que las variables</w:t>
      </w:r>
      <w:r>
        <w:t xml:space="preserve"> </w:t>
      </w:r>
      <w:r>
        <w:t xml:space="preserve">externas forman un bloque exógeno (Cushman y Zha, 1997). Así se modela la transmisión de los</w:t>
      </w:r>
      <w:r>
        <w:t xml:space="preserve"> </w:t>
      </w:r>
      <w:r>
        <w:t xml:space="preserve">shocks de Estados Unidos a América Latina (Canova, 2005) y la relación entre tasas</w:t>
      </w:r>
      <w:r>
        <w:t xml:space="preserve"> </w:t>
      </w:r>
      <w:r>
        <w:t xml:space="preserve">internacionales y spreads en emergentes (Uribe y Yue, 2006).</w:t>
      </w:r>
    </w:p>
    <w:p>
      <w:pPr>
        <w:pStyle w:val="BodyText"/>
      </w:pPr>
      <w:r>
        <w:t xml:space="preserve">Una consecuencia importante es que</w:t>
      </w:r>
      <w:r>
        <w:t xml:space="preserve"> </w:t>
      </w:r>
      <w:r>
        <w:rPr>
          <w:b/>
          <w:bCs/>
        </w:rPr>
        <w:t xml:space="preserve">el efecto de la FED (H2) no depende de cómo se ordenen las</w:t>
      </w:r>
      <w:r>
        <w:rPr>
          <w:b/>
          <w:bCs/>
        </w:rPr>
        <w:t xml:space="preserve"> </w:t>
      </w:r>
      <w:r>
        <w:rPr>
          <w:b/>
          <w:bCs/>
        </w:rPr>
        <w:t xml:space="preserve">variables argentinas entre sí</w:t>
      </w:r>
      <w:r>
        <w:t xml:space="preserve">. Se calcula como un multiplicador dinámico de la variable</w:t>
      </w:r>
      <w:r>
        <w:t xml:space="preserve"> </w:t>
      </w:r>
      <w:r>
        <w:t xml:space="preserve">exógena.</w:t>
      </w:r>
    </w:p>
    <w:p>
      <w:pPr>
        <w:pStyle w:val="BodyText"/>
      </w:pPr>
      <w:r>
        <w:t xml:space="preserve">La serie es la tasa de fondos federales. En los trimestres en que esa tasa estuvo en el piso de</w:t>
      </w:r>
      <w:r>
        <w:t xml:space="preserve"> </w:t>
      </w:r>
      <w:r>
        <w:t xml:space="preserve">cero se usa la tasa sombra de Wu y Xia (2016), que mide la orientación de la política monetaria</w:t>
      </w:r>
      <w:r>
        <w:t xml:space="preserve"> </w:t>
      </w:r>
      <w:r>
        <w:t xml:space="preserve">cuando la tasa efectiva no puede bajar más.</w:t>
      </w:r>
    </w:p>
    <w:bookmarkStart w:id="49" w:name="X4626adc4a04cc38647431de13eed7f7fdb244c4"/>
    <w:p>
      <w:pPr>
        <w:pStyle w:val="Heading3"/>
      </w:pPr>
      <w:r>
        <w:t xml:space="preserve">Canales por los que opera el shock de la FED</w:t>
      </w:r>
    </w:p>
    <w:p>
      <w:pPr>
        <w:pStyle w:val="FirstParagraph"/>
      </w:pPr>
      <w:r>
        <w:t xml:space="preserve">Cada canal de transmisión que plantea la pregunta específica (Capítulo 1) está representado por una variable del sistema. Por eso el modelo puede medir cuánto pasa por cada uno.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 (tasa de la FED más el spread).</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tasa-crecimiento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 r - g.</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49"/>
    <w:bookmarkEnd w:id="50"/>
    <w:bookmarkStart w:id="51" w:name="identificación-de-los-shocks-domésticos"/>
    <w:p>
      <w:pPr>
        <w:pStyle w:val="Heading2"/>
      </w:pPr>
      <w:r>
        <w:t xml:space="preserve">4.4 Identificación de los shocks domésticos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Shock</w:t>
            </w:r>
          </w:p>
        </w:tc>
        <w:tc>
          <w:tcPr/>
          <w:p>
            <w:pPr>
              <w:pStyle w:val="Compact"/>
            </w:pPr>
            <w:r>
              <w:rPr>
                <w:rFonts w:ascii="Calibri" w:hAnsi="Calibri"/>
                <w:sz w:val="20"/>
              </w:rPr>
              <w:t xml:space="preserve">Supuesto</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El componente cíclico del resultado primario se descuenta con una elasticidad de 0,25, y el resto es el shock fiscal discrecional.</w:t>
            </w:r>
          </w:p>
        </w:tc>
        <w:tc>
          <w:tcPr/>
          <w:p>
            <w:pPr>
              <w:pStyle w:val="Compact"/>
            </w:pPr>
            <w:r>
              <w:rPr>
                <w:rFonts w:ascii="Calibri" w:hAnsi="Calibri"/>
                <w:sz w:val="20"/>
              </w:rPr>
              <w:t xml:space="preserve">Blanchard y Perotti (2002). La política discrecional tarda más de un trimestre en reaccionar, y la elasticidad se toma de estimaciones externas (Girouard y André, 2005).</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El producto puede responder al shock fiscal dentro del trimestre.</w:t>
            </w:r>
          </w:p>
        </w:tc>
        <w:tc>
          <w:tcPr/>
          <w:p>
            <w:pPr>
              <w:pStyle w:val="Compact"/>
            </w:pPr>
            <w:r>
              <w:rPr>
                <w:rFonts w:ascii="Calibri" w:hAnsi="Calibri"/>
                <w:sz w:val="20"/>
              </w:rPr>
              <w:t xml:space="preserve">Blanchard y Perotti (2002).</w:t>
            </w:r>
          </w:p>
        </w:tc>
      </w:tr>
      <w:tr>
        <w:tc>
          <w:tcPr/>
          <w:p>
            <w:pPr>
              <w:pStyle w:val="Compact"/>
            </w:pPr>
            <w:r>
              <w:rPr>
                <w:rFonts w:ascii="Calibri" w:hAnsi="Calibri"/>
                <w:sz w:val="20"/>
              </w:rPr>
              <w:t xml:space="preserve">Riesgo soberano y tipo de cambio</w:t>
            </w:r>
          </w:p>
        </w:tc>
        <w:tc>
          <w:tcPr/>
          <w:p>
            <w:pPr>
              <w:pStyle w:val="Compact"/>
            </w:pPr>
            <w:r>
              <w:rPr>
                <w:rFonts w:ascii="Calibri" w:hAnsi="Calibri"/>
                <w:sz w:val="20"/>
              </w:rPr>
              <w:t xml:space="preserve">Se identifican como</w:t>
            </w:r>
            <w:r>
              <w:rPr>
                <w:rFonts w:ascii="Calibri" w:hAnsi="Calibri"/>
                <w:sz w:val="20"/>
              </w:rPr>
              <w:t xml:space="preserve"> </w:t>
            </w:r>
            <w:r>
              <w:rPr>
                <w:rFonts w:ascii="Calibri" w:hAnsi="Calibri"/>
                <w:b/>
                <w:bCs/>
                <w:sz w:val="20"/>
              </w:rPr>
              <w:t xml:space="preserve">bloque</w:t>
            </w:r>
            <w:r>
              <w:rPr>
                <w:rFonts w:ascii="Calibri" w:hAnsi="Calibri"/>
                <w:sz w:val="20"/>
              </w:rPr>
              <w:t xml:space="preserve">, sin ordenarlos entre sí. Se reporta solo su contribución conjunta.</w:t>
            </w:r>
          </w:p>
        </w:tc>
        <w:tc>
          <w:tcPr/>
          <w:p>
            <w:pPr>
              <w:pStyle w:val="Compact"/>
            </w:pPr>
            <w:r>
              <w:rPr>
                <w:rFonts w:ascii="Calibri" w:hAnsi="Calibri"/>
                <w:sz w:val="20"/>
              </w:rPr>
              <w:t xml:space="preserve">Christiano, Eichenbaum y Evans (1999): con una identificación recursiva por bloques, lo que se identifica no depende del orden dentro de cada bloque. No hay razón teórica para ordenar el EMBI+ y el tipo de cambio, y H1a solo necesita el bloque</w:t>
            </w:r>
            <w:r>
              <w:rPr>
                <w:rFonts w:ascii="Calibri" w:hAnsi="Calibri"/>
                <w:sz w:val="20"/>
              </w:rPr>
              <w:t xml:space="preserve"> </w:t>
            </w:r>
            <w:r>
              <w:rPr>
                <w:rFonts w:ascii="Calibri" w:hAnsi="Calibri"/>
                <w:sz w:val="20"/>
              </w:rPr>
              <w:t xml:space="preserve">“cambiario y de riesgo”</w:t>
            </w:r>
            <w:r>
              <w:rPr>
                <w:rFonts w:ascii="Calibri" w:hAnsi="Calibri"/>
                <w:sz w:val="20"/>
              </w:rPr>
              <w:t xml:space="preserve"> </w:t>
            </w:r>
            <w:r>
              <w:rPr>
                <w:rFonts w:ascii="Calibri" w:hAnsi="Calibri"/>
                <w:sz w:val="20"/>
              </w:rPr>
              <w:t xml:space="preserve">en conjunto.</w:t>
            </w:r>
          </w:p>
        </w:tc>
      </w:tr>
    </w:tbl>
    <w:bookmarkEnd w:id="51"/>
    <w:bookmarkStart w:id="52" w:name="niveles-rezagos-e-inferencia"/>
    <w:p>
      <w:pPr>
        <w:pStyle w:val="Heading2"/>
      </w:pPr>
      <w:r>
        <w:t xml:space="preserve">4.5 Niveles, rezagos e inferencia</w:t>
      </w:r>
    </w:p>
    <w:p>
      <w:pPr>
        <w:pStyle w:val="Compact"/>
        <w:numPr>
          <w:ilvl w:val="0"/>
          <w:numId w:val="1003"/>
        </w:numPr>
      </w:pPr>
      <w:r>
        <w:rPr>
          <w:b/>
          <w:bCs/>
        </w:rPr>
        <w:t xml:space="preserve">Variables en niveles.</w:t>
      </w:r>
      <w:r>
        <w:t xml:space="preserve"> </w:t>
      </w:r>
      <w:r>
        <w:t xml:space="preserve">El VAR se estima en niveles aunque algunas variables tengan raíz</w:t>
      </w:r>
      <w:r>
        <w:t xml:space="preserve"> </w:t>
      </w:r>
      <w:r>
        <w:t xml:space="preserve">unitaria. Sims, Stock y Watson (1990) muestran que las estimaciones siguen siendo consistentes</w:t>
      </w:r>
      <w:r>
        <w:t xml:space="preserve"> </w:t>
      </w:r>
      <w:r>
        <w:t xml:space="preserve">sin imponer relaciones de cointegración. Para 1996-2025, la prueba de Johansen no rechaza la</w:t>
      </w:r>
      <w:r>
        <w:t xml:space="preserve"> </w:t>
      </w:r>
      <w:r>
        <w:t xml:space="preserve">ausencia de cointegración, por lo que imponer un rango concreto sería un supuesto sin respaldo.</w:t>
      </w:r>
    </w:p>
    <w:p>
      <w:pPr>
        <w:pStyle w:val="Compact"/>
        <w:numPr>
          <w:ilvl w:val="0"/>
          <w:numId w:val="1003"/>
        </w:numPr>
      </w:pPr>
      <w:r>
        <w:rPr>
          <w:b/>
          <w:bCs/>
        </w:rPr>
        <w:t xml:space="preserve">Muestra de estimación.</w:t>
      </w:r>
      <w:r>
        <w:t xml:space="preserve"> </w:t>
      </w:r>
      <w:r>
        <w:t xml:space="preserve">Todas las series cubren 1996-2025 y todas las especificaciones se estiman sobre la misma muestra efectiva, 1998T2-2025T4 (111 trimestres). Los primeros trimestres no se pierden por falta de datos: se usan como condiciones iniciales de los rezagos (la variación de la tasa de la FED con dos rezagos y hasta seis rezagos del VAR). Reservar el mismo número de observaciones para cualquier orden del VAR es lo que permite comparar los criterios de información entre órdenes (Lütkepohl, 2005, sec. 4.3) y hace que la deuda neta, la neta en libros y la bruta se estimen sobre exactamente los mismos trimestres. La simulación usa esa misma muestra para remuestrear los shocks, y la variante con shocks como los del FMI usa los años 1997-2025 de las mismas series.</w:t>
      </w:r>
    </w:p>
    <w:p>
      <w:pPr>
        <w:pStyle w:val="Compact"/>
        <w:numPr>
          <w:ilvl w:val="0"/>
          <w:numId w:val="1003"/>
        </w:numPr>
      </w:pPr>
      <w:r>
        <w:rPr>
          <w:b/>
          <w:bCs/>
        </w:rPr>
        <w:t xml:space="preserve">Rezagos.</w:t>
      </w:r>
      <w:r>
        <w:t xml:space="preserve"> </w:t>
      </w:r>
      <w:r>
        <w:t xml:space="preserve">El orden del VAR se elige con el criterio de información de Akaike (AIC), sujeto a que el modelo sea estable, es decir, a que todas las raíces de su polinomio característico queden fuera del círculo unitario. La estabilidad no es un requisito accesorio: es la condición para que el VAR tenga una representación de medias móviles, en la que se apoyan las respuestas al impulso y la simulación de largo plazo (Lütkepohl, 2005, cap. 2 y 4). Si el orden que elige el AIC produce un modelo inestable, se toma el mayor orden estable inferior. Con la deuda consolidada neta, el AIC alcanza su mínimo en seis rezagos, el máximo considerado, pero todos los órdenes desde cuatro son inestables (raíz máxima entre 1,02 y 1,03), por lo que se usan tres (raíz máxima de 0,96). Los criterios de Hannan-Quinn y de Schwarz eligen órdenes menores (dos y uno), de modo que tres rezagos quedan dentro del rango que sugieren los tres criterios. Con la deuda bruta, el mayor orden estable es cuatro (raíz máxima de 0,99). La prueba de Portmanteau detecta autocorrelación residual leve en los modelos estables (p entre 0,02 y 0,04), que se informa como limitación.</w:t>
      </w:r>
    </w:p>
    <w:p>
      <w:pPr>
        <w:pStyle w:val="Compact"/>
        <w:numPr>
          <w:ilvl w:val="0"/>
          <w:numId w:val="1003"/>
        </w:numPr>
      </w:pPr>
      <w:r>
        <w:rPr>
          <w:b/>
          <w:bCs/>
        </w:rPr>
        <w:t xml:space="preserve">Intervalos de confianza.</w:t>
      </w:r>
      <w:r>
        <w:t xml:space="preserve"> </w:t>
      </w:r>
      <w:r>
        <w:t xml:space="preserve">Los residuos de este tipo de modelos para Argentina rechazan la normalidad, y la volatilidad de las variables cambia entre subperíodos. Por eso los intervalos se calculan con un</w:t>
      </w:r>
      <w:r>
        <w:t xml:space="preserve"> </w:t>
      </w:r>
      <w:r>
        <w:rPr>
          <w:i/>
          <w:iCs/>
        </w:rPr>
        <w:t xml:space="preserve">bootstrap</w:t>
      </w:r>
      <w:r>
        <w:t xml:space="preserve"> </w:t>
      </w:r>
      <w:r>
        <w:t xml:space="preserve">salvaje de diseño recursivo, que es válido con heterocedasticidad condicional de forma desconocida y también sin ella (Gonçalves y Kilian, 2004), con semilla fija para que sean reproducibles. Los diagnósticos del modelo estimado se presentan en el Capítulo 6.</w:t>
      </w:r>
    </w:p>
    <w:bookmarkEnd w:id="52"/>
    <w:bookmarkStart w:id="53" w:name="simulación-de-monte-carlo"/>
    <w:p>
      <w:pPr>
        <w:pStyle w:val="Heading2"/>
      </w:pPr>
      <w:r>
        <w:t xml:space="preserve">4.6 Simulación de Monte Carlo</w:t>
      </w:r>
    </w:p>
    <w:p>
      <w:pPr>
        <w:pStyle w:val="Compact"/>
        <w:numPr>
          <w:ilvl w:val="0"/>
          <w:numId w:val="1004"/>
        </w:numPr>
      </w:pPr>
      <w:r>
        <w:rPr>
          <w:b/>
          <w:bCs/>
        </w:rPr>
        <w:t xml:space="preserve">De dónde salen.</w:t>
      </w:r>
      <w:r>
        <w:t xml:space="preserve"> </w:t>
      </w:r>
      <w:r>
        <w:t xml:space="preserve">Se remuestrean los residuos estimados, que conservan las colas gordas que</w:t>
      </w:r>
      <w:r>
        <w:t xml:space="preserve"> </w:t>
      </w:r>
      <w:r>
        <w:t xml:space="preserve">la normal no captura. Es la versión econométrica del principio del FMI de usar shocks</w:t>
      </w:r>
      <w:r>
        <w:t xml:space="preserve"> </w:t>
      </w:r>
      <w:r>
        <w:t xml:space="preserve">históricos (FMI, 2021, párr. 52).</w:t>
      </w:r>
    </w:p>
    <w:p>
      <w:pPr>
        <w:pStyle w:val="Compact"/>
        <w:numPr>
          <w:ilvl w:val="0"/>
          <w:numId w:val="1004"/>
        </w:numPr>
      </w:pPr>
      <w:r>
        <w:rPr>
          <w:b/>
          <w:bCs/>
        </w:rPr>
        <w:t xml:space="preserve">Incertidumbre de parámetros.</w:t>
      </w:r>
      <w:r>
        <w:t xml:space="preserve"> </w:t>
      </w:r>
      <w:r>
        <w:t xml:space="preserve">Cada trayectoria usa parámetros de una réplica del</w:t>
      </w:r>
      <w:r>
        <w:t xml:space="preserve"> </w:t>
      </w:r>
      <w:r>
        <w:rPr>
          <w:i/>
          <w:iCs/>
        </w:rPr>
        <w:t xml:space="preserve">bootstrap</w:t>
      </w:r>
      <w:r>
        <w:t xml:space="preserve">. Eso da el intervalo de confianza con el que se contrasta H1b.</w:t>
      </w:r>
    </w:p>
    <w:p>
      <w:pPr>
        <w:pStyle w:val="Compact"/>
        <w:numPr>
          <w:ilvl w:val="0"/>
          <w:numId w:val="1004"/>
        </w:numPr>
      </w:pPr>
      <w:r>
        <w:rPr>
          <w:b/>
          <w:bCs/>
        </w:rPr>
        <w:t xml:space="preserve">Escenario base.</w:t>
      </w:r>
      <w:r>
        <w:t xml:space="preserve"> </w:t>
      </w:r>
      <w:r>
        <w:t xml:space="preserve">Los senderos son los del análisis de sostenibilidad más reciente del FMI (2026, cuadro 6), publicado en mayo de 2026: crecimiento, deflactor del PIB, resultado primario, tasa efectiva y ajuste stock-flujo. Así la comparación con su probabilidad de no estabilización es directa. Como robustez se usa el escenario anterior, de abril de 2025 (FMI, 2025, anexo II).</w:t>
      </w:r>
    </w:p>
    <w:p>
      <w:pPr>
        <w:pStyle w:val="Compact"/>
        <w:numPr>
          <w:ilvl w:val="0"/>
          <w:numId w:val="1004"/>
        </w:numPr>
      </w:pPr>
      <w:r>
        <w:rPr>
          <w:b/>
          <w:bCs/>
        </w:rPr>
        <w:t xml:space="preserve">Tamaño del shock de la FED.</w:t>
      </w:r>
      <w:r>
        <w:t xml:space="preserve"> </w:t>
      </w:r>
      <w:r>
        <w:t xml:space="preserve">Un desvío estándar de la variación trimestral, 0,50 puntos</w:t>
      </w:r>
      <w:r>
        <w:t xml:space="preserve"> </w:t>
      </w:r>
      <w:r>
        <w:t xml:space="preserve">porcentuales, que es la convención para medir respuestas en estos modelos. Como escenario</w:t>
      </w:r>
      <w:r>
        <w:t xml:space="preserve"> </w:t>
      </w:r>
      <w:r>
        <w:t xml:space="preserve">histórico se agrega el ciclo de subas de 2022-2023, de 5,25 puntos.</w:t>
      </w:r>
    </w:p>
    <w:p>
      <w:pPr>
        <w:pStyle w:val="Compact"/>
        <w:numPr>
          <w:ilvl w:val="0"/>
          <w:numId w:val="1004"/>
        </w:numPr>
      </w:pPr>
      <w:r>
        <w:rPr>
          <w:b/>
          <w:bCs/>
        </w:rPr>
        <w:t xml:space="preserve">Tasa en dólares.</w:t>
      </w:r>
      <w:r>
        <w:t xml:space="preserve"> </w:t>
      </w:r>
      <w:r>
        <w:t xml:space="preserve">Es la tasa de la FED más el EMBI+ simulado. No se traslada de inmediato a toda la deuda: cada año se refinancia la fracción λ = 18,0/63,6 ≈ 0,28, que es el cociente entre las necesidades brutas de financiamiento promedio y la deuda promedio de los seis primeros años del escenario base del FMI (2026, cuadro 6).</w:t>
      </w:r>
    </w:p>
    <w:p>
      <w:pPr>
        <w:pStyle w:val="Compact"/>
        <w:numPr>
          <w:ilvl w:val="0"/>
          <w:numId w:val="1004"/>
        </w:numPr>
      </w:pPr>
      <w:r>
        <w:rPr>
          <w:b/>
          <w:bCs/>
        </w:rPr>
        <w:t xml:space="preserve">Canal de tasas domésticas (variante).</w:t>
      </w:r>
      <w:r>
        <w:t xml:space="preserve"> </w:t>
      </w:r>
      <w:r>
        <w:t xml:space="preserve">En la especificación principal, el EMBI+ encarece solo la deuda en moneda extranjera. En la variante, el mismo desvío del EMBI+ también reprecia la deuda en pesos, con la misma velocidad λ. El fundamento es la tasa de interés del país de Neumeyer y Perri (2005) y Uribe y Yue (2006): el costo del crédito para el soberano es la tasa internacional más la prima de riesgo, cualquiera sea la moneda. No se agrega una tasa en pesos como variable del VAR porque no hay una serie homogénea para 1996-2025: la convertibilidad, el control de tasas posterior a 2002 y la indexación por CER cambian el significado de cualquier tasa nominal en pesos entre subperíodos.</w:t>
      </w:r>
    </w:p>
    <w:p>
      <w:pPr>
        <w:pStyle w:val="Compact"/>
        <w:numPr>
          <w:ilvl w:val="0"/>
          <w:numId w:val="1004"/>
        </w:numPr>
      </w:pPr>
      <w:r>
        <w:rPr>
          <w:b/>
          <w:bCs/>
        </w:rPr>
        <w:t xml:space="preserve">Shocks como los del FMI (variante).</w:t>
      </w:r>
      <w:r>
        <w:t xml:space="preserve"> </w:t>
      </w:r>
      <w:r>
        <w:t xml:space="preserve">Para saber cuánto del resultado depende de la forma de generar los shocks, se repite la simulación con el procedimiento del abanico del FMI (FMI, 2021, anexo VI; FMI y ESM, 2023): se calculan los desvíos respecto de la media histórica de los cuatro impulsores anuales de la deuda (tasa real efectiva, crecimiento real, depreciación real y resultado primario, 1997-2025), se los remuestrea como vectores, para conservar la correlación entre impulsores, en bloques de dos años consecutivos, para conservar parte de la persistencia, y se los suma al escenario base. La identidad, el punto de partida y la métrica son los mismos. La tasa real efectiva es el cociente entre los intereses pagados (resultado primario menos resultado financiero del Sector Público Nacional, MECON) y la deuda bruta del año anterior, deflactado por el deflactor del PIB.</w:t>
      </w:r>
    </w:p>
    <w:p>
      <w:pPr>
        <w:pStyle w:val="Compact"/>
        <w:numPr>
          <w:ilvl w:val="0"/>
          <w:numId w:val="1004"/>
        </w:numPr>
      </w:pPr>
      <w:r>
        <w:rPr>
          <w:b/>
          <w:bCs/>
        </w:rPr>
        <w:t xml:space="preserve">Por qué la especificación principal es el SVARX.</w:t>
      </w:r>
      <w:r>
        <w:t xml:space="preserve"> </w:t>
      </w:r>
      <w:r>
        <w:t xml:space="preserve">La elección se fija antes de ver los resultados y no según cuál da una probabilidad mayor. El procedimiento del FMI genera shocks en forma reducida: no distingue un shock fiscal de uno cambiario ni aísla la tasa de la FED. Por eso no puede contrastar H1a, que compara bloques de shocks, ni H2, que requiere un shock externo identificado. El SVARX sí puede, y además incorpora la respuesta de la política fiscal a la deuda (Bohn, 1998). La variante del FMI se informa como comparación metodológica.</w:t>
      </w:r>
    </w:p>
    <w:bookmarkEnd w:id="53"/>
    <w:bookmarkStart w:id="54" w:name="contraste-de-las-hipótesis"/>
    <w:p>
      <w:pPr>
        <w:pStyle w:val="Heading2"/>
      </w:pPr>
      <w:r>
        <w:t xml:space="preserve">4.7 Contraste de las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 shocks (fiscal, actividad, cambiario y de riesgo) a la varianza de la deuda simulada en 2035, y reacción fiscal de Bohn como caracterización complementaria</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la contribución conjunta de los shocks no fiscales supera a la del shock fiscal, con un intervalo de 90% de la diferencia que excluye el cero. Una reacción fiscal positiva no contradice la hipótesis: indica que el superávit responde a la deuda, no que alcance para estabilizarla.</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 a cinco años (2030) y a diez años (2035)</w:t>
            </w:r>
          </w:p>
        </w:tc>
        <w:tc>
          <w:tcPr/>
          <w:p>
            <w:pPr>
              <w:pStyle w:val="Compact"/>
            </w:pPr>
            <w:r>
              <w:rPr>
                <w:rFonts w:ascii="Calibri" w:hAnsi="Calibri"/>
                <w:sz w:val="20"/>
              </w:rPr>
              <w:t xml:space="preserve">El límite inferior del intervalo de 90% supera la probabilidad del FMI para el mismo horizonte (contraste unilateral al 5%): 1,0% a mediano plazo y menos de 3% en el abanico de diez años que termina en 2035 (FMI, 2026).</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el escenario con shock de la FED y el escenario base</w:t>
            </w:r>
          </w:p>
        </w:tc>
        <w:tc>
          <w:tcPr/>
          <w:p>
            <w:pPr>
              <w:pStyle w:val="Compact"/>
            </w:pPr>
            <w:r>
              <w:rPr>
                <w:rFonts w:ascii="Calibri" w:hAnsi="Calibri"/>
                <w:sz w:val="20"/>
              </w:rPr>
              <w:t xml:space="preserve">El intervalo de 90% de la diferencia excluye el cero.</w:t>
            </w:r>
          </w:p>
        </w:tc>
      </w:tr>
    </w:tbl>
    <w:bookmarkEnd w:id="54"/>
    <w:bookmarkEnd w:id="55"/>
    <w:bookmarkStart w:id="71" w:name="datos"/>
    <w:p>
      <w:pPr>
        <w:pStyle w:val="Heading1"/>
      </w:pPr>
      <w:r>
        <w:t xml:space="preserve">5. Datos</w:t>
      </w:r>
    </w:p>
    <w:p>
      <w:pPr>
        <w:pStyle w:val="FirstParagraph"/>
      </w:pPr>
      <w:r>
        <w:t xml:space="preserve">Las series son trimestrales y cubren 1996T1-2025T4. Todas se construyeron desde fuentes primarias con procedimientos reproducibles, sin cifras cargadas a mano. Este capítulo resume qué mide cada serie, de dónde sale y por qué se la construyó así, y la contrasta con las cifras del FMI. Los estadísticos descriptivos de la muestra de estimación están en el Apéndice.</w:t>
      </w:r>
    </w:p>
    <w:bookmarkStart w:id="56" w:name="series-y-fuentes"/>
    <w:p>
      <w:pPr>
        <w:pStyle w:val="Heading2"/>
      </w:pPr>
      <w:r>
        <w:t xml:space="preserve">5.1 Series y fuentes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 en el modelo</w:t>
            </w:r>
          </w:p>
        </w:tc>
        <w:tc>
          <w:tcPr/>
          <w:p>
            <w:pPr>
              <w:pStyle w:val="Compact"/>
            </w:pPr>
            <w:r>
              <w:rPr>
                <w:rFonts w:ascii="Calibri" w:hAnsi="Calibri"/>
                <w:sz w:val="20"/>
              </w:rPr>
              <w:t xml:space="preserve">Fuente</w:t>
            </w:r>
          </w:p>
        </w:tc>
        <w:tc>
          <w:tcPr/>
          <w:p>
            <w:pPr>
              <w:pStyle w:val="Compact"/>
            </w:pPr>
            <w:r>
              <w:rPr>
                <w:rFonts w:ascii="Calibri" w:hAnsi="Calibri"/>
                <w:sz w:val="20"/>
              </w:rPr>
              <w:t xml:space="preserve">Construcción</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Rezagada en las ecuaciones y acumulada en la simulación</w:t>
            </w:r>
          </w:p>
        </w:tc>
        <w:tc>
          <w:tcPr/>
          <w:p>
            <w:pPr>
              <w:pStyle w:val="Compact"/>
            </w:pPr>
            <w:r>
              <w:rPr>
                <w:rFonts w:ascii="Calibri" w:hAnsi="Calibri"/>
                <w:sz w:val="20"/>
              </w:rPr>
              <w:t xml:space="preserve">MECON (deuda de la Administración Central) y BCRA (balance y estadísticas monetarias)</w:t>
            </w:r>
          </w:p>
        </w:tc>
        <w:tc>
          <w:tcPr/>
          <w:p>
            <w:pPr>
              <w:pStyle w:val="Compact"/>
            </w:pPr>
            <w:r>
              <w:rPr>
                <w:rFonts w:ascii="Calibri" w:hAnsi="Calibri"/>
                <w:sz w:val="20"/>
              </w:rPr>
              <w:t xml:space="preserve">Sección 5.2</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MECON, esquema ahorro-inversión-financiamiento del Sector Público Nacional, base caja</w:t>
            </w:r>
          </w:p>
        </w:tc>
        <w:tc>
          <w:tcPr/>
          <w:p>
            <w:pPr>
              <w:pStyle w:val="Compact"/>
            </w:pPr>
            <w:r>
              <w:rPr>
                <w:rFonts w:ascii="Calibri" w:hAnsi="Calibri"/>
                <w:sz w:val="20"/>
              </w:rPr>
              <w:t xml:space="preserve">Suma mensual por trimestre, anualizada sobre el PIB de cuatro trimestres</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INDEC, PIB a precios constantes</w:t>
            </w:r>
          </w:p>
        </w:tc>
        <w:tc>
          <w:tcPr/>
          <w:p>
            <w:pPr>
              <w:pStyle w:val="Compact"/>
            </w:pPr>
            <w:r>
              <w:rPr>
                <w:rFonts w:ascii="Calibri" w:hAnsi="Calibri"/>
                <w:sz w:val="20"/>
              </w:rPr>
              <w:t xml:space="preserve">Variación logarítmica trimestral; 1996-2003 en base 1993 empalmada a base 2004</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Endógena</w:t>
            </w:r>
          </w:p>
        </w:tc>
        <w:tc>
          <w:tcPr/>
          <w:p>
            <w:pPr>
              <w:pStyle w:val="Compact"/>
            </w:pPr>
            <w:r>
              <w:rPr>
                <w:rFonts w:ascii="Calibri" w:hAnsi="Calibri"/>
                <w:sz w:val="20"/>
              </w:rPr>
              <w:t xml:space="preserve">J.P. Morgan; antes de 1998,</w:t>
            </w:r>
            <w:r>
              <w:rPr>
                <w:rFonts w:ascii="Calibri" w:hAnsi="Calibri"/>
                <w:sz w:val="20"/>
              </w:rPr>
              <w:t xml:space="preserve"> </w:t>
            </w:r>
            <w:r>
              <w:rPr>
                <w:rFonts w:ascii="Calibri" w:hAnsi="Calibri"/>
                <w:i/>
                <w:iCs/>
                <w:sz w:val="20"/>
              </w:rPr>
              <w:t xml:space="preserve">stripped spread</w:t>
            </w:r>
            <w:r>
              <w:rPr>
                <w:rFonts w:ascii="Calibri" w:hAnsi="Calibri"/>
                <w:sz w:val="20"/>
              </w:rPr>
              <w:t xml:space="preserve"> </w:t>
            </w:r>
            <w:r>
              <w:rPr>
                <w:rFonts w:ascii="Calibri" w:hAnsi="Calibri"/>
                <w:sz w:val="20"/>
              </w:rPr>
              <w:t xml:space="preserve">de los bonos Brady</w:t>
            </w:r>
          </w:p>
        </w:tc>
        <w:tc>
          <w:tcPr/>
          <w:p>
            <w:pPr>
              <w:pStyle w:val="Compact"/>
            </w:pPr>
            <w:r>
              <w:rPr>
                <w:rFonts w:ascii="Calibri" w:hAnsi="Calibri"/>
                <w:sz w:val="20"/>
              </w:rPr>
              <w:t xml:space="preserve">Promedio trimestral, con empalme en 1998</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BCRA</w:t>
            </w:r>
          </w:p>
        </w:tc>
        <w:tc>
          <w:tcPr/>
          <w:p>
            <w:pPr>
              <w:pStyle w:val="Compact"/>
            </w:pPr>
            <w:r>
              <w:rPr>
                <w:rFonts w:ascii="Calibri" w:hAnsi="Calibri"/>
                <w:sz w:val="20"/>
              </w:rPr>
              <w:t xml:space="preserve">Promedio trimestral del índice</w:t>
            </w:r>
          </w:p>
        </w:tc>
      </w:tr>
      <w:tr>
        <w:tc>
          <w:tcPr/>
          <w:p>
            <w:pPr>
              <w:pStyle w:val="Compact"/>
            </w:pPr>
            <w:r>
              <w:rPr>
                <w:rFonts w:ascii="Calibri" w:hAnsi="Calibri"/>
                <w:sz w:val="20"/>
              </w:rPr>
              <w:t xml:space="preserve">Tasa de política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Reserva Federal (FRED) y tasa sombra de Wu y Xia (2016)</w:t>
            </w:r>
          </w:p>
        </w:tc>
        <w:tc>
          <w:tcPr/>
          <w:p>
            <w:pPr>
              <w:pStyle w:val="Compact"/>
            </w:pPr>
            <w:r>
              <w:rPr>
                <w:rFonts w:ascii="Calibri" w:hAnsi="Calibri"/>
                <w:sz w:val="20"/>
              </w:rPr>
              <w:t xml:space="preserve">Promedio trimestral; tasa sombra en el límite cero</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CBOE</w:t>
            </w:r>
          </w:p>
        </w:tc>
        <w:tc>
          <w:tcPr/>
          <w:p>
            <w:pPr>
              <w:pStyle w:val="Compact"/>
            </w:pPr>
            <w:r>
              <w:rPr>
                <w:rFonts w:ascii="Calibri" w:hAnsi="Calibri"/>
                <w:sz w:val="20"/>
              </w:rPr>
              <w:t xml:space="preserve">Promedio trimestral</w:t>
            </w:r>
          </w:p>
        </w:tc>
      </w:tr>
    </w:tbl>
    <w:p>
      <w:pPr>
        <w:pStyle w:val="BodyText"/>
      </w:pPr>
      <w:r>
        <w:rPr>
          <w:b/>
          <w:bCs/>
        </w:rPr>
        <w:t xml:space="preserve">Denominador.</w:t>
      </w:r>
      <w:r>
        <w:t xml:space="preserve"> </w:t>
      </w:r>
      <w:r>
        <w:t xml:space="preserve">Todos los cocientes usan el PIB nominal de los últimos cuatro trimestres. Dividir un stock por el PIB de un solo trimestre anualizado mezcla estacionalidad y, con inflación alta, distorsiona el cociente. En el cuarto trimestre, el denominador coincide con el PIB del año, que es la convención del FMI. Con inflación de tres dígitos (2023-2024), este denominador rezaga al PIB de fin de período y sobreestima el cociente en la aceleración.</w:t>
      </w:r>
    </w:p>
    <w:bookmarkEnd w:id="56"/>
    <w:bookmarkStart w:id="60" w:name="deuda-consolidada-neta"/>
    <w:p>
      <w:pPr>
        <w:pStyle w:val="Heading2"/>
      </w:pPr>
      <w:r>
        <w:t xml:space="preserve">5.2 Deuda consolidada neta</w:t>
      </w:r>
    </w:p>
    <w:p>
      <w:pPr>
        <w:pStyle w:val="FirstParagraph"/>
      </w:pPr>
      <w:r>
        <w:t xml:space="preserve">Se sigue la consolidación con el banco central del FMI (2021, anexo II): se restan los créditos del banco central contra el gobierno y se suman los pasivos de deuda del banco central.</w:t>
      </w:r>
    </w:p>
    <w:p>
      <w:pPr>
        <w:pStyle w:val="BodyText"/>
      </w:pPr>
      <w:r>
        <w:t xml:space="preserve">D = B − T + L − DEP</w:t>
      </w:r>
    </w:p>
    <w:p>
      <w:pPr>
        <w:pStyle w:val="Compact"/>
        <w:numPr>
          <w:ilvl w:val="0"/>
          <w:numId w:val="1005"/>
        </w:numPr>
      </w:pPr>
      <w:r>
        <w:rPr>
          <w:b/>
          <w:bCs/>
        </w:rPr>
        <w:t xml:space="preserve">B, deuda bruta de la Administración Central.</w:t>
      </w:r>
      <w:r>
        <w:t xml:space="preserve"> </w:t>
      </w:r>
      <w:r>
        <w:t xml:space="preserve">Informe de Deuda Pública del MECON, convertida a pesos con el tipo de cambio de fin de trimestre. En 1996-2001 el tipo de cambio es 1, por la convertibilidad. Los seis trimestres de 1996-1997 que no son cierre de año se interpolan en dólares.</w:t>
      </w:r>
    </w:p>
    <w:p>
      <w:pPr>
        <w:pStyle w:val="Compact"/>
        <w:numPr>
          <w:ilvl w:val="0"/>
          <w:numId w:val="1005"/>
        </w:numPr>
      </w:pPr>
      <w:r>
        <w:rPr>
          <w:b/>
          <w:bCs/>
        </w:rPr>
        <w:t xml:space="preserve">T, deuda del Tesoro en poder del BCRA.</w:t>
      </w:r>
      <w:r>
        <w:t xml:space="preserve"> </w:t>
      </w:r>
      <w:r>
        <w:t xml:space="preserve">Adelantos transitorios, títulos en pesos y Letras Intransferibles. Las Letras se valúan a su valor nominal, que publica el MECON, y no al valor contable del balance del BCRA. La razón es que la deuda bruta del MECON está a valor nominal, y restarle tenencias valuadas con otro criterio mezcla dos medidas. Cuando el valor contable supera al nominal, porque incluye otros créditos en dólares, se conserva el contable (variante</w:t>
      </w:r>
      <w:r>
        <w:t xml:space="preserve"> </w:t>
      </w:r>
      <w:r>
        <w:t xml:space="preserve">“piso”</w:t>
      </w:r>
      <w:r>
        <w:t xml:space="preserve">).</w:t>
      </w:r>
    </w:p>
    <w:p>
      <w:pPr>
        <w:pStyle w:val="Compact"/>
        <w:numPr>
          <w:ilvl w:val="0"/>
          <w:numId w:val="1005"/>
        </w:numPr>
      </w:pPr>
      <w:r>
        <w:rPr>
          <w:b/>
          <w:bCs/>
        </w:rPr>
        <w:t xml:space="preserve">L, pasivos remunerados del BCRA.</w:t>
      </w:r>
      <w:r>
        <w:t xml:space="preserve"> </w:t>
      </w:r>
      <w:r>
        <w:t xml:space="preserve">LEBAC y NOBAC, LELIQ y NOTALIQ, posición neta de pases y letras en moneda extranjera (BCRA, estadísticas monetarias). El swap con el Banco Popular de China no tiene serie pública y queda afuera.</w:t>
      </w:r>
    </w:p>
    <w:p>
      <w:pPr>
        <w:pStyle w:val="Compact"/>
        <w:numPr>
          <w:ilvl w:val="0"/>
          <w:numId w:val="1005"/>
        </w:numPr>
      </w:pPr>
      <w:r>
        <w:rPr>
          <w:b/>
          <w:bCs/>
        </w:rPr>
        <w:t xml:space="preserve">DEP, depósitos del Tesoro en el BCRA.</w:t>
      </w:r>
    </w:p>
    <w:p>
      <w:pPr>
        <w:pStyle w:val="FirstParagraph"/>
      </w:pPr>
      <w:r>
        <w:t xml:space="preserve">La Figura 5.1 muestra la serie principal, la variante con las Letras a valor contable y la deuda consolidada bruta (B + L).</w:t>
      </w:r>
    </w:p>
    <w:p>
      <w:pPr>
        <w:pStyle w:val="CaptionedFigure"/>
      </w:pPr>
      <w:r>
        <w:drawing>
          <wp:inline>
            <wp:extent cx="5334000" cy="2743200"/>
            <wp:effectExtent b="0" l="0" r="0" t="0"/>
            <wp:docPr descr="Figura 5.1. Deuda pública consolidada, 1996-2025 (% del PIB de los últimos cuatro trimestres). Los puntos son la deuda consolidada neta del FMI (2025, anexo II, cuadro 2) a diciembre de 2023 y de 2024." title="" id="58" name="Picture"/>
            <a:graphic>
              <a:graphicData uri="http://schemas.openxmlformats.org/drawingml/2006/picture">
                <pic:pic>
                  <pic:nvPicPr>
                    <pic:cNvPr descr="../tesis/figuras/fig5_1_deuda_consolidada_1996_2025.png" id="59" name="Picture"/>
                    <pic:cNvPicPr>
                      <a:picLocks noChangeArrowheads="1" noChangeAspect="1"/>
                    </pic:cNvPicPr>
                  </pic:nvPicPr>
                  <pic:blipFill>
                    <a:blip r:embed="rId57"/>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pública consolidada, 1996-2025 (% del PIB de los últimos cuatro trimestres). Los puntos son la deuda consolidada neta del FMI (2025, anexo II, cuadro 2) a diciembre de 2023 y de 2024.</w:t>
      </w:r>
    </w:p>
    <w:bookmarkEnd w:id="60"/>
    <w:bookmarkStart w:id="61" w:name="resultado-primario-y-crecimiento"/>
    <w:p>
      <w:pPr>
        <w:pStyle w:val="Heading2"/>
      </w:pPr>
      <w:r>
        <w:t xml:space="preserve">5.3 Resultado primario y crecimiento</w:t>
      </w:r>
    </w:p>
    <w:p>
      <w:pPr>
        <w:pStyle w:val="FirstParagraph"/>
      </w:pPr>
      <w:r>
        <w:rPr>
          <w:b/>
          <w:bCs/>
        </w:rPr>
        <w:t xml:space="preserve">Resultado primario.</w:t>
      </w:r>
      <w:r>
        <w:t xml:space="preserve"> </w:t>
      </w:r>
      <w:r>
        <w:t xml:space="preserve">La serie del MECON es mensual desde 1993 y se publica en tres tramos metodológicos (1993-2006, 2007-2014 y desde 2015). Cada trimestre es la suma de sus tres meses, sin interpolar. La medida que entra al modelo es el flujo trimestral anualizado, no la suma móvil de cuatro trimestres: la suma móvil superpone trimestres y crea una autocorrelación artificial (0,97 de orden 1, contra 0,65 del flujo trimestral). La estacionalidad que conserva el flujo trimestral la absorben las variables binarias del modelo. La serie incluye las rentas de la propiedad, entre ellas las utilidades del BCRA, porque la fuente no permite separarlas.</w:t>
      </w:r>
    </w:p>
    <w:p>
      <w:pPr>
        <w:pStyle w:val="BodyText"/>
      </w:pPr>
      <w:r>
        <w:rPr>
          <w:b/>
          <w:bCs/>
        </w:rPr>
        <w:t xml:space="preserve">Crecimiento.</w:t>
      </w:r>
      <w:r>
        <w:t xml:space="preserve"> </w:t>
      </w:r>
      <w:r>
        <w:t xml:space="preserve">El PIB real de 2004-2025 es la serie del INDEC en base 2004. El de 1996-2003 es la serie en base 1993, empalmada con un coeficiente de enlace de 1,751 (la razón media entre las dos bases en 2004). El coeficiente afecta el nivel anterior a 2004, pero no las tasas de crecimiento, que es lo que entra al modelo. La serie no está desestacionalizada, por la misma razón que el resultado primario.</w:t>
      </w:r>
    </w:p>
    <w:bookmarkEnd w:id="61"/>
    <w:bookmarkStart w:id="68" w:name="variables-financieras-y-externas"/>
    <w:p>
      <w:pPr>
        <w:pStyle w:val="Heading2"/>
      </w:pPr>
      <w:r>
        <w:t xml:space="preserve">5.4 Variables financieras y externas</w:t>
      </w:r>
    </w:p>
    <w:p>
      <w:pPr>
        <w:pStyle w:val="Compact"/>
        <w:numPr>
          <w:ilvl w:val="0"/>
          <w:numId w:val="1006"/>
        </w:numPr>
      </w:pPr>
      <w:r>
        <w:rPr>
          <w:b/>
          <w:bCs/>
        </w:rPr>
        <w:t xml:space="preserve">EMBI+.</w:t>
      </w:r>
      <w:r>
        <w:t xml:space="preserve"> </w:t>
      </w:r>
      <w:r>
        <w:t xml:space="preserve">Desde 1999 es el EMBI+ de J.P. Morgan, promedio trimestral de datos diarios. Para 1996-1998 se usa el</w:t>
      </w:r>
      <w:r>
        <w:t xml:space="preserve"> </w:t>
      </w:r>
      <w:r>
        <w:rPr>
          <w:i/>
          <w:iCs/>
        </w:rPr>
        <w:t xml:space="preserve">stripped spread</w:t>
      </w:r>
      <w:r>
        <w:t xml:space="preserve"> </w:t>
      </w:r>
      <w:r>
        <w:t xml:space="preserve">de los bonos Brady, ajustado con una corrección proporcional en el punto de unión para que el empalme no introduzca un salto de nivel. Son 12 de los 120 trimestres.</w:t>
      </w:r>
    </w:p>
    <w:p>
      <w:pPr>
        <w:pStyle w:val="Compact"/>
        <w:numPr>
          <w:ilvl w:val="0"/>
          <w:numId w:val="1006"/>
        </w:numPr>
      </w:pPr>
      <w:r>
        <w:rPr>
          <w:b/>
          <w:bCs/>
        </w:rPr>
        <w:t xml:space="preserve">Tipo de cambio real multilateral.</w:t>
      </w:r>
      <w:r>
        <w:t xml:space="preserve"> </w:t>
      </w:r>
      <w:r>
        <w:t xml:space="preserve">Índice del BCRA, disponible desde 1997. Los cuatro trimestres de 1996 se retropolan con la tendencia de 1997-1999.</w:t>
      </w:r>
    </w:p>
    <w:p>
      <w:pPr>
        <w:pStyle w:val="Compact"/>
        <w:numPr>
          <w:ilvl w:val="0"/>
          <w:numId w:val="1006"/>
        </w:numPr>
      </w:pPr>
      <w:r>
        <w:rPr>
          <w:b/>
          <w:bCs/>
        </w:rPr>
        <w:t xml:space="preserve">Tasa de la FED.</w:t>
      </w:r>
      <w:r>
        <w:t xml:space="preserve"> </w:t>
      </w:r>
      <w:r>
        <w:t xml:space="preserve">Tasa de fondos federales, salvo en los trimestres en que está en el límite cero (2009-2015 y 2020-2021), donde se usa la tasa sombra de Wu y Xia (2016). En el límite cero la tasa efectiva deja de reflejar la orientación de la política, y la tasa sombra la recupera. En el modelo entra la variación trimestral, cuyo desvío estándar (0,50 puntos) es el tamaño del shock de la sección 4.6.</w:t>
      </w:r>
    </w:p>
    <w:p>
      <w:pPr>
        <w:pStyle w:val="Compact"/>
        <w:numPr>
          <w:ilvl w:val="0"/>
          <w:numId w:val="1006"/>
        </w:numPr>
      </w:pPr>
      <w:r>
        <w:rPr>
          <w:b/>
          <w:bCs/>
        </w:rPr>
        <w:t xml:space="preserve">VIX.</w:t>
      </w:r>
      <w:r>
        <w:t xml:space="preserve"> </w:t>
      </w:r>
      <w:r>
        <w:t xml:space="preserve">Volatilidad implícita del índice S&amp;P 500, promedio trimestral.</w:t>
      </w:r>
    </w:p>
    <w:p>
      <w:pPr>
        <w:pStyle w:val="FirstParagraph"/>
      </w:pPr>
      <w:r>
        <w:t xml:space="preserve">La Figura 5.2 muestra las variables endógenas y la Figura 5.3, las exógenas.</w:t>
      </w:r>
    </w:p>
    <w:p>
      <w:pPr>
        <w:pStyle w:val="CaptionedFigure"/>
      </w:pPr>
      <w:r>
        <w:drawing>
          <wp:inline>
            <wp:extent cx="5334000" cy="3657600"/>
            <wp:effectExtent b="0" l="0" r="0" t="0"/>
            <wp:docPr descr="Figura 5.2. Variables endógenas del SVARX, 1996-2025. El crecimiento es la variación trimestral del PIB real sin desestacionalizar; la estacionalidad la absorben las variables binarias del modelo. Las líneas punteadas marcan los quiebres de Bai y Perron." title="" id="63" name="Picture"/>
            <a:graphic>
              <a:graphicData uri="http://schemas.openxmlformats.org/drawingml/2006/picture">
                <pic:pic>
                  <pic:nvPicPr>
                    <pic:cNvPr descr="../tesis/figuras/fig5_2_variables_endogenas.png" id="64" name="Picture"/>
                    <pic:cNvPicPr>
                      <a:picLocks noChangeArrowheads="1" noChangeAspect="1"/>
                    </pic:cNvPicPr>
                  </pic:nvPicPr>
                  <pic:blipFill>
                    <a:blip r:embed="rId62"/>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Figura 5.2. Variables endógenas del SVARX, 1996-2025. El crecimiento es la variación trimestral del PIB real sin desestacionalizar; la estacionalidad la absorben las variables binarias del modelo. Las líneas punteadas marcan los quiebres de Bai y Perron.</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title="" id="66" name="Picture"/>
            <a:graphic>
              <a:graphicData uri="http://schemas.openxmlformats.org/drawingml/2006/picture">
                <pic:pic>
                  <pic:nvPicPr>
                    <pic:cNvPr descr="../tesis/figuras/fig5_3_fed_y_vix.png" id="67" name="Picture"/>
                    <pic:cNvPicPr>
                      <a:picLocks noChangeArrowheads="1" noChangeAspect="1"/>
                    </pic:cNvPicPr>
                  </pic:nvPicPr>
                  <pic:blipFill>
                    <a:blip r:embed="rId6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w:t>
      </w:r>
    </w:p>
    <w:bookmarkEnd w:id="68"/>
    <w:bookmarkStart w:id="69" w:name="contraste-con-el-fmi"/>
    <w:p>
      <w:pPr>
        <w:pStyle w:val="Heading2"/>
      </w:pPr>
      <w:r>
        <w:t xml:space="preserve">5.5 Contraste con el FMI</w:t>
      </w:r>
    </w:p>
    <w:p>
      <w:pPr>
        <w:pStyle w:val="FirstParagraph"/>
      </w:pPr>
      <w:r>
        <w:t xml:space="preserve">El FMI (2025, anexo II, cuadro 2) publica la deuda consolidada para 2023 y 2024. La Tabla 5.1 la compara con la de esta tesis.</w:t>
      </w:r>
    </w:p>
    <w:p>
      <w:pPr>
        <w:pStyle w:val="BodyText"/>
      </w:pPr>
      <w:r>
        <w:rPr>
          <w:b/>
          <w:bCs/>
        </w:rPr>
        <w:t xml:space="preserve">Tabla 5.1. Deuda consolidada: esta tesis y FMI (% del PIB,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tesis</w:t>
            </w:r>
          </w:p>
        </w:tc>
        <w:tc>
          <w:tcPr/>
          <w:p>
            <w:pPr>
              <w:pStyle w:val="Compact"/>
            </w:pPr>
            <w:r>
              <w:rPr>
                <w:rFonts w:ascii="Calibri" w:hAnsi="Calibri"/>
                <w:sz w:val="20"/>
              </w:rPr>
              <w:t xml:space="preserve">2023, FMI</w:t>
            </w:r>
          </w:p>
        </w:tc>
        <w:tc>
          <w:tcPr/>
          <w:p>
            <w:pPr>
              <w:pStyle w:val="Compact"/>
            </w:pPr>
            <w:r>
              <w:rPr>
                <w:rFonts w:ascii="Calibri" w:hAnsi="Calibri"/>
                <w:sz w:val="20"/>
              </w:rPr>
              <w:t xml:space="preserve">2024, tesis</w:t>
            </w:r>
          </w:p>
        </w:tc>
        <w:tc>
          <w:tcPr/>
          <w:p>
            <w:pPr>
              <w:pStyle w:val="Compact"/>
            </w:pPr>
            <w:r>
              <w:rPr>
                <w:rFonts w:ascii="Calibri" w:hAnsi="Calibri"/>
                <w:sz w:val="20"/>
              </w:rPr>
              <w:t xml:space="preserve">2024, FMI</w:t>
            </w:r>
          </w:p>
        </w:tc>
      </w:tr>
      <w:tr>
        <w:tc>
          <w:tcPr/>
          <w:p>
            <w:pPr>
              <w:pStyle w:val="Compact"/>
            </w:pPr>
            <w:r>
              <w:rPr>
                <w:rFonts w:ascii="Calibri" w:hAnsi="Calibri"/>
                <w:sz w:val="20"/>
              </w:rPr>
              <w:t xml:space="preserve">Deuda bruta de la Administración Central</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r>
      <w:tr>
        <w:tc>
          <w:tcPr/>
          <w:p>
            <w:pPr>
              <w:pStyle w:val="Compact"/>
            </w:pPr>
            <w:r>
              <w:rPr>
                <w:rFonts w:ascii="Calibri" w:hAnsi="Calibri"/>
                <w:sz w:val="20"/>
              </w:rPr>
              <w:t xml:space="preserve">Deuda del Tesoro en poder del sector público</w:t>
            </w:r>
          </w:p>
        </w:tc>
        <w:tc>
          <w:tcPr/>
          <w:p>
            <w:pPr>
              <w:pStyle w:val="Compact"/>
            </w:pPr>
            <w:r>
              <w:rPr>
                <w:rFonts w:ascii="Calibri" w:hAnsi="Calibri"/>
                <w:sz w:val="20"/>
              </w:rPr>
              <w:t xml:space="preserve">48,6 (solo BCRA)</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20,4 (solo BCRA)</w:t>
            </w:r>
          </w:p>
        </w:tc>
        <w:tc>
          <w:tcPr/>
          <w:p>
            <w:pPr>
              <w:pStyle w:val="Compact"/>
            </w:pPr>
            <w:r>
              <w:rPr>
                <w:rFonts w:ascii="Calibri" w:hAnsi="Calibri"/>
                <w:sz w:val="20"/>
              </w:rPr>
              <w:t xml:space="preserve">33,9 (BCRA y FGS)</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0,5</w:t>
            </w:r>
          </w:p>
        </w:tc>
        <w:tc>
          <w:tcPr/>
          <w:p>
            <w:pPr>
              <w:pStyle w:val="Compact"/>
            </w:pPr>
            <w:r>
              <w:rPr>
                <w:rFonts w:ascii="Calibri" w:hAnsi="Calibri"/>
                <w:sz w:val="20"/>
              </w:rPr>
              <w:t xml:space="preserve">0,5</w:t>
            </w:r>
          </w:p>
        </w:tc>
        <w:tc>
          <w:tcPr/>
          <w:p>
            <w:pPr>
              <w:pStyle w:val="Compact"/>
            </w:pPr>
            <w:r>
              <w:rPr>
                <w:rFonts w:ascii="Calibri" w:hAnsi="Calibri"/>
                <w:sz w:val="20"/>
              </w:rPr>
              <w:t xml:space="preserve">2,1</w:t>
            </w:r>
          </w:p>
        </w:tc>
        <w:tc>
          <w:tcPr/>
          <w:p>
            <w:pPr>
              <w:pStyle w:val="Compact"/>
            </w:pPr>
            <w:r>
              <w:rPr>
                <w:rFonts w:ascii="Calibri" w:hAnsi="Calibri"/>
                <w:sz w:val="20"/>
              </w:rPr>
              <w:t xml:space="preserve">2,1</w:t>
            </w:r>
          </w:p>
        </w:tc>
      </w:tr>
      <w:tr>
        <w:tc>
          <w:tcPr/>
          <w:p>
            <w:pPr>
              <w:pStyle w:val="Compact"/>
            </w:pPr>
            <w:r>
              <w:rPr>
                <w:rFonts w:ascii="Calibri" w:hAnsi="Calibri"/>
                <w:b/>
                <w:bCs/>
                <w:sz w:val="20"/>
              </w:rPr>
              <w:t xml:space="preserve">Deuda consolidada neta</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61,1</w:t>
            </w:r>
          </w:p>
        </w:tc>
        <w:tc>
          <w:tcPr/>
          <w:p>
            <w:pPr>
              <w:pStyle w:val="Compact"/>
            </w:pPr>
            <w:r>
              <w:rPr>
                <w:rFonts w:ascii="Calibri" w:hAnsi="Calibri"/>
                <w:b/>
                <w:bCs/>
                <w:sz w:val="20"/>
              </w:rPr>
              <w:t xml:space="preserve">51,5</w:t>
            </w:r>
          </w:p>
        </w:tc>
      </w:tr>
    </w:tbl>
    <w:p>
      <w:pPr>
        <w:pStyle w:val="BodyText"/>
      </w:pPr>
      <w:r>
        <w:t xml:space="preserve">La deuda bruta y los depósitos coinciden con el FMI dentro de 3 puntos. La deuda bruta del FMI es algo mayor porque suma intereses capitalizados, deuda con acreedores que no entraron a los canjes (</w:t>
      </w:r>
      <w:r>
        <w:rPr>
          <w:i/>
          <w:iCs/>
        </w:rPr>
        <w:t xml:space="preserve">holdouts</w:t>
      </w:r>
      <w:r>
        <w:t xml:space="preserve">) y reclamos por el cupón PIB, que no figuran en el informe del MECON. Los pasivos del BCRA son algo menores porque falta el swap con China. La diferencia principal está en la segunda línea: el FMI resta también la deuda del Tesoro en poder del Fondo de Garantía de Sustentabilidad (FGS) de la ANSES, que esta tesis no puede restar porque no hay una serie pública completa que se pueda obtener (la ANSES publica la cartera solo en informes que no permiten la descarga automática). Por eso, la deuda neta de esta tesis queda entre 8 y 10 puntos por encima de la del FMI desde 2007, cuando se creó el FGS, y antes de esa fecha no hay diferencia de perímetro.</w:t>
      </w:r>
    </w:p>
    <w:p>
      <w:pPr>
        <w:pStyle w:val="BodyText"/>
      </w:pPr>
      <w:r>
        <w:t xml:space="preserve">El informe más reciente del FMI (2026, cuadro 2) actualiza esas cifras y agrega 2025: 111,1% en 2023, 53,6% en 2024 y 52,1% en 2025, frente a 119,0%, 61,1% y 61,0% de esta tesis. La diferencia, de 8 a 9 puntos, se mantiene estable, como corresponde a una brecha que viene sobre todo del FGS.</w:t>
      </w:r>
    </w:p>
    <w:p>
      <w:pPr>
        <w:pStyle w:val="BodyText"/>
      </w:pPr>
      <w:r>
        <w:t xml:space="preserve">El resultado primario de esta tesis da −2,7% del PIB en 2023 y 1,8% en 2024, frente a −2,8% y 1,8% del FMI (2025, cuadro 3b). El crecimiento real da −1,9% y −1,4%, frente a −1,6% y −1,7% del FMI, diferencias compatibles con las revisiones posteriores del INDEC.</w:t>
      </w:r>
    </w:p>
    <w:bookmarkEnd w:id="69"/>
    <w:bookmarkStart w:id="70" w:name="limitaciones-de-los-datos"/>
    <w:p>
      <w:pPr>
        <w:pStyle w:val="Heading2"/>
      </w:pPr>
      <w:r>
        <w:t xml:space="preserve">5.6 Limitaciones de los datos</w:t>
      </w:r>
    </w:p>
    <w:p>
      <w:pPr>
        <w:pStyle w:val="Compact"/>
        <w:numPr>
          <w:ilvl w:val="0"/>
          <w:numId w:val="1007"/>
        </w:numPr>
      </w:pPr>
      <w:r>
        <w:rPr>
          <w:b/>
          <w:bCs/>
        </w:rPr>
        <w:t xml:space="preserve">FGS.</w:t>
      </w:r>
      <w:r>
        <w:t xml:space="preserve"> </w:t>
      </w:r>
      <w:r>
        <w:t xml:space="preserve">La deuda neta no descuenta la deuda del Tesoro en poder del FGS. La sobreestima entre 8 y 10 puntos del PIB desde 2007. Como en el modelo la deuda entra rezagada y la diferencia es estable (8,2 puntos en 2023 y 9,6 en 2024), su efecto sobre la dinámica estimada es acotado. Para acotarlo, el modelo se estima también con la deuda bruta.</w:t>
      </w:r>
    </w:p>
    <w:p>
      <w:pPr>
        <w:pStyle w:val="Compact"/>
        <w:numPr>
          <w:ilvl w:val="0"/>
          <w:numId w:val="1007"/>
        </w:numPr>
      </w:pPr>
      <w:r>
        <w:rPr>
          <w:b/>
          <w:bCs/>
        </w:rPr>
        <w:t xml:space="preserve">Valuación de las Letras Intransferibles.</w:t>
      </w:r>
      <w:r>
        <w:t xml:space="preserve"> </w:t>
      </w:r>
      <w:r>
        <w:t xml:space="preserve">El valor nominal está disponible en 80 de los 120 trimestres. En el resto se interpola entre fechas con dato o, antes de 2006, cuando las Letras no existían, se usa el valor contable. La serie con valor contable se usa como robustez.</w:t>
      </w:r>
    </w:p>
    <w:p>
      <w:pPr>
        <w:pStyle w:val="Compact"/>
        <w:numPr>
          <w:ilvl w:val="0"/>
          <w:numId w:val="1007"/>
        </w:numPr>
      </w:pPr>
      <w:r>
        <w:rPr>
          <w:b/>
          <w:bCs/>
        </w:rPr>
        <w:t xml:space="preserve">Empalmes.</w:t>
      </w:r>
      <w:r>
        <w:t xml:space="preserve"> </w:t>
      </w:r>
      <w:r>
        <w:t xml:space="preserve">El PIB de 1996-2003 (cambio de base) y el EMBI+ de 1996-1998 (spread Brady) tienen incertidumbre de nivel, pero no afectan las variaciones que entran al modelo.</w:t>
      </w:r>
    </w:p>
    <w:p>
      <w:pPr>
        <w:pStyle w:val="Compact"/>
        <w:numPr>
          <w:ilvl w:val="0"/>
          <w:numId w:val="1007"/>
        </w:numPr>
      </w:pPr>
      <w:r>
        <w:rPr>
          <w:b/>
          <w:bCs/>
        </w:rPr>
        <w:t xml:space="preserve">Resultado primario.</w:t>
      </w:r>
      <w:r>
        <w:t xml:space="preserve"> </w:t>
      </w:r>
      <w:r>
        <w:t xml:space="preserve">Incluye las utilidades del BCRA, cubre el Sector Público Nacional, que es un perímetro más amplio que el del gobierno federal del FMI, y tiene dos cambios de metodología (2007 y 2015) sin período de superposición.</w:t>
      </w:r>
    </w:p>
    <w:p>
      <w:pPr>
        <w:pStyle w:val="Compact"/>
        <w:numPr>
          <w:ilvl w:val="0"/>
          <w:numId w:val="1007"/>
        </w:numPr>
      </w:pPr>
      <w:r>
        <w:rPr>
          <w:b/>
          <w:bCs/>
        </w:rPr>
        <w:t xml:space="preserve">Pasivos del BCRA.</w:t>
      </w:r>
      <w:r>
        <w:t xml:space="preserve"> </w:t>
      </w:r>
      <w:r>
        <w:t xml:space="preserve">Falta el swap con China, y la posición de pases es neta, de modo que en algunos trimestres resta.</w:t>
      </w:r>
    </w:p>
    <w:p>
      <w:pPr>
        <w:pStyle w:val="FirstParagraph"/>
      </w:pPr>
      <w:r>
        <w:t xml:space="preserve">El detalle de cada construcción, con sus controles, está en el informe de datos del repositorio de la tesis.</w:t>
      </w:r>
    </w:p>
    <w:bookmarkEnd w:id="70"/>
    <w:bookmarkEnd w:id="71"/>
    <w:bookmarkStart w:id="90" w:name="resultados"/>
    <w:p>
      <w:pPr>
        <w:pStyle w:val="Heading1"/>
      </w:pPr>
      <w:r>
        <w:t xml:space="preserve">6. Resultados</w:t>
      </w:r>
    </w:p>
    <w:p>
      <w:pPr>
        <w:pStyle w:val="FirstParagraph"/>
      </w:pPr>
      <w:r>
        <w:t xml:space="preserve">Todos los resultados de este capítulo salen de la misma muestra efectiva, 1998T2-2025T4 (111 trimestres), y del mismo escenario base, el del análisis de sostenibilidad más reciente del FMI (2026), publicado con la consulta del Artículo IV y la segunda revisión del programa en mayo de 2026. La especificación principal usa la deuda consolidada neta con las Letras Intransferibles a valor nominal, que parte de 61,0% del PIB en diciembre de 2025. Las cifras se pueden reproducir con</w:t>
      </w:r>
      <w:r>
        <w:t xml:space="preserve"> </w:t>
      </w:r>
      <w:r>
        <w:rPr>
          <w:rStyle w:val="VerbatimChar"/>
        </w:rPr>
        <w:t xml:space="preserve">codigo/modelos/fase24_svarx_1996_2025.py</w:t>
      </w:r>
      <w:r>
        <w:t xml:space="preserve"> </w:t>
      </w:r>
      <w:r>
        <w:t xml:space="preserve">y</w:t>
      </w:r>
      <w:r>
        <w:t xml:space="preserve"> </w:t>
      </w:r>
      <w:r>
        <w:rPr>
          <w:rStyle w:val="VerbatimChar"/>
        </w:rPr>
        <w:t xml:space="preserve">codigo/modelos/fase25_simulacion_dsa_svarx.py</w:t>
      </w:r>
      <w:r>
        <w:t xml:space="preserve">.</w:t>
      </w:r>
    </w:p>
    <w:bookmarkStart w:id="75" w:name="el-svarx-estimado"/>
    <w:p>
      <w:pPr>
        <w:pStyle w:val="Heading2"/>
      </w:pPr>
      <w:r>
        <w:t xml:space="preserve">6.1 El SVARX estimado</w:t>
      </w:r>
    </w:p>
    <w:p>
      <w:pPr>
        <w:pStyle w:val="FirstParagraph"/>
      </w:pPr>
      <w:r>
        <w:rPr>
          <w:b/>
          <w:bCs/>
        </w:rPr>
        <w:t xml:space="preserve">Rezagos y diagnósticos.</w:t>
      </w:r>
      <w:r>
        <w:t xml:space="preserve"> </w:t>
      </w:r>
      <w:r>
        <w:t xml:space="preserve">Con la regla de la sección 4.5, el modelo usa tres rezagos. La raíz de mayor módulo del polinomio característico es 0,96, de modo que el sistema es estable y tiene representación de medias móviles. La prueba de Portmanteau con 12 rezagos da un p-valor de 0,036: queda algo de autocorrelación en los residuos, que se informa como limitación. Los residuos no son normales (p &lt; 0,001), lo que justifica remuestrear shocks históricos en lugar de suponer normalidad. La prueba ARCH-LM con cuatro rezagos no detecta heterocedasticidad condicional en ninguna ecuación (p-valores entre 0,87 y 0,99). El</w:t>
      </w:r>
      <w:r>
        <w:t xml:space="preserve"> </w:t>
      </w:r>
      <w:r>
        <w:rPr>
          <w:i/>
          <w:iCs/>
        </w:rPr>
        <w:t xml:space="preserve">bootstrap</w:t>
      </w:r>
      <w:r>
        <w:t xml:space="preserve"> </w:t>
      </w:r>
      <w:r>
        <w:t xml:space="preserve">salvaje es válido con y sin heterocedasticidad, así que su uso no depende de este resultado.</w:t>
      </w:r>
    </w:p>
    <w:p>
      <w:pPr>
        <w:pStyle w:val="BodyText"/>
      </w:pPr>
      <w:r>
        <w:rPr>
          <w:b/>
          <w:bCs/>
        </w:rPr>
        <w:t xml:space="preserve">Reacción fiscal.</w:t>
      </w:r>
      <w:r>
        <w:t xml:space="preserve"> </w:t>
      </w:r>
      <w:r>
        <w:t xml:space="preserve">El coeficiente de la deuda rezagada en la ecuación del resultado primario es 0,051 (p = 0,019), con un intervalo de 90% del</w:t>
      </w:r>
      <w:r>
        <w:t xml:space="preserve"> </w:t>
      </w:r>
      <w:r>
        <w:rPr>
          <w:i/>
          <w:iCs/>
        </w:rPr>
        <w:t xml:space="preserve">bootstrap</w:t>
      </w:r>
      <w:r>
        <w:t xml:space="preserve"> </w:t>
      </w:r>
      <w:r>
        <w:t xml:space="preserve">de [0,020; 0,082]. Diez puntos más de deuda en relación con el PIB se asocian, en promedio, con medio punto más de superávit primario. El resultado no depende del perímetro de la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 de deuda</w:t>
            </w:r>
          </w:p>
        </w:tc>
        <w:tc>
          <w:tcPr/>
          <w:p>
            <w:pPr>
              <w:pStyle w:val="Compact"/>
            </w:pPr>
            <w:r>
              <w:rPr>
                <w:rFonts w:ascii="Calibri" w:hAnsi="Calibri"/>
                <w:sz w:val="20"/>
              </w:rPr>
              <w:t xml:space="preserve">Rezagos</w:t>
            </w:r>
          </w:p>
        </w:tc>
        <w:tc>
          <w:tcPr/>
          <w:p>
            <w:pPr>
              <w:pStyle w:val="Compact"/>
            </w:pPr>
            <w:r>
              <w:rPr>
                <w:rFonts w:ascii="Calibri" w:hAnsi="Calibri"/>
                <w:sz w:val="20"/>
              </w:rPr>
              <w:t xml:space="preserve">Reacción fiscal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Consolidada neta, Letras a valor nominal (principal)</w:t>
            </w:r>
          </w:p>
        </w:tc>
        <w:tc>
          <w:tcPr/>
          <w:p>
            <w:pPr>
              <w:pStyle w:val="Compact"/>
            </w:pPr>
            <w:r>
              <w:rPr>
                <w:rFonts w:ascii="Calibri" w:hAnsi="Calibri"/>
                <w:sz w:val="20"/>
              </w:rPr>
              <w:t xml:space="preserve">3</w:t>
            </w:r>
          </w:p>
        </w:tc>
        <w:tc>
          <w:tcPr/>
          <w:p>
            <w:pPr>
              <w:pStyle w:val="Compact"/>
            </w:pPr>
            <w:r>
              <w:rPr>
                <w:rFonts w:ascii="Calibri" w:hAnsi="Calibri"/>
                <w:sz w:val="20"/>
              </w:rPr>
              <w:t xml:space="preserve">0,051</w:t>
            </w:r>
          </w:p>
        </w:tc>
        <w:tc>
          <w:tcPr/>
          <w:p>
            <w:pPr>
              <w:pStyle w:val="Compact"/>
            </w:pPr>
            <w:r>
              <w:rPr>
                <w:rFonts w:ascii="Calibri" w:hAnsi="Calibri"/>
                <w:sz w:val="20"/>
              </w:rPr>
              <w:t xml:space="preserve">[0,020; 0,082]</w:t>
            </w:r>
          </w:p>
        </w:tc>
      </w:tr>
      <w:tr>
        <w:tc>
          <w:tcPr/>
          <w:p>
            <w:pPr>
              <w:pStyle w:val="Compact"/>
            </w:pPr>
            <w:r>
              <w:rPr>
                <w:rFonts w:ascii="Calibri" w:hAnsi="Calibri"/>
                <w:sz w:val="20"/>
              </w:rPr>
              <w:t xml:space="preserve">Consolidada neta, Letras a valor libros</w:t>
            </w:r>
          </w:p>
        </w:tc>
        <w:tc>
          <w:tcPr/>
          <w:p>
            <w:pPr>
              <w:pStyle w:val="Compact"/>
            </w:pPr>
            <w:r>
              <w:rPr>
                <w:rFonts w:ascii="Calibri" w:hAnsi="Calibri"/>
                <w:sz w:val="20"/>
              </w:rPr>
              <w:t xml:space="preserve">3</w:t>
            </w:r>
          </w:p>
        </w:tc>
        <w:tc>
          <w:tcPr/>
          <w:p>
            <w:pPr>
              <w:pStyle w:val="Compact"/>
            </w:pPr>
            <w:r>
              <w:rPr>
                <w:rFonts w:ascii="Calibri" w:hAnsi="Calibri"/>
                <w:sz w:val="20"/>
              </w:rPr>
              <w:t xml:space="preserve">0,053</w:t>
            </w:r>
          </w:p>
        </w:tc>
        <w:tc>
          <w:tcPr/>
          <w:p>
            <w:pPr>
              <w:pStyle w:val="Compact"/>
            </w:pPr>
            <w:r>
              <w:rPr>
                <w:rFonts w:ascii="Calibri" w:hAnsi="Calibri"/>
                <w:sz w:val="20"/>
              </w:rPr>
              <w:t xml:space="preserve">[0,021; 0,085]</w:t>
            </w:r>
          </w:p>
        </w:tc>
      </w:tr>
      <w:tr>
        <w:tc>
          <w:tcPr/>
          <w:p>
            <w:pPr>
              <w:pStyle w:val="Compact"/>
            </w:pPr>
            <w:r>
              <w:rPr>
                <w:rFonts w:ascii="Calibri" w:hAnsi="Calibri"/>
                <w:sz w:val="20"/>
              </w:rPr>
              <w:t xml:space="preserve">Consolidada bruta</w:t>
            </w:r>
          </w:p>
        </w:tc>
        <w:tc>
          <w:tcPr/>
          <w:p>
            <w:pPr>
              <w:pStyle w:val="Compact"/>
            </w:pPr>
            <w:r>
              <w:rPr>
                <w:rFonts w:ascii="Calibri" w:hAnsi="Calibri"/>
                <w:sz w:val="20"/>
              </w:rPr>
              <w:t xml:space="preserve">4</w:t>
            </w:r>
          </w:p>
        </w:tc>
        <w:tc>
          <w:tcPr/>
          <w:p>
            <w:pPr>
              <w:pStyle w:val="Compact"/>
            </w:pPr>
            <w:r>
              <w:rPr>
                <w:rFonts w:ascii="Calibri" w:hAnsi="Calibri"/>
                <w:sz w:val="20"/>
              </w:rPr>
              <w:t xml:space="preserve">0,054</w:t>
            </w:r>
          </w:p>
        </w:tc>
        <w:tc>
          <w:tcPr/>
          <w:p>
            <w:pPr>
              <w:pStyle w:val="Compact"/>
            </w:pPr>
            <w:r>
              <w:rPr>
                <w:rFonts w:ascii="Calibri" w:hAnsi="Calibri"/>
                <w:sz w:val="20"/>
              </w:rPr>
              <w:t xml:space="preserve">[0,027; 0,079]</w:t>
            </w:r>
          </w:p>
        </w:tc>
      </w:tr>
    </w:tbl>
    <w:p>
      <w:pPr>
        <w:pStyle w:val="BodyText"/>
      </w:pPr>
      <w:r>
        <w:t xml:space="preserve">El signo coincide con el que encuentran Celasun et al. (2006) en su panel de economías emergentes. La política fiscal argentina respondió a la deuda en el período, pero con un coeficiente chico. La simulación muestra si esa respuesta alcanza para estabilizarla.</w:t>
      </w:r>
    </w:p>
    <w:p>
      <w:pPr>
        <w:pStyle w:val="BodyText"/>
      </w:pPr>
      <w:r>
        <w:rPr>
          <w:b/>
          <w:bCs/>
        </w:rPr>
        <w:t xml:space="preserve">Retroalimentación de la deuda.</w:t>
      </w:r>
      <w:r>
        <w:t xml:space="preserve"> </w:t>
      </w:r>
      <w:r>
        <w:t xml:space="preserve">La deuda rezagada entra en las cuatro ecuaciones del sistema, de modo que la deuda responde a los shocks y a su vez los afecta (Favero y Giavazzi, 2007). El efecto más claro es sobre el riesgo país: un punto más de deuda en relación con el PIB eleva el EMBI+ del trimestre siguiente en 22 puntos básicos, con un intervalo de 90% del bootstrap de [11; 41]. El crecimiento también responde con signo positivo, [0,02; 0,12], y el tipo de cambio real no responde, [-0,002; 0,003]. Junto con la reacción fiscal, el sistema tiene así dos mecanismos que actúan en sentidos opuestos cuando la deuda sube: el riesgo país la encarece y el superávit primario la reduce.</w:t>
      </w:r>
    </w:p>
    <w:p>
      <w:pPr>
        <w:pStyle w:val="BodyText"/>
      </w:pPr>
      <w:r>
        <w:rPr>
          <w:b/>
          <w:bCs/>
        </w:rPr>
        <w:t xml:space="preserve">Respuesta a la tasa de la FED.</w:t>
      </w:r>
      <w:r>
        <w:t xml:space="preserve"> </w:t>
      </w:r>
      <w:r>
        <w:t xml:space="preserve">Un aumento de un desvío estándar en la tasa de política de la FED (0,50 puntos porcentuales) no produce respuestas sistemáticas de las variables domésticas (Figura 6.1). El EMBI+ sube 9 puntos básicos en el trimestre del shock, con un intervalo de 90% de [-83; 103], y 12 puntos básicos a los dos años, con un intervalo de [-14; 42]. De las 84 respuestas estimadas (cuatro variables en 21 horizontes), solo tres tienen una banda de 90% que excluye el cero: el crecimiento en el trimestre del shock (+0,5 puntos), el resultado primario un trimestre después (-0,35 puntos del PIB) y el tipo de cambio real tres trimestres después (una leve apreciación). Con bandas de 90%, el azar ya produciría unas ocho exclusiones aunque la FED no tuviera ningún efecto, y los signos del crecimiento y del tipo de cambio real son los contrarios a los que predice la teoría. Con 111 trimestres y un shock chico, el modelo no puede distinguir los efectos indirectos de la FED del ruido.</w:t>
      </w:r>
    </w:p>
    <w:p>
      <w:pPr>
        <w:pStyle w:val="CaptionedFigure"/>
      </w:pPr>
      <w:r>
        <w:drawing>
          <wp:inline>
            <wp:extent cx="5334000" cy="3501390"/>
            <wp:effectExtent b="0" l="0" r="0" t="0"/>
            <wp:docPr descr="Figura 6.1. Respuestas al impulso ante una suba de la tasa de la FED. Aumento de un desvío estándar (0,50 puntos porcentuales) de la tasa de política; deuda consolidada neta, tres rezagos; bandas de 90% del bootstrap salvaje (1.000 réplicas)." title="" id="73" name="Picture"/>
            <a:graphic>
              <a:graphicData uri="http://schemas.openxmlformats.org/drawingml/2006/picture">
                <pic:pic>
                  <pic:nvPicPr>
                    <pic:cNvPr descr="../tesis/figuras/fig6_1_respuesta_fed.png" id="74" name="Picture"/>
                    <pic:cNvPicPr>
                      <a:picLocks noChangeArrowheads="1" noChangeAspect="1"/>
                    </pic:cNvPicPr>
                  </pic:nvPicPr>
                  <pic:blipFill>
                    <a:blip r:embed="rId72"/>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 puntos porcentuales) de la tasa de política; deuda consolidada neta, tres rezagos; bandas de 90% del bootstrap salvaje (1.000 réplicas).</w:t>
      </w:r>
    </w:p>
    <w:bookmarkEnd w:id="75"/>
    <w:bookmarkStart w:id="79" w:name="el-gráfico-de-abanico"/>
    <w:p>
      <w:pPr>
        <w:pStyle w:val="Heading2"/>
      </w:pPr>
      <w:r>
        <w:t xml:space="preserve">6.2 El gráfico de abanico</w:t>
      </w:r>
    </w:p>
    <w:p>
      <w:pPr>
        <w:pStyle w:val="FirstParagraph"/>
      </w:pPr>
      <w:r>
        <w:t xml:space="preserve">La Tabla 6.1 resume la distribución de la deuda simulada. La mediana baja de 61,0% del PIB en 2025 a 29,9% en 2030 y a 14,9% en 2035 (Figura 6.2). La caída la determina el escenario base del FMI (2026, cuadro 6). Ese escenario combina un superávit primario que sube de 1,4% del PIB en 2026 a 2,3% desde 2029 con una tasa de interés efectiva de entre 2,6% y 5,1%, mientras el deflactor del PIB pasa de 30,2% en 2026 a 7,5% desde 2029. Con esos supuestos, la tasa real que paga la deuda es muy negativa en los primeros años y la licua.</w:t>
      </w:r>
    </w:p>
    <w:p>
      <w:pPr>
        <w:pStyle w:val="BodyText"/>
      </w:pPr>
      <w:r>
        <w:rPr>
          <w:b/>
          <w:bCs/>
        </w:rPr>
        <w:t xml:space="preserve">Tabla 6.1. Deuda consolidada neta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42,7</w:t>
            </w:r>
          </w:p>
        </w:tc>
        <w:tc>
          <w:tcPr/>
          <w:p>
            <w:pPr>
              <w:pStyle w:val="Compact"/>
            </w:pPr>
            <w:r>
              <w:rPr>
                <w:rFonts w:ascii="Calibri" w:hAnsi="Calibri"/>
                <w:sz w:val="20"/>
              </w:rPr>
              <w:t xml:space="preserve">46,0</w:t>
            </w:r>
          </w:p>
        </w:tc>
        <w:tc>
          <w:tcPr/>
          <w:p>
            <w:pPr>
              <w:pStyle w:val="Compact"/>
            </w:pPr>
            <w:r>
              <w:rPr>
                <w:rFonts w:ascii="Calibri" w:hAnsi="Calibri"/>
                <w:sz w:val="20"/>
              </w:rPr>
              <w:t xml:space="preserve">48,8</w:t>
            </w:r>
          </w:p>
        </w:tc>
        <w:tc>
          <w:tcPr/>
          <w:p>
            <w:pPr>
              <w:pStyle w:val="Compact"/>
            </w:pPr>
            <w:r>
              <w:rPr>
                <w:rFonts w:ascii="Calibri" w:hAnsi="Calibri"/>
                <w:sz w:val="20"/>
              </w:rPr>
              <w:t xml:space="preserve">52,4</w:t>
            </w:r>
          </w:p>
        </w:tc>
        <w:tc>
          <w:tcPr/>
          <w:p>
            <w:pPr>
              <w:pStyle w:val="Compact"/>
            </w:pPr>
            <w:r>
              <w:rPr>
                <w:rFonts w:ascii="Calibri" w:hAnsi="Calibri"/>
                <w:sz w:val="20"/>
              </w:rPr>
              <w:t xml:space="preserve">59,5</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31,6</w:t>
            </w:r>
          </w:p>
        </w:tc>
        <w:tc>
          <w:tcPr/>
          <w:p>
            <w:pPr>
              <w:pStyle w:val="Compact"/>
            </w:pPr>
            <w:r>
              <w:rPr>
                <w:rFonts w:ascii="Calibri" w:hAnsi="Calibri"/>
                <w:sz w:val="20"/>
              </w:rPr>
              <w:t xml:space="preserve">35,7</w:t>
            </w:r>
          </w:p>
        </w:tc>
        <w:tc>
          <w:tcPr/>
          <w:p>
            <w:pPr>
              <w:pStyle w:val="Compact"/>
            </w:pPr>
            <w:r>
              <w:rPr>
                <w:rFonts w:ascii="Calibri" w:hAnsi="Calibri"/>
                <w:sz w:val="20"/>
              </w:rPr>
              <w:t xml:space="preserve">39,1</w:t>
            </w:r>
          </w:p>
        </w:tc>
        <w:tc>
          <w:tcPr/>
          <w:p>
            <w:pPr>
              <w:pStyle w:val="Compact"/>
            </w:pPr>
            <w:r>
              <w:rPr>
                <w:rFonts w:ascii="Calibri" w:hAnsi="Calibri"/>
                <w:sz w:val="20"/>
              </w:rPr>
              <w:t xml:space="preserve">42,8</w:t>
            </w:r>
          </w:p>
        </w:tc>
        <w:tc>
          <w:tcPr/>
          <w:p>
            <w:pPr>
              <w:pStyle w:val="Compact"/>
            </w:pPr>
            <w:r>
              <w:rPr>
                <w:rFonts w:ascii="Calibri" w:hAnsi="Calibri"/>
                <w:sz w:val="20"/>
              </w:rPr>
              <w:t xml:space="preserve">50,4</w:t>
            </w:r>
          </w:p>
        </w:tc>
      </w:tr>
      <w:tr>
        <w:tc>
          <w:tcPr/>
          <w:p>
            <w:pPr>
              <w:pStyle w:val="Compact"/>
            </w:pPr>
            <w:r>
              <w:rPr>
                <w:rFonts w:ascii="Calibri" w:hAnsi="Calibri"/>
                <w:sz w:val="20"/>
              </w:rPr>
              <w:t xml:space="preserve">2030</w:t>
            </w:r>
          </w:p>
        </w:tc>
        <w:tc>
          <w:tcPr/>
          <w:p>
            <w:pPr>
              <w:pStyle w:val="Compact"/>
            </w:pPr>
            <w:r>
              <w:rPr>
                <w:rFonts w:ascii="Calibri" w:hAnsi="Calibri"/>
                <w:sz w:val="20"/>
              </w:rPr>
              <w:t xml:space="preserve">20,0</w:t>
            </w:r>
          </w:p>
        </w:tc>
        <w:tc>
          <w:tcPr/>
          <w:p>
            <w:pPr>
              <w:pStyle w:val="Compact"/>
            </w:pPr>
            <w:r>
              <w:rPr>
                <w:rFonts w:ascii="Calibri" w:hAnsi="Calibri"/>
                <w:sz w:val="20"/>
              </w:rPr>
              <w:t xml:space="preserve">25,2</w:t>
            </w:r>
          </w:p>
        </w:tc>
        <w:tc>
          <w:tcPr/>
          <w:p>
            <w:pPr>
              <w:pStyle w:val="Compact"/>
            </w:pPr>
            <w:r>
              <w:rPr>
                <w:rFonts w:ascii="Calibri" w:hAnsi="Calibri"/>
                <w:sz w:val="20"/>
              </w:rPr>
              <w:t xml:space="preserve">29,9</w:t>
            </w:r>
          </w:p>
        </w:tc>
        <w:tc>
          <w:tcPr/>
          <w:p>
            <w:pPr>
              <w:pStyle w:val="Compact"/>
            </w:pPr>
            <w:r>
              <w:rPr>
                <w:rFonts w:ascii="Calibri" w:hAnsi="Calibri"/>
                <w:sz w:val="20"/>
              </w:rPr>
              <w:t xml:space="preserve">34,6</w:t>
            </w:r>
          </w:p>
        </w:tc>
        <w:tc>
          <w:tcPr/>
          <w:p>
            <w:pPr>
              <w:pStyle w:val="Compact"/>
            </w:pPr>
            <w:r>
              <w:rPr>
                <w:rFonts w:ascii="Calibri" w:hAnsi="Calibri"/>
                <w:sz w:val="20"/>
              </w:rPr>
              <w:t xml:space="preserve">42,9</w:t>
            </w:r>
          </w:p>
        </w:tc>
      </w:tr>
      <w:tr>
        <w:tc>
          <w:tcPr/>
          <w:p>
            <w:pPr>
              <w:pStyle w:val="Compact"/>
            </w:pPr>
            <w:r>
              <w:rPr>
                <w:rFonts w:ascii="Calibri" w:hAnsi="Calibri"/>
                <w:sz w:val="20"/>
              </w:rPr>
              <w:t xml:space="preserve">2032</w:t>
            </w:r>
          </w:p>
        </w:tc>
        <w:tc>
          <w:tcPr/>
          <w:p>
            <w:pPr>
              <w:pStyle w:val="Compact"/>
            </w:pPr>
            <w:r>
              <w:rPr>
                <w:rFonts w:ascii="Calibri" w:hAnsi="Calibri"/>
                <w:sz w:val="20"/>
              </w:rPr>
              <w:t xml:space="preserve">10,7</w:t>
            </w:r>
          </w:p>
        </w:tc>
        <w:tc>
          <w:tcPr/>
          <w:p>
            <w:pPr>
              <w:pStyle w:val="Compact"/>
            </w:pPr>
            <w:r>
              <w:rPr>
                <w:rFonts w:ascii="Calibri" w:hAnsi="Calibri"/>
                <w:sz w:val="20"/>
              </w:rPr>
              <w:t xml:space="preserve">17,0</w:t>
            </w:r>
          </w:p>
        </w:tc>
        <w:tc>
          <w:tcPr/>
          <w:p>
            <w:pPr>
              <w:pStyle w:val="Compact"/>
            </w:pPr>
            <w:r>
              <w:rPr>
                <w:rFonts w:ascii="Calibri" w:hAnsi="Calibri"/>
                <w:sz w:val="20"/>
              </w:rPr>
              <w:t xml:space="preserve">22,4</w:t>
            </w:r>
          </w:p>
        </w:tc>
        <w:tc>
          <w:tcPr/>
          <w:p>
            <w:pPr>
              <w:pStyle w:val="Compact"/>
            </w:pPr>
            <w:r>
              <w:rPr>
                <w:rFonts w:ascii="Calibri" w:hAnsi="Calibri"/>
                <w:sz w:val="20"/>
              </w:rPr>
              <w:t xml:space="preserve">28,9</w:t>
            </w:r>
          </w:p>
        </w:tc>
        <w:tc>
          <w:tcPr/>
          <w:p>
            <w:pPr>
              <w:pStyle w:val="Compact"/>
            </w:pPr>
            <w:r>
              <w:rPr>
                <w:rFonts w:ascii="Calibri" w:hAnsi="Calibri"/>
                <w:sz w:val="20"/>
              </w:rPr>
              <w:t xml:space="preserve">39,1</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0,3</w:t>
            </w:r>
          </w:p>
        </w:tc>
        <w:tc>
          <w:tcPr/>
          <w:p>
            <w:pPr>
              <w:pStyle w:val="Compact"/>
            </w:pPr>
            <w:r>
              <w:rPr>
                <w:rFonts w:ascii="Calibri" w:hAnsi="Calibri"/>
                <w:sz w:val="20"/>
              </w:rPr>
              <w:t xml:space="preserve">7,6</w:t>
            </w:r>
          </w:p>
        </w:tc>
        <w:tc>
          <w:tcPr/>
          <w:p>
            <w:pPr>
              <w:pStyle w:val="Compact"/>
            </w:pPr>
            <w:r>
              <w:rPr>
                <w:rFonts w:ascii="Calibri" w:hAnsi="Calibri"/>
                <w:sz w:val="20"/>
              </w:rPr>
              <w:t xml:space="preserve">14,9</w:t>
            </w:r>
          </w:p>
        </w:tc>
        <w:tc>
          <w:tcPr/>
          <w:p>
            <w:pPr>
              <w:pStyle w:val="Compact"/>
            </w:pPr>
            <w:r>
              <w:rPr>
                <w:rFonts w:ascii="Calibri" w:hAnsi="Calibri"/>
                <w:sz w:val="20"/>
              </w:rPr>
              <w:t xml:space="preserve">22,5</w:t>
            </w:r>
          </w:p>
        </w:tc>
        <w:tc>
          <w:tcPr/>
          <w:p>
            <w:pPr>
              <w:pStyle w:val="Compact"/>
            </w:pPr>
            <w:r>
              <w:rPr>
                <w:rFonts w:ascii="Calibri" w:hAnsi="Calibri"/>
                <w:sz w:val="20"/>
              </w:rPr>
              <w:t xml:space="preserve">37,1</w:t>
            </w:r>
          </w:p>
        </w:tc>
      </w:tr>
    </w:tbl>
    <w:p>
      <w:pPr>
        <w:pStyle w:val="CaptionedFigure"/>
      </w:pPr>
      <w:r>
        <w:drawing>
          <wp:inline>
            <wp:extent cx="5334000" cy="3048000"/>
            <wp:effectExtent b="0" l="0" r="0" t="0"/>
            <wp:docPr descr="Figura 6.2. Gráfico de abanico de la deuda consolidada neta simulada, 2025-2035 (% del PIB). Escenario base del FMI (2026) con shocks estructurales del SVARX; 300 réplicas de parámetros por 400 trayectorias." title="" id="77" name="Picture"/>
            <a:graphic>
              <a:graphicData uri="http://schemas.openxmlformats.org/drawingml/2006/picture">
                <pic:pic>
                  <pic:nvPicPr>
                    <pic:cNvPr descr="../tesis/figuras/fig6_2_abanico_deuda_neta.png" id="78" name="Picture"/>
                    <pic:cNvPicPr>
                      <a:picLocks noChangeArrowheads="1" noChangeAspect="1"/>
                    </pic:cNvPicPr>
                  </pic:nvPicPr>
                  <pic:blipFill>
                    <a:blip r:embed="rId7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consolidada neta simulada, 2025-2035 (% del PIB). Escenario base del FMI (2026) con shocks estructurales del SVARX; 300 réplicas de parámetros por 400 trayectorias.</w:t>
      </w:r>
    </w:p>
    <w:p>
      <w:pPr>
        <w:pStyle w:val="BodyText"/>
      </w:pPr>
      <w:r>
        <w:t xml:space="preserve">El ancho del abanico entre los percentiles 5 y 95 es de 18,6 puntos en 2030, con un intervalo de 90% de [14,4; 23,3]. El del FMI para la deuda federal bruta es 71,5 (FMI, 2026, cuadro 7). El Capítulo 7 analiza esta diferencia.</w:t>
      </w:r>
    </w:p>
    <w:bookmarkEnd w:id="79"/>
    <w:bookmarkStart w:id="83"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tipo de cambio real y el riesgo país. El contraste compara la contribución de cada bloque de shocks a la varianza de la deuda simulada en 2035.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 shocks</w:t>
            </w:r>
          </w:p>
        </w:tc>
        <w:tc>
          <w:tcPr/>
          <w:p>
            <w:pPr>
              <w:pStyle w:val="Compact"/>
            </w:pPr>
            <w:r>
              <w:rPr>
                <w:rFonts w:ascii="Calibri" w:hAnsi="Calibri"/>
                <w:sz w:val="20"/>
              </w:rPr>
              <w:t xml:space="preserve">Participación en la varianza de la deuda en 2035</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21,2%</w:t>
            </w:r>
          </w:p>
        </w:tc>
        <w:tc>
          <w:tcPr/>
          <w:p>
            <w:pPr>
              <w:pStyle w:val="Compact"/>
            </w:pPr>
            <w:r>
              <w:rPr>
                <w:rFonts w:ascii="Calibri" w:hAnsi="Calibri"/>
                <w:sz w:val="20"/>
              </w:rPr>
              <w:t xml:space="preserve">[4,0; 43,3]</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19,0%</w:t>
            </w:r>
          </w:p>
        </w:tc>
        <w:tc>
          <w:tcPr/>
          <w:p>
            <w:pPr>
              <w:pStyle w:val="Compact"/>
            </w:pPr>
            <w:r>
              <w:rPr>
                <w:rFonts w:ascii="Calibri" w:hAnsi="Calibri"/>
                <w:sz w:val="20"/>
              </w:rPr>
              <w:t xml:space="preserve">[3,4; 45,2]</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59,8%</w:t>
            </w:r>
          </w:p>
        </w:tc>
        <w:tc>
          <w:tcPr/>
          <w:p>
            <w:pPr>
              <w:pStyle w:val="Compact"/>
            </w:pPr>
            <w:r>
              <w:rPr>
                <w:rFonts w:ascii="Calibri" w:hAnsi="Calibri"/>
                <w:sz w:val="20"/>
              </w:rPr>
              <w:t xml:space="preserve">[12,6; 90,0]</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57,7 puntos</w:t>
            </w:r>
          </w:p>
        </w:tc>
        <w:tc>
          <w:tcPr/>
          <w:p>
            <w:pPr>
              <w:pStyle w:val="Compact"/>
            </w:pPr>
            <w:r>
              <w:rPr>
                <w:rFonts w:ascii="Calibri" w:hAnsi="Calibri"/>
                <w:sz w:val="20"/>
              </w:rPr>
              <w:t xml:space="preserve">[13,4; 92,0]</w:t>
            </w:r>
          </w:p>
        </w:tc>
      </w:tr>
    </w:tbl>
    <w:p>
      <w:pPr>
        <w:pStyle w:val="BodyText"/>
      </w:pPr>
      <w:r>
        <w:t xml:space="preserve">Los shocks no fiscales explican cerca de cuatro quintos de la incertidumbre sobre la deuda en 2035, y el intervalo de la diferencia con el fiscal excluye el cero.</w:t>
      </w:r>
      <w:r>
        <w:t xml:space="preserve"> </w:t>
      </w:r>
      <w:r>
        <w:rPr>
          <w:b/>
          <w:bCs/>
        </w:rPr>
        <w:t xml:space="preserve">H1a queda respaldada en la especificación principal.</w:t>
      </w:r>
      <w:r>
        <w:t xml:space="preserve"> </w:t>
      </w:r>
      <w:r>
        <w:t xml:space="preserve">El bloque cambiario y de riesgo es el que más pesa. El resultado es coherente con la reacción fiscal positiva de la sección 6.1: el superávit responde a la deuda, pero la variabilidad de la deuda la dominan el tipo de cambio real y el riesgo país. La sección 6.6 muestra en qué especificaciones el resultado se mantiene y en cuáles no.</w:t>
      </w:r>
    </w:p>
    <w:p>
      <w:pPr>
        <w:pStyle w:val="CaptionedFigure"/>
      </w:pPr>
      <w:r>
        <w:drawing>
          <wp:inline>
            <wp:extent cx="5334000" cy="2667000"/>
            <wp:effectExtent b="0" l="0" r="0" t="0"/>
            <wp:docPr descr="Figura 6.3. Varianza de la deuda en 2035 por bloque de shocks. Participación de cada bloque de shocks estructurales en la varianza de la deuda simulada en 2035. Las barras de error son el intervalo de 90% entre réplicas de parámetros." title="" id="81" name="Picture"/>
            <a:graphic>
              <a:graphicData uri="http://schemas.openxmlformats.org/drawingml/2006/picture">
                <pic:pic>
                  <pic:nvPicPr>
                    <pic:cNvPr descr="../tesis/figuras/fig6_3_varianza_por_bloque.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6.3. Varianza de la deuda en 2035 por bloque de shocks. Participación de cada bloque de shocks estructurales en la varianza de la deuda simulada en 2035. Las barras de error son el intervalo de 90% entre réplicas de parámetros.</w:t>
      </w:r>
    </w:p>
    <w:bookmarkEnd w:id="83"/>
    <w:bookmarkStart w:id="84" w:name="contraste-de-h1b"/>
    <w:p>
      <w:pPr>
        <w:pStyle w:val="Heading2"/>
      </w:pPr>
      <w:r>
        <w:t xml:space="preserve">6.4 Contraste de H1b</w:t>
      </w:r>
    </w:p>
    <w:p>
      <w:pPr>
        <w:pStyle w:val="FirstParagraph"/>
      </w:pPr>
      <w:r>
        <w:t xml:space="preserve">El FMI (2026) estima una probabilidad de estabilización de alrededor de 99% en su abanico de mediano plazo (no estabilización de 1,0%, cuadro 7) y superior a 97% en su abanico de diez años, que termina en 2035. Cada horizonte se contrasta contra la cifra del FMI correspondiente.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Umbral del FMI</w:t>
            </w:r>
          </w:p>
        </w:tc>
        <w:tc>
          <w:tcPr/>
          <w:p>
            <w:pPr>
              <w:pStyle w:val="Compact"/>
            </w:pPr>
            <w:r>
              <w:rPr>
                <w:rFonts w:ascii="Calibri" w:hAnsi="Calibri"/>
                <w:sz w:val="20"/>
              </w:rPr>
              <w:t xml:space="preserve">Criterio (límite inferior mayor que el umbral)</w:t>
            </w:r>
          </w:p>
        </w:tc>
      </w:tr>
      <w:tr>
        <w:tc>
          <w:tcPr/>
          <w:p>
            <w:pPr>
              <w:pStyle w:val="Compact"/>
            </w:pPr>
            <w:r>
              <w:rPr>
                <w:rFonts w:ascii="Calibri" w:hAnsi="Calibri"/>
                <w:sz w:val="20"/>
              </w:rPr>
              <w:t xml:space="preserve">2030 (cinco años)</w:t>
            </w:r>
          </w:p>
        </w:tc>
        <w:tc>
          <w:tcPr/>
          <w:p>
            <w:pPr>
              <w:pStyle w:val="Compact"/>
            </w:pPr>
            <w:r>
              <w:rPr>
                <w:rFonts w:ascii="Calibri" w:hAnsi="Calibri"/>
                <w:sz w:val="20"/>
              </w:rPr>
              <w:t xml:space="preserve">11,5%</w:t>
            </w:r>
          </w:p>
        </w:tc>
        <w:tc>
          <w:tcPr/>
          <w:p>
            <w:pPr>
              <w:pStyle w:val="Compact"/>
            </w:pPr>
            <w:r>
              <w:rPr>
                <w:rFonts w:ascii="Calibri" w:hAnsi="Calibri"/>
                <w:sz w:val="20"/>
              </w:rPr>
              <w:t xml:space="preserve">[7,7; 15,2]</w:t>
            </w:r>
          </w:p>
        </w:tc>
        <w:tc>
          <w:tcPr/>
          <w:p>
            <w:pPr>
              <w:pStyle w:val="Compact"/>
            </w:pPr>
            <w:r>
              <w:rPr>
                <w:rFonts w:ascii="Calibri" w:hAnsi="Calibri"/>
                <w:sz w:val="20"/>
              </w:rPr>
              <w:t xml:space="preserve">1,0%</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6,6%</w:t>
            </w:r>
          </w:p>
        </w:tc>
        <w:tc>
          <w:tcPr/>
          <w:p>
            <w:pPr>
              <w:pStyle w:val="Compact"/>
            </w:pPr>
            <w:r>
              <w:rPr>
                <w:rFonts w:ascii="Calibri" w:hAnsi="Calibri"/>
                <w:sz w:val="20"/>
              </w:rPr>
              <w:t xml:space="preserve">[3,3; 10,5]</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Se cumple</w:t>
            </w:r>
          </w:p>
        </w:tc>
      </w:tr>
    </w:tbl>
    <w:p>
      <w:pPr>
        <w:pStyle w:val="BodyText"/>
      </w:pPr>
      <w:r>
        <w:t xml:space="preserve">A cinco años, la probabilidad de que la deuda consolidada no se estabilice es de 11,5%, más de diez veces el 1,0% del FMI, y el intervalo de 90% queda entero por encima de ese valor. A diez años baja a 6,6%, porque el escenario base sigue reduciendo la deuda y cada vez menos trayectorias terminan con la deuda en aumento. Aun así, el límite inferior (3,3%) supera el 3%, que es la cota que da el FMI para ese horizonte.</w:t>
      </w:r>
      <w:r>
        <w:t xml:space="preserve"> </w:t>
      </w:r>
      <w:r>
        <w:rPr>
          <w:b/>
          <w:bCs/>
        </w:rPr>
        <w:t xml:space="preserve">H1b queda respaldada en los dos horizontes.</w:t>
      </w:r>
    </w:p>
    <w:bookmarkEnd w:id="84"/>
    <w:bookmarkStart w:id="85" w:name="contraste-de-h2"/>
    <w:p>
      <w:pPr>
        <w:pStyle w:val="Heading2"/>
      </w:pPr>
      <w:r>
        <w:t xml:space="preserve">6.5 Contraste de H2</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Diferencia en la probabilidad de no estabilización en 2035</w:t>
            </w:r>
          </w:p>
        </w:tc>
        <w:tc>
          <w:tcPr/>
          <w:p>
            <w:pPr>
              <w:pStyle w:val="Compact"/>
            </w:pPr>
            <w:r>
              <w:rPr>
                <w:rFonts w:ascii="Calibri" w:hAnsi="Calibri"/>
                <w:sz w:val="20"/>
              </w:rPr>
              <w:t xml:space="preserve">Diferencia en la deuda media en 2035</w:t>
            </w:r>
          </w:p>
        </w:tc>
      </w:tr>
      <w:tr>
        <w:tc>
          <w:tcPr/>
          <w:p>
            <w:pPr>
              <w:pStyle w:val="Compact"/>
            </w:pPr>
            <w:r>
              <w:rPr>
                <w:rFonts w:ascii="Calibri" w:hAnsi="Calibri"/>
                <w:sz w:val="20"/>
              </w:rPr>
              <w:t xml:space="preserve">Suba de un desvío estándar (0,50 pp)</w:t>
            </w:r>
          </w:p>
        </w:tc>
        <w:tc>
          <w:tcPr/>
          <w:p>
            <w:pPr>
              <w:pStyle w:val="Compact"/>
            </w:pPr>
            <w:r>
              <w:rPr>
                <w:rFonts w:ascii="Calibri" w:hAnsi="Calibri"/>
                <w:sz w:val="20"/>
              </w:rPr>
              <w:t xml:space="preserve">+0,7 pp [0,0; 1,8]</w:t>
            </w:r>
          </w:p>
        </w:tc>
        <w:tc>
          <w:tcPr/>
          <w:p>
            <w:pPr>
              <w:pStyle w:val="Compact"/>
            </w:pPr>
            <w:r>
              <w:rPr>
                <w:rFonts w:ascii="Calibri" w:hAnsi="Calibri"/>
                <w:sz w:val="20"/>
              </w:rPr>
              <w:t xml:space="preserve">+0,7 pp del PIB</w:t>
            </w:r>
          </w:p>
        </w:tc>
      </w:tr>
      <w:tr>
        <w:tc>
          <w:tcPr/>
          <w:p>
            <w:pPr>
              <w:pStyle w:val="Compact"/>
            </w:pPr>
            <w:r>
              <w:rPr>
                <w:rFonts w:ascii="Calibri" w:hAnsi="Calibri"/>
                <w:sz w:val="20"/>
              </w:rPr>
              <w:t xml:space="preserve">Repetición del ciclo 2022-2023 (+5,25 pp en ocho trimestres)</w:t>
            </w:r>
          </w:p>
        </w:tc>
        <w:tc>
          <w:tcPr/>
          <w:p>
            <w:pPr>
              <w:pStyle w:val="Compact"/>
            </w:pPr>
            <w:r>
              <w:rPr>
                <w:rFonts w:ascii="Calibri" w:hAnsi="Calibri"/>
                <w:sz w:val="20"/>
              </w:rPr>
              <w:t xml:space="preserve">+9,5 pp [3,7; 19,0]</w:t>
            </w:r>
          </w:p>
        </w:tc>
        <w:tc>
          <w:tcPr/>
          <w:p>
            <w:pPr>
              <w:pStyle w:val="Compact"/>
            </w:pPr>
            <w:r>
              <w:rPr>
                <w:rFonts w:ascii="Calibri" w:hAnsi="Calibri"/>
                <w:sz w:val="20"/>
              </w:rPr>
              <w:t xml:space="preserve">+7,8 pp del PIB [1,9; 17,5]</w:t>
            </w:r>
          </w:p>
        </w:tc>
      </w:tr>
    </w:tbl>
    <w:p>
      <w:pPr>
        <w:pStyle w:val="BodyText"/>
      </w:pPr>
      <w:r>
        <w:t xml:space="preserve">Entre corchetes, los intervalos de 90%.</w:t>
      </w:r>
    </w:p>
    <w:p>
      <w:pPr>
        <w:pStyle w:val="BodyText"/>
      </w:pPr>
      <w:r>
        <w:t xml:space="preserve">Con un shock de un desvío estándar, el intervalo de la diferencia en la probabilidad toca el cero, de modo que no hay un efecto distinguible. Con una suba como la de 2022-2023, la probabilidad de no estabilización en 2035 sube 9,5 puntos y la deuda esperada, 7,8 puntos del PIB, y los dos intervalos excluyen el cero.</w:t>
      </w:r>
      <w:r>
        <w:t xml:space="preserve"> </w:t>
      </w:r>
      <w:r>
        <w:rPr>
          <w:b/>
          <w:bCs/>
        </w:rPr>
        <w:t xml:space="preserve">H2 queda respaldada para un endurecimiento de la magnitud del de 2022-2023, y no para un shock de un desvío estándar.</w:t>
      </w:r>
    </w:p>
    <w:p>
      <w:pPr>
        <w:pStyle w:val="BodyText"/>
      </w:pPr>
      <w:r>
        <w:t xml:space="preserve">Para saber por qué canal pasa el efecto, se repitió el escenario de 2022-2023 anulando la respuesta de las variables domésticas a la FED, de modo que solo actúa el mayor costo de refinanciar la deuda en dólares. Con los parámetros estimados, ese costo directo explica 5,1 de los 8,3 puntos de aumento de la deuda en 2035 (61%). El resto corresponde a la respuesta del riesgo país, el tipo de cambio real y el crecimiento, que en conjunto empujan en la misma dirección aunque, como se vio en la sección 6.1, ninguna de esas respuestas es significativa por separado.</w:t>
      </w:r>
    </w:p>
    <w:bookmarkEnd w:id="85"/>
    <w:bookmarkStart w:id="89" w:name="robustez"/>
    <w:p>
      <w:pPr>
        <w:pStyle w:val="Heading2"/>
      </w:pPr>
      <w:r>
        <w:t xml:space="preserve">6.6 Robustez</w:t>
      </w:r>
    </w:p>
    <w:p>
      <w:pPr>
        <w:pStyle w:val="FirstParagraph"/>
      </w:pPr>
      <w:r>
        <w:rPr>
          <w:b/>
          <w:bCs/>
        </w:rPr>
        <w:t xml:space="preserve">Escenario base anterior del FMI.</w:t>
      </w:r>
      <w:r>
        <w:t xml:space="preserve"> </w:t>
      </w:r>
      <w:r>
        <w:t xml:space="preserve">Con el escenario de abril de 2025 (FMI, 2025, anexo II), que era el vigente cuando se planteó la investigación, la probabilidad de no estabilización es de 11,8% [8,0; 15,8] a cinco años y de 6,0% [3,0; 9,8] a diez, frente a 3,0% del FMI en ese informe. Las conclusiones no dependen de cuál de los dos escenarios del FMI se use.</w:t>
      </w:r>
    </w:p>
    <w:p>
      <w:pPr>
        <w:pStyle w:val="BodyText"/>
      </w:pPr>
      <w:r>
        <w:rPr>
          <w:b/>
          <w:bCs/>
        </w:rPr>
        <w:t xml:space="preserve">Perímetro de la deuda.</w:t>
      </w:r>
      <w:r>
        <w:t xml:space="preserve"> </w:t>
      </w:r>
      <w:r>
        <w:t xml:space="preserve">Con la deuda neta a valor libros y con la deuda bruta, la probabilidad de no estabilización a cinco años es de 12,7% y 12,3%, y a diez años, de 7,4% y 7,8%. En todos los casos los límites inferiores superan los umbrales del FMI. El efecto del ciclo 2022-2023 sobre la probabilidad a diez años es de 10,1 y 8,7 puntos, con intervalos que excluyen el cero. Para H1a la conclusión depende del perímetro. Con la deuda neta a valor libros se mantiene: los shocks no fiscales superan al fiscal por 58,5 puntos [16,6; 90,8]. Con la deuda bruta, en cambio, la diferencia es de 52,6 puntos, pero su intervalo, [-7,5; 93,7], incluye el cero.</w:t>
      </w:r>
    </w:p>
    <w:p>
      <w:pPr>
        <w:pStyle w:val="BodyText"/>
      </w:pPr>
      <w:r>
        <w:rPr>
          <w:b/>
          <w:bCs/>
        </w:rPr>
        <w:t xml:space="preserve">Canal de tasas domésticas.</w:t>
      </w:r>
      <w:r>
        <w:t xml:space="preserve"> </w:t>
      </w:r>
      <w:r>
        <w:t xml:space="preserve">Si el riesgo país también encarece la deuda en pesos (sección 4.6), la probabilidad de no estabilización sube a 12,2% a cinco años y a 8,8% a diez. El bloque cambiario y de riesgo pasa a explicar 68,1% de la varianza de la deuda en 2035, y el efecto del ciclo 2022-2023 sube a 11,0 puntos de probabilidad.</w:t>
      </w:r>
    </w:p>
    <w:p>
      <w:pPr>
        <w:pStyle w:val="BodyText"/>
      </w:pPr>
      <w:r>
        <w:rPr>
          <w:b/>
          <w:bCs/>
        </w:rPr>
        <w:t xml:space="preserve">Sin retroalimentación de la deuda.</w:t>
      </w:r>
      <w:r>
        <w:t xml:space="preserve"> </w:t>
      </w:r>
      <w:r>
        <w:t xml:space="preserve">Si se anula el efecto de la deuda rezagada sobre las cuatro variables, la deuda se acumula por la identidad pero ya no realimenta al sistema. En ese caso, la probabilidad de no estabilización es de 11,5% a cinco años y de 6,1% a diez, el abanico se ensancha de 18,6 a 19,9 puntos y la diferencia entre los shocks no fiscales y el fiscal casi no cambia (57,9 puntos). Los dos mecanismos de la sección 6.1 se compensan: el aumento del riesgo país que provoca una deuda mayor queda contrarrestado por la respuesta del superávit. La retroalimentación importa para la forma de la dinámica, pero no cambia las conclusiones sobre las hipótesis.</w:t>
      </w:r>
    </w:p>
    <w:p>
      <w:pPr>
        <w:pStyle w:val="BodyText"/>
      </w:pPr>
      <w:r>
        <w:rPr>
          <w:b/>
          <w:bCs/>
        </w:rPr>
        <w:t xml:space="preserve">Shocks como los del FMI.</w:t>
      </w:r>
      <w:r>
        <w:t xml:space="preserve"> </w:t>
      </w:r>
      <w:r>
        <w:t xml:space="preserve">Con el procedimiento del abanico del FMI aplicado a las mismas series (sección 4.6), la probabilidad de no estabilización es de 23,0% a cinco años y de 15,2% a diez años, y el ancho del abanico en 2030 es de 82,8 puntos. Con la deuda bruta, las cifras son 24,6%, 17,3% y 104,1. Las dos formas de generar los shocks llevan a la misma conclusión sobre H1b. La del FMI da probabilidades y anchos mucho mayores.</w:t>
      </w:r>
    </w:p>
    <w:p>
      <w:pPr>
        <w:pStyle w:val="BodyText"/>
      </w:pPr>
      <w:r>
        <w:rPr>
          <w:b/>
          <w:bCs/>
        </w:rPr>
        <w:t xml:space="preserve">Tabla 6.2. Resumen de robustez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SVARX, deuda neta (principal)</w:t>
            </w:r>
          </w:p>
        </w:tc>
        <w:tc>
          <w:tcPr/>
          <w:p>
            <w:pPr>
              <w:pStyle w:val="Compact"/>
            </w:pPr>
            <w:r>
              <w:rPr>
                <w:rFonts w:ascii="Calibri" w:hAnsi="Calibri"/>
                <w:sz w:val="20"/>
              </w:rPr>
              <w:t xml:space="preserve">11,5% [7,7; 15,2]</w:t>
            </w:r>
          </w:p>
        </w:tc>
        <w:tc>
          <w:tcPr/>
          <w:p>
            <w:pPr>
              <w:pStyle w:val="Compact"/>
            </w:pPr>
            <w:r>
              <w:rPr>
                <w:rFonts w:ascii="Calibri" w:hAnsi="Calibri"/>
                <w:sz w:val="20"/>
              </w:rPr>
              <w:t xml:space="preserve">6,6% [3,3; 10,5]</w:t>
            </w:r>
          </w:p>
        </w:tc>
        <w:tc>
          <w:tcPr/>
          <w:p>
            <w:pPr>
              <w:pStyle w:val="Compact"/>
            </w:pPr>
            <w:r>
              <w:rPr>
                <w:rFonts w:ascii="Calibri" w:hAnsi="Calibri"/>
                <w:sz w:val="20"/>
              </w:rPr>
              <w:t xml:space="preserve">18,6</w:t>
            </w:r>
          </w:p>
        </w:tc>
      </w:tr>
      <w:tr>
        <w:tc>
          <w:tcPr/>
          <w:p>
            <w:pPr>
              <w:pStyle w:val="Compact"/>
            </w:pPr>
            <w:r>
              <w:rPr>
                <w:rFonts w:ascii="Calibri" w:hAnsi="Calibri"/>
                <w:sz w:val="20"/>
              </w:rPr>
              <w:t xml:space="preserve">SVARX, deuda neta a valor libros</w:t>
            </w:r>
          </w:p>
        </w:tc>
        <w:tc>
          <w:tcPr/>
          <w:p>
            <w:pPr>
              <w:pStyle w:val="Compact"/>
            </w:pPr>
            <w:r>
              <w:rPr>
                <w:rFonts w:ascii="Calibri" w:hAnsi="Calibri"/>
                <w:sz w:val="20"/>
              </w:rPr>
              <w:t xml:space="preserve">12,7% [8,8; 17,0]</w:t>
            </w:r>
          </w:p>
        </w:tc>
        <w:tc>
          <w:tcPr/>
          <w:p>
            <w:pPr>
              <w:pStyle w:val="Compact"/>
            </w:pPr>
            <w:r>
              <w:rPr>
                <w:rFonts w:ascii="Calibri" w:hAnsi="Calibri"/>
                <w:sz w:val="20"/>
              </w:rPr>
              <w:t xml:space="preserve">7,4% [3,8; 11,8]</w:t>
            </w:r>
          </w:p>
        </w:tc>
        <w:tc>
          <w:tcPr/>
          <w:p>
            <w:pPr>
              <w:pStyle w:val="Compact"/>
            </w:pPr>
            <w:r>
              <w:rPr>
                <w:rFonts w:ascii="Calibri" w:hAnsi="Calibri"/>
                <w:sz w:val="20"/>
              </w:rPr>
              <w:t xml:space="preserve">19,0</w:t>
            </w:r>
          </w:p>
        </w:tc>
      </w:tr>
      <w:tr>
        <w:tc>
          <w:tcPr/>
          <w:p>
            <w:pPr>
              <w:pStyle w:val="Compact"/>
            </w:pPr>
            <w:r>
              <w:rPr>
                <w:rFonts w:ascii="Calibri" w:hAnsi="Calibri"/>
                <w:sz w:val="20"/>
              </w:rPr>
              <w:t xml:space="preserve">SVARX, deuda bruta</w:t>
            </w:r>
          </w:p>
        </w:tc>
        <w:tc>
          <w:tcPr/>
          <w:p>
            <w:pPr>
              <w:pStyle w:val="Compact"/>
            </w:pPr>
            <w:r>
              <w:rPr>
                <w:rFonts w:ascii="Calibri" w:hAnsi="Calibri"/>
                <w:sz w:val="20"/>
              </w:rPr>
              <w:t xml:space="preserve">12,3% [8,5; 16,3]</w:t>
            </w:r>
          </w:p>
        </w:tc>
        <w:tc>
          <w:tcPr/>
          <w:p>
            <w:pPr>
              <w:pStyle w:val="Compact"/>
            </w:pPr>
            <w:r>
              <w:rPr>
                <w:rFonts w:ascii="Calibri" w:hAnsi="Calibri"/>
                <w:sz w:val="20"/>
              </w:rPr>
              <w:t xml:space="preserve">7,8% [4,5; 11,8]</w:t>
            </w:r>
          </w:p>
        </w:tc>
        <w:tc>
          <w:tcPr/>
          <w:p>
            <w:pPr>
              <w:pStyle w:val="Compact"/>
            </w:pPr>
            <w:r>
              <w:rPr>
                <w:rFonts w:ascii="Calibri" w:hAnsi="Calibri"/>
                <w:sz w:val="20"/>
              </w:rPr>
              <w:t xml:space="preserve">19,3</w:t>
            </w:r>
          </w:p>
        </w:tc>
      </w:tr>
      <w:tr>
        <w:tc>
          <w:tcPr/>
          <w:p>
            <w:pPr>
              <w:pStyle w:val="Compact"/>
            </w:pPr>
            <w:r>
              <w:rPr>
                <w:rFonts w:ascii="Calibri" w:hAnsi="Calibri"/>
                <w:sz w:val="20"/>
              </w:rPr>
              <w:t xml:space="preserve">SVARX, deuda neta con canal de tasas domésticas</w:t>
            </w:r>
          </w:p>
        </w:tc>
        <w:tc>
          <w:tcPr/>
          <w:p>
            <w:pPr>
              <w:pStyle w:val="Compact"/>
            </w:pPr>
            <w:r>
              <w:rPr>
                <w:rFonts w:ascii="Calibri" w:hAnsi="Calibri"/>
                <w:sz w:val="20"/>
              </w:rPr>
              <w:t xml:space="preserve">12,2% [8,5; 16,3]</w:t>
            </w:r>
          </w:p>
        </w:tc>
        <w:tc>
          <w:tcPr/>
          <w:p>
            <w:pPr>
              <w:pStyle w:val="Compact"/>
            </w:pPr>
            <w:r>
              <w:rPr>
                <w:rFonts w:ascii="Calibri" w:hAnsi="Calibri"/>
                <w:sz w:val="20"/>
              </w:rPr>
              <w:t xml:space="preserve">8,8% [4,3; 14,5]</w:t>
            </w:r>
          </w:p>
        </w:tc>
        <w:tc>
          <w:tcPr/>
          <w:p>
            <w:pPr>
              <w:pStyle w:val="Compact"/>
            </w:pPr>
            <w:r>
              <w:rPr>
                <w:rFonts w:ascii="Calibri" w:hAnsi="Calibri"/>
                <w:sz w:val="20"/>
              </w:rPr>
              <w:t xml:space="preserve">21,0</w:t>
            </w:r>
          </w:p>
        </w:tc>
      </w:tr>
      <w:tr>
        <w:tc>
          <w:tcPr/>
          <w:p>
            <w:pPr>
              <w:pStyle w:val="Compact"/>
            </w:pPr>
            <w:r>
              <w:rPr>
                <w:rFonts w:ascii="Calibri" w:hAnsi="Calibri"/>
                <w:sz w:val="20"/>
              </w:rPr>
              <w:t xml:space="preserve">SVARX, deuda neta sin retroalimentación de la deuda</w:t>
            </w:r>
          </w:p>
        </w:tc>
        <w:tc>
          <w:tcPr/>
          <w:p>
            <w:pPr>
              <w:pStyle w:val="Compact"/>
            </w:pPr>
            <w:r>
              <w:rPr>
                <w:rFonts w:ascii="Calibri" w:hAnsi="Calibri"/>
                <w:sz w:val="20"/>
              </w:rPr>
              <w:t xml:space="preserve">11,5% [7,8; 15,8]</w:t>
            </w:r>
          </w:p>
        </w:tc>
        <w:tc>
          <w:tcPr/>
          <w:p>
            <w:pPr>
              <w:pStyle w:val="Compact"/>
            </w:pPr>
            <w:r>
              <w:rPr>
                <w:rFonts w:ascii="Calibri" w:hAnsi="Calibri"/>
                <w:sz w:val="20"/>
              </w:rPr>
              <w:t xml:space="preserve">6,1% [3,3; 10,0]</w:t>
            </w:r>
          </w:p>
        </w:tc>
        <w:tc>
          <w:tcPr/>
          <w:p>
            <w:pPr>
              <w:pStyle w:val="Compact"/>
            </w:pPr>
            <w:r>
              <w:rPr>
                <w:rFonts w:ascii="Calibri" w:hAnsi="Calibri"/>
                <w:sz w:val="20"/>
              </w:rPr>
              <w:t xml:space="preserve">19,9</w:t>
            </w:r>
          </w:p>
        </w:tc>
      </w:tr>
      <w:tr>
        <w:tc>
          <w:tcPr/>
          <w:p>
            <w:pPr>
              <w:pStyle w:val="Compact"/>
            </w:pPr>
            <w:r>
              <w:rPr>
                <w:rFonts w:ascii="Calibri" w:hAnsi="Calibri"/>
                <w:sz w:val="20"/>
              </w:rPr>
              <w:t xml:space="preserve">SVARX, deuda neta, escenario del FMI de 2025</w:t>
            </w:r>
          </w:p>
        </w:tc>
        <w:tc>
          <w:tcPr/>
          <w:p>
            <w:pPr>
              <w:pStyle w:val="Compact"/>
            </w:pPr>
            <w:r>
              <w:rPr>
                <w:rFonts w:ascii="Calibri" w:hAnsi="Calibri"/>
                <w:sz w:val="20"/>
              </w:rPr>
              <w:t xml:space="preserve">11,8% [8,0; 15,8]</w:t>
            </w:r>
          </w:p>
        </w:tc>
        <w:tc>
          <w:tcPr/>
          <w:p>
            <w:pPr>
              <w:pStyle w:val="Compact"/>
            </w:pPr>
            <w:r>
              <w:rPr>
                <w:rFonts w:ascii="Calibri" w:hAnsi="Calibri"/>
                <w:sz w:val="20"/>
              </w:rPr>
              <w:t xml:space="preserve">6,0% [3,0; 9,8]</w:t>
            </w:r>
          </w:p>
        </w:tc>
        <w:tc>
          <w:tcPr/>
          <w:p>
            <w:pPr>
              <w:pStyle w:val="Compact"/>
            </w:pPr>
            <w:r>
              <w:rPr>
                <w:rFonts w:ascii="Calibri" w:hAnsi="Calibri"/>
                <w:sz w:val="20"/>
              </w:rPr>
              <w:t xml:space="preserve">19,5</w:t>
            </w:r>
          </w:p>
        </w:tc>
      </w:tr>
      <w:tr>
        <w:tc>
          <w:tcPr/>
          <w:p>
            <w:pPr>
              <w:pStyle w:val="Compact"/>
            </w:pPr>
            <w:r>
              <w:rPr>
                <w:rFonts w:ascii="Calibri" w:hAnsi="Calibri"/>
                <w:sz w:val="20"/>
              </w:rPr>
              <w:t xml:space="preserve">Shocks a la manera del FMI, deuda neta</w:t>
            </w:r>
          </w:p>
        </w:tc>
        <w:tc>
          <w:tcPr/>
          <w:p>
            <w:pPr>
              <w:pStyle w:val="Compact"/>
            </w:pPr>
            <w:r>
              <w:rPr>
                <w:rFonts w:ascii="Calibri" w:hAnsi="Calibri"/>
                <w:sz w:val="20"/>
              </w:rPr>
              <w:t xml:space="preserve">23,0%</w:t>
            </w:r>
          </w:p>
        </w:tc>
        <w:tc>
          <w:tcPr/>
          <w:p>
            <w:pPr>
              <w:pStyle w:val="Compact"/>
            </w:pPr>
            <w:r>
              <w:rPr>
                <w:rFonts w:ascii="Calibri" w:hAnsi="Calibri"/>
                <w:sz w:val="20"/>
              </w:rPr>
              <w:t xml:space="preserve">15,2%</w:t>
            </w:r>
          </w:p>
        </w:tc>
        <w:tc>
          <w:tcPr/>
          <w:p>
            <w:pPr>
              <w:pStyle w:val="Compact"/>
            </w:pPr>
            <w:r>
              <w:rPr>
                <w:rFonts w:ascii="Calibri" w:hAnsi="Calibri"/>
                <w:sz w:val="20"/>
              </w:rPr>
              <w:t xml:space="preserve">82,8</w:t>
            </w:r>
          </w:p>
        </w:tc>
      </w:tr>
      <w:tr>
        <w:tc>
          <w:tcPr/>
          <w:p>
            <w:pPr>
              <w:pStyle w:val="Compact"/>
            </w:pPr>
            <w:r>
              <w:rPr>
                <w:rFonts w:ascii="Calibri" w:hAnsi="Calibri"/>
                <w:sz w:val="20"/>
              </w:rPr>
              <w:t xml:space="preserve">Shocks a la manera del FMI, deuda bruta</w:t>
            </w:r>
          </w:p>
        </w:tc>
        <w:tc>
          <w:tcPr/>
          <w:p>
            <w:pPr>
              <w:pStyle w:val="Compact"/>
            </w:pPr>
            <w:r>
              <w:rPr>
                <w:rFonts w:ascii="Calibri" w:hAnsi="Calibri"/>
                <w:sz w:val="20"/>
              </w:rPr>
              <w:t xml:space="preserve">24,6%</w:t>
            </w:r>
          </w:p>
        </w:tc>
        <w:tc>
          <w:tcPr/>
          <w:p>
            <w:pPr>
              <w:pStyle w:val="Compact"/>
            </w:pPr>
            <w:r>
              <w:rPr>
                <w:rFonts w:ascii="Calibri" w:hAnsi="Calibri"/>
                <w:sz w:val="20"/>
              </w:rPr>
              <w:t xml:space="preserve">17,3%</w:t>
            </w:r>
          </w:p>
        </w:tc>
        <w:tc>
          <w:tcPr/>
          <w:p>
            <w:pPr>
              <w:pStyle w:val="Compact"/>
            </w:pPr>
            <w:r>
              <w:rPr>
                <w:rFonts w:ascii="Calibri" w:hAnsi="Calibri"/>
                <w:sz w:val="20"/>
              </w:rPr>
              <w:t xml:space="preserve">104,1</w:t>
            </w:r>
          </w:p>
        </w:tc>
      </w:tr>
      <w:tr>
        <w:tc>
          <w:tcPr/>
          <w:p>
            <w:pPr>
              <w:pStyle w:val="Compact"/>
            </w:pPr>
            <w:r>
              <w:rPr>
                <w:rFonts w:ascii="Calibri" w:hAnsi="Calibri"/>
                <w:sz w:val="20"/>
              </w:rPr>
              <w:t xml:space="preserve">FMI (2026), deuda federal bruta</w:t>
            </w:r>
          </w:p>
        </w:tc>
        <w:tc>
          <w:tcPr/>
          <w:p>
            <w:pPr>
              <w:pStyle w:val="Compact"/>
            </w:pPr>
            <w:r>
              <w:rPr>
                <w:rFonts w:ascii="Calibri" w:hAnsi="Calibri"/>
                <w:sz w:val="20"/>
              </w:rPr>
              <w:t xml:space="preserve">1,0%</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71,5</w:t>
            </w:r>
          </w:p>
        </w:tc>
      </w:tr>
    </w:tbl>
    <w:p>
      <w:pPr>
        <w:pStyle w:val="BodyText"/>
      </w:pPr>
      <w:r>
        <w:t xml:space="preserve">Entre corchetes, los intervalos de 90% del</w:t>
      </w:r>
      <w:r>
        <w:t xml:space="preserve"> </w:t>
      </w:r>
      <w:r>
        <w:rPr>
          <w:i/>
          <w:iCs/>
        </w:rPr>
        <w:t xml:space="preserve">bootstrap</w:t>
      </w:r>
      <w:r>
        <w:t xml:space="preserve"> </w:t>
      </w:r>
      <w:r>
        <w:t xml:space="preserve">de parámetros. Las filas a la manera del FMI no tienen intervalo porque ese procedimiento no estima parámetros.</w:t>
      </w:r>
    </w:p>
    <w:p>
      <w:pPr>
        <w:pStyle w:val="BodyText"/>
      </w:pPr>
      <w:r>
        <w:t xml:space="preserve">La Figura 6.4 resume la tabla: en todas las especificaciones, la barra de 2030 y su intervalo quedan por encima del 1% del FMI, y la de 2035, por encima del 3%.</w:t>
      </w:r>
    </w:p>
    <w:p>
      <w:pPr>
        <w:pStyle w:val="CaptionedFigure"/>
      </w:pPr>
      <w:r>
        <w:drawing>
          <wp:inline>
            <wp:extent cx="5334000" cy="2590800"/>
            <wp:effectExtent b="0" l="0" r="0" t="0"/>
            <wp:docPr descr="Figura 6.4. Probabilidad de no estabilización por especificación. A cinco y a diez años, con intervalos de 90% del bootstrap de parámetros, y los umbrales del FMI (2026): 1% a mediano plazo y 3% a diez años. La variante a la manera del FMI no tiene intervalo porque no estima parámetros." title="" id="87" name="Picture"/>
            <a:graphic>
              <a:graphicData uri="http://schemas.openxmlformats.org/drawingml/2006/picture">
                <pic:pic>
                  <pic:nvPicPr>
                    <pic:cNvPr descr="../tesis/figuras/fig6_4_probabilidad_no_estabilizacion.png" id="88" name="Picture"/>
                    <pic:cNvPicPr>
                      <a:picLocks noChangeArrowheads="1" noChangeAspect="1"/>
                    </pic:cNvPicPr>
                  </pic:nvPicPr>
                  <pic:blipFill>
                    <a:blip r:embed="rId86"/>
                    <a:stretch>
                      <a:fillRect/>
                    </a:stretch>
                  </pic:blipFill>
                  <pic:spPr bwMode="auto">
                    <a:xfrm>
                      <a:off x="0" y="0"/>
                      <a:ext cx="5334000" cy="2590800"/>
                    </a:xfrm>
                    <a:prstGeom prst="rect">
                      <a:avLst/>
                    </a:prstGeom>
                    <a:noFill/>
                    <a:ln w="9525">
                      <a:noFill/>
                      <a:headEnd/>
                      <a:tailEnd/>
                    </a:ln>
                  </pic:spPr>
                </pic:pic>
              </a:graphicData>
            </a:graphic>
          </wp:inline>
        </w:drawing>
      </w:r>
    </w:p>
    <w:p>
      <w:pPr>
        <w:pStyle w:val="ImageCaption"/>
      </w:pPr>
      <w:r>
        <w:t xml:space="preserve">Figura 6.4. Probabilidad de no estabilización por especificación. A cinco y a diez años, con intervalos de 90% del bootstrap de parámetros, y los umbrales del FMI (2026): 1% a mediano plazo y 3% a diez años. La variante a la manera del FMI no tiene intervalo porque no estima parámetros.</w:t>
      </w:r>
    </w:p>
    <w:bookmarkEnd w:id="89"/>
    <w:bookmarkEnd w:id="90"/>
    <w:bookmarkStart w:id="102" w:name="discusión"/>
    <w:p>
      <w:pPr>
        <w:pStyle w:val="Heading1"/>
      </w:pPr>
      <w:r>
        <w:t xml:space="preserve">7. Discusión</w:t>
      </w:r>
    </w:p>
    <w:bookmarkStart w:id="91" w:name="Xd2bfaf14c1e57bc7fc44159cc760bdc22586e66"/>
    <w:p>
      <w:pPr>
        <w:pStyle w:val="Heading2"/>
      </w:pPr>
      <w:r>
        <w:t xml:space="preserve">7.1 Qué cambia respecto del diagnóstico del FMI</w:t>
      </w:r>
    </w:p>
    <w:p>
      <w:pPr>
        <w:pStyle w:val="FirstParagraph"/>
      </w:pPr>
      <w:r>
        <w:t xml:space="preserve">El FMI (2026) concluye que la deuda argentina es sostenible pero no con alta probabilidad, y estima en alrededor de 99% la probabilidad de que se estabilice en el mediano plazo. Esta tesis llega a un diagnóstico más exigente con el mismo escenario base. Con shocks identificados y el perímetro consolidado, la probabilidad de no estabilización a cinco años es de 11,5%, con un intervalo de 90% de 7,7% a 15,2%. Como el escenario base es el mismo, la diferencia no viene de supuestos más pesimistas sobre crecimiento, superávit o tasas. Viene de la forma de representar la incertidumbre alrededor de esos supuestos, que es la vacancia que plantea la sección 2.9.</w:t>
      </w:r>
    </w:p>
    <w:p>
      <w:pPr>
        <w:pStyle w:val="BodyText"/>
      </w:pPr>
      <w:r>
        <w:t xml:space="preserve">A diez años la diferencia se achica: 6,6%, con un límite inferior de 3,3%, apenas por encima del 3% que el FMI da como cota para ese horizonte. No es una contradicción. La métrica del FMI pregunta si el ajuste del escenario base alcanza para poner la deuda en una senda descendente (FMI, 2021, anexo VI, nota 9). En el escenario del FMI la deuda baja rápido, de modo que hacia 2035 quedan pocas trayectorias en las que el superávit previsto resulte insuficiente. El riesgo se concentra en los primeros años, que son también los que el FMI mira para su calificación de riesgo a mediano plazo.</w:t>
      </w:r>
    </w:p>
    <w:bookmarkEnd w:id="91"/>
    <w:bookmarkStart w:id="98" w:name="X296fb36fe1945ef431d31692b730d7f1c364e24"/>
    <w:p>
      <w:pPr>
        <w:pStyle w:val="Heading2"/>
      </w:pPr>
      <w:r>
        <w:t xml:space="preserve">7.2 Por qué el abanico es más angosto y, aun así, la probabilidad es mayor</w:t>
      </w:r>
    </w:p>
    <w:p>
      <w:pPr>
        <w:pStyle w:val="FirstParagraph"/>
      </w:pPr>
      <w:r>
        <w:t xml:space="preserve">El ancho del abanico de esta tesis en 2030 es de 18,6 puntos del PIB, contra 71,5 del FMI. A primera vista, un abanico cuatro veces más angosto debería dar una probabilidad de no estabilización menor, no mayor. La variante con shocks a la manera del FMI (sección 6.6) permite separar las causas, porque usa los mismos datos, la misma identidad y la misma métrica, y cambia solo la forma de generar los shocks.</w:t>
      </w:r>
    </w:p>
    <w:p>
      <w:pPr>
        <w:pStyle w:val="BodyText"/>
      </w:pPr>
      <w:r>
        <w:rPr>
          <w:b/>
          <w:bCs/>
        </w:rPr>
        <w:t xml:space="preserve">El ancho depende de cómo se generan los shocks, no del perímetro.</w:t>
      </w:r>
      <w:r>
        <w:t xml:space="preserve"> </w:t>
      </w:r>
      <w:r>
        <w:t xml:space="preserve">Con el procedimiento del FMI aplicado a la deuda neta, el ancho es de 82,8 puntos, del mismo orden que el del FMI. Con el SVARX, la deuda bruta da 19,3 puntos, casi lo mismo que la neta. El perímetro mueve el ancho en uno o dos puntos y la forma de los shocks lo multiplica por cuatro.</w:t>
      </w:r>
    </w:p>
    <w:p>
      <w:pPr>
        <w:pStyle w:val="BodyText"/>
      </w:pPr>
      <w:r>
        <w:t xml:space="preserve">La Figura 7.1 compara los dos abanicos. Las medianas son casi iguales, porque las fija el escenario base; lo que cambia es la dispersión.</w:t>
      </w:r>
    </w:p>
    <w:p>
      <w:pPr>
        <w:pStyle w:val="CaptionedFigure"/>
      </w:pPr>
      <w:r>
        <w:drawing>
          <wp:inline>
            <wp:extent cx="5334000" cy="2895600"/>
            <wp:effectExtent b="0" l="0" r="0" t="0"/>
            <wp:docPr descr="Figura 7.1. Abanicos con shocks del SVARX y con shocks a la manera del FMI. Deuda consolidada neta simulada, percentiles 5 y 95 y mediana (% del PIB). Los shocks a la manera del FMI son bloques de dos años de desvíos históricos, 1997-2025." title="" id="93" name="Picture"/>
            <a:graphic>
              <a:graphicData uri="http://schemas.openxmlformats.org/drawingml/2006/picture">
                <pic:pic>
                  <pic:nvPicPr>
                    <pic:cNvPr descr="../tesis/figuras/fig7_1_abanico_svarx_vs_fmi.png" id="94" name="Picture"/>
                    <pic:cNvPicPr>
                      <a:picLocks noChangeArrowheads="1" noChangeAspect="1"/>
                    </pic:cNvPicPr>
                  </pic:nvPicPr>
                  <pic:blipFill>
                    <a:blip r:embed="rId92"/>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 shocks del SVARX y con shocks a la manera del FMI. Deuda consolidada neta simulada, percentiles 5 y 95 y mediana (% del PIB). Los shocks a la manera del FMI son bloques de dos años de desvíos históricos, 1997-2025.</w:t>
      </w:r>
    </w:p>
    <w:p>
      <w:pPr>
        <w:pStyle w:val="BodyText"/>
      </w:pPr>
      <w:r>
        <w:rPr>
          <w:b/>
          <w:bCs/>
        </w:rPr>
        <w:t xml:space="preserve">Qué ensancha el abanico del procedimiento del FMI.</w:t>
      </w:r>
      <w:r>
        <w:t xml:space="preserve"> </w:t>
      </w:r>
      <w:r>
        <w:t xml:space="preserve">El ejercicio de la Tabla 7.1 repite esa variante quitando el año 2002 o fijando cada impulsor en su media histórica.</w:t>
      </w:r>
    </w:p>
    <w:p>
      <w:pPr>
        <w:pStyle w:val="BodyText"/>
      </w:pPr>
      <w:r>
        <w:rPr>
          <w:b/>
          <w:bCs/>
        </w:rPr>
        <w:t xml:space="preserve">Tabla 7.1. Diagnóstico de la variante con shocks a la manera del FMI (deuda neta)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Todos los años, 1997-2025</w:t>
            </w:r>
          </w:p>
        </w:tc>
        <w:tc>
          <w:tcPr/>
          <w:p>
            <w:pPr>
              <w:pStyle w:val="Compact"/>
            </w:pPr>
            <w:r>
              <w:rPr>
                <w:rFonts w:ascii="Calibri" w:hAnsi="Calibri"/>
                <w:sz w:val="20"/>
              </w:rPr>
              <w:t xml:space="preserve">23,0%</w:t>
            </w:r>
          </w:p>
        </w:tc>
        <w:tc>
          <w:tcPr/>
          <w:p>
            <w:pPr>
              <w:pStyle w:val="Compact"/>
            </w:pPr>
            <w:r>
              <w:rPr>
                <w:rFonts w:ascii="Calibri" w:hAnsi="Calibri"/>
                <w:sz w:val="20"/>
              </w:rPr>
              <w:t xml:space="preserve">15,2%</w:t>
            </w:r>
          </w:p>
        </w:tc>
        <w:tc>
          <w:tcPr/>
          <w:p>
            <w:pPr>
              <w:pStyle w:val="Compact"/>
            </w:pPr>
            <w:r>
              <w:rPr>
                <w:rFonts w:ascii="Calibri" w:hAnsi="Calibri"/>
                <w:sz w:val="20"/>
              </w:rPr>
              <w:t xml:space="preserve">82,8</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22,4%</w:t>
            </w:r>
          </w:p>
        </w:tc>
        <w:tc>
          <w:tcPr/>
          <w:p>
            <w:pPr>
              <w:pStyle w:val="Compact"/>
            </w:pPr>
            <w:r>
              <w:rPr>
                <w:rFonts w:ascii="Calibri" w:hAnsi="Calibri"/>
                <w:sz w:val="20"/>
              </w:rPr>
              <w:t xml:space="preserve">15,2%</w:t>
            </w:r>
          </w:p>
        </w:tc>
        <w:tc>
          <w:tcPr/>
          <w:p>
            <w:pPr>
              <w:pStyle w:val="Compact"/>
            </w:pPr>
            <w:r>
              <w:rPr>
                <w:rFonts w:ascii="Calibri" w:hAnsi="Calibri"/>
                <w:sz w:val="20"/>
              </w:rPr>
              <w:t xml:space="preserve">62,9</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20,1%</w:t>
            </w:r>
          </w:p>
        </w:tc>
        <w:tc>
          <w:tcPr/>
          <w:p>
            <w:pPr>
              <w:pStyle w:val="Compact"/>
            </w:pPr>
            <w:r>
              <w:rPr>
                <w:rFonts w:ascii="Calibri" w:hAnsi="Calibri"/>
                <w:sz w:val="20"/>
              </w:rPr>
              <w:t xml:space="preserve">13,1%</w:t>
            </w:r>
          </w:p>
        </w:tc>
        <w:tc>
          <w:tcPr/>
          <w:p>
            <w:pPr>
              <w:pStyle w:val="Compact"/>
            </w:pPr>
            <w:r>
              <w:rPr>
                <w:rFonts w:ascii="Calibri" w:hAnsi="Calibri"/>
                <w:sz w:val="20"/>
              </w:rPr>
              <w:t xml:space="preserve">61,9</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10,4%</w:t>
            </w:r>
          </w:p>
        </w:tc>
        <w:tc>
          <w:tcPr/>
          <w:p>
            <w:pPr>
              <w:pStyle w:val="Compact"/>
            </w:pPr>
            <w:r>
              <w:rPr>
                <w:rFonts w:ascii="Calibri" w:hAnsi="Calibri"/>
                <w:sz w:val="20"/>
              </w:rPr>
              <w:t xml:space="preserve">7,3%</w:t>
            </w:r>
          </w:p>
        </w:tc>
        <w:tc>
          <w:tcPr/>
          <w:p>
            <w:pPr>
              <w:pStyle w:val="Compact"/>
            </w:pPr>
            <w:r>
              <w:rPr>
                <w:rFonts w:ascii="Calibri" w:hAnsi="Calibri"/>
                <w:sz w:val="20"/>
              </w:rPr>
              <w:t xml:space="preserve">54,6</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22,2%</w:t>
            </w:r>
          </w:p>
        </w:tc>
        <w:tc>
          <w:tcPr/>
          <w:p>
            <w:pPr>
              <w:pStyle w:val="Compact"/>
            </w:pPr>
            <w:r>
              <w:rPr>
                <w:rFonts w:ascii="Calibri" w:hAnsi="Calibri"/>
                <w:sz w:val="20"/>
              </w:rPr>
              <w:t xml:space="preserve">12,6%</w:t>
            </w:r>
          </w:p>
        </w:tc>
        <w:tc>
          <w:tcPr/>
          <w:p>
            <w:pPr>
              <w:pStyle w:val="Compact"/>
            </w:pPr>
            <w:r>
              <w:rPr>
                <w:rFonts w:ascii="Calibri" w:hAnsi="Calibri"/>
                <w:sz w:val="20"/>
              </w:rPr>
              <w:t xml:space="preserve">70,7</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22,6%</w:t>
            </w:r>
          </w:p>
        </w:tc>
        <w:tc>
          <w:tcPr/>
          <w:p>
            <w:pPr>
              <w:pStyle w:val="Compact"/>
            </w:pPr>
            <w:r>
              <w:rPr>
                <w:rFonts w:ascii="Calibri" w:hAnsi="Calibri"/>
                <w:sz w:val="20"/>
              </w:rPr>
              <w:t xml:space="preserve">14,6%</w:t>
            </w:r>
          </w:p>
        </w:tc>
        <w:tc>
          <w:tcPr/>
          <w:p>
            <w:pPr>
              <w:pStyle w:val="Compact"/>
            </w:pPr>
            <w:r>
              <w:rPr>
                <w:rFonts w:ascii="Calibri" w:hAnsi="Calibri"/>
                <w:sz w:val="20"/>
              </w:rPr>
              <w:t xml:space="preserve">84,1</w:t>
            </w:r>
          </w:p>
        </w:tc>
      </w:tr>
    </w:tbl>
    <w:p>
      <w:pPr>
        <w:pStyle w:val="BodyText"/>
      </w:pPr>
      <w:r>
        <w:t xml:space="preserve">Fuente:</w:t>
      </w:r>
      <w:r>
        <w:t xml:space="preserve"> </w:t>
      </w:r>
      <w:r>
        <w:rPr>
          <w:rStyle w:val="VerbatimChar"/>
        </w:rPr>
        <w:t xml:space="preserve">codigo/modelos/fase25b_diagnostico_abanico_fmi.py</w:t>
      </w:r>
      <w:r>
        <w:t xml:space="preserve">.</w:t>
      </w:r>
    </w:p>
    <w:p>
      <w:pPr>
        <w:pStyle w:val="BodyText"/>
      </w:pPr>
      <w:r>
        <w:t xml:space="preserve">Un solo año, 2002, aporta un cuarto del ancho: la depreciación real de ese año (145%) aparece, con probabilidad uno en catorce, en cada bloque de dos años sorteado. La probabilidad de no estabilización, en cambio, depende sobre todo de la tasa real efectiva. Esa tasa pasó de valores positivos durante la convertibilidad (entre 6% y 9% en 1997-2001) a valores muy negativos con la inflación posterior (-56% en 2023 y -66% en 2024). El procedimiento del FMI mide los shocks como desvíos respecto de una única media para todo el período, de -17%. Así, un año como 1999 cuenta como un shock de 26 puntos de tasa real, y puede aparecer en 2030 junto con cualquier otro año de la muestra, aunque correspondan a regímenes monetarios distintos. Es una manifestación del problema que el propio FMI y el ESM (2023) señalan como desafío de su método: que la historia usada para generar el abanico sea representativa del futuro.</w:t>
      </w:r>
    </w:p>
    <w:p>
      <w:pPr>
        <w:pStyle w:val="CaptionedFigure"/>
      </w:pPr>
      <w:r>
        <w:drawing>
          <wp:inline>
            <wp:extent cx="5334000" cy="3501390"/>
            <wp:effectExtent b="0" l="0" r="0" t="0"/>
            <wp:docPr descr="Figura 7.2. Impulsores anuales de la deuda que usa la variante a la manera del FMI, 1997-2025. La tasa real efectiva pasa de valores positivos en la convertibilidad a valores muy negativos con la inflación posterior." title="" id="96" name="Picture"/>
            <a:graphic>
              <a:graphicData uri="http://schemas.openxmlformats.org/drawingml/2006/picture">
                <pic:pic>
                  <pic:nvPicPr>
                    <pic:cNvPr descr="../tesis/figuras/fig7_2_impulsores_historicos.png" id="97" name="Picture"/>
                    <pic:cNvPicPr>
                      <a:picLocks noChangeArrowheads="1" noChangeAspect="1"/>
                    </pic:cNvPicPr>
                  </pic:nvPicPr>
                  <pic:blipFill>
                    <a:blip r:embed="rId95"/>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7.2. Impulsores anuales de la deuda que usa la variante a la manera del FMI, 1997-2025. La tasa real efectiva pasa de valores positivos en la convertibilidad a valores muy negativos con la inflación posterior.</w:t>
      </w:r>
    </w:p>
    <w:p>
      <w:pPr>
        <w:pStyle w:val="BodyText"/>
      </w:pPr>
      <w:r>
        <w:rPr>
          <w:b/>
          <w:bCs/>
        </w:rPr>
        <w:t xml:space="preserve">Qué hace distinto el SVARX.</w:t>
      </w:r>
      <w:r>
        <w:t xml:space="preserve"> </w:t>
      </w:r>
      <w:r>
        <w:t xml:space="preserve">El SVARX trata los cambios de régimen con las variables binarias de los quiebres estructurales (2001, 2006 y 2018) y separa lo que la dinámica del sistema permite anticipar de lo que es sorpresa. Solo remuestrea las sorpresas, que son menores que los desvíos respecto de una media de largo plazo. Además, la tasa en dólares se reprecia de a poco, a medida que vence la deuda. El resultado es un abanico más angosto, pero con una forma que importa: los shocks cambiarios y de riesgo son persistentes y están correlacionados entre sí, y por eso, cuando ocurren, empujan la deuda hacia arriba durante varios años seguidos. Con esa persistencia, una dispersión menor alcanza para que en 11,5% de las trayectorias el superávit del escenario base no frene la suba de la deuda en 2030.</w:t>
      </w:r>
    </w:p>
    <w:p>
      <w:pPr>
        <w:pStyle w:val="BodyText"/>
      </w:pPr>
      <w:r>
        <w:rPr>
          <w:b/>
          <w:bCs/>
        </w:rPr>
        <w:t xml:space="preserve">Lo que no se puede reproducir.</w:t>
      </w:r>
      <w:r>
        <w:t xml:space="preserve"> </w:t>
      </w:r>
      <w:r>
        <w:t xml:space="preserve">Con nuestros datos, el procedimiento del FMI da 23,0% de no estabilización, no 1%. El FMI no publica la muestra histórica ni los datos de los impulsores que usa para Argentina, así que esta diferencia no se puede descomponer con la información disponible. Las dos estimaciones de esta tesis (11,5% con el SVARX y 23,0% con el procedimiento del FMI) superan el 1%, de modo que la conclusión sobre H1b a cinco años no depende de esa elección.</w:t>
      </w:r>
    </w:p>
    <w:bookmarkEnd w:id="98"/>
    <w:bookmarkStart w:id="99" w:name="el-papel-del-superávit-primario"/>
    <w:p>
      <w:pPr>
        <w:pStyle w:val="Heading2"/>
      </w:pPr>
      <w:r>
        <w:t xml:space="preserve">7.3 El papel del superávit primario</w:t>
      </w:r>
    </w:p>
    <w:p>
      <w:pPr>
        <w:pStyle w:val="FirstParagraph"/>
      </w:pPr>
      <w:r>
        <w:t xml:space="preserve">La reacción fiscal estimada es positiva y significativa (0,051): en 1998-2025, el resultado primario respondió a la deuda, en línea con la condición de Bohn (1998). Pero el bloque fiscal explica alrededor de un quinto de la varianza de la deuda en 2035, y el cambiario y de riesgo, tres quintos. Esto respalda la idea central de H1a. El superávit es necesario, y el escenario base del FMI se apoya en él, pero no alcanza para controlar la trayectoria, porque la mayor parte del riesgo viene del tipo de cambio real y de la prima de riesgo. El resultado coincide con el diagnóstico de la restricción externa del Capítulo 3: con más de la mitad de la deuda en moneda extranjera, una depreciación real cambia el cociente de deuda aunque las cuentas fiscales estén en orden (Calvo et al., 2003).</w:t>
      </w:r>
    </w:p>
    <w:bookmarkEnd w:id="99"/>
    <w:bookmarkStart w:id="100" w:name="el-shock-de-la-fed"/>
    <w:p>
      <w:pPr>
        <w:pStyle w:val="Heading2"/>
      </w:pPr>
      <w:r>
        <w:t xml:space="preserve">7.4 El shock de la FED</w:t>
      </w:r>
    </w:p>
    <w:p>
      <w:pPr>
        <w:pStyle w:val="FirstParagraph"/>
      </w:pPr>
      <w:r>
        <w:t xml:space="preserve">El efecto de la FED depende del tamaño del shock. Una suba de medio punto no tiene un efecto distinguible. Un ciclo como el de 2022-2023 eleva la deuda en 8 puntos del PIB hacia 2035. Tres quintos de ese efecto vienen del canal más directo, el mayor costo de refinanciar la deuda en dólares, y el resto de la respuesta del riesgo país, el tipo de cambio real y el crecimiento. Las respuestas al impulso de esas variables no son significativas por separado. Esto no quiere decir que los canales indirectos no existan. Uribe y Yue (2006) y Canova (2005) los documentan con paneles y muestras más largas. Quiere decir que una sola serie argentina de 111 trimestres no alcanza para medirlos con precisión. La conclusión sobre H2 descansa, por lo tanto, sobre todo en el canal de costo.</w:t>
      </w:r>
    </w:p>
    <w:bookmarkEnd w:id="100"/>
    <w:bookmarkStart w:id="101" w:name="limitaciones"/>
    <w:p>
      <w:pPr>
        <w:pStyle w:val="Heading2"/>
      </w:pPr>
      <w:r>
        <w:t xml:space="preserve">7.5 Limitaciones</w:t>
      </w:r>
    </w:p>
    <w:p>
      <w:pPr>
        <w:pStyle w:val="Compact"/>
        <w:numPr>
          <w:ilvl w:val="0"/>
          <w:numId w:val="1008"/>
        </w:numPr>
      </w:pPr>
      <w:r>
        <w:rPr>
          <w:b/>
          <w:bCs/>
        </w:rPr>
        <w:t xml:space="preserve">Escenario base.</w:t>
      </w:r>
      <w:r>
        <w:t xml:space="preserve"> </w:t>
      </w:r>
      <w:r>
        <w:t xml:space="preserve">Todos los resultados están condicionados al escenario del FMI, que supone una tasa real efectiva negativa durante toda la década. Si la desinflación avanza más rápido de lo que supone el FMI, el efecto licuación se reduce y las probabilidades de este capítulo serían cotas inferiores.</w:t>
      </w:r>
    </w:p>
    <w:p>
      <w:pPr>
        <w:pStyle w:val="Compact"/>
        <w:numPr>
          <w:ilvl w:val="0"/>
          <w:numId w:val="1008"/>
        </w:numPr>
      </w:pPr>
      <w:r>
        <w:rPr>
          <w:b/>
          <w:bCs/>
        </w:rPr>
        <w:t xml:space="preserve">Tasas en pesos.</w:t>
      </w:r>
      <w:r>
        <w:t xml:space="preserve"> </w:t>
      </w:r>
      <w:r>
        <w:t xml:space="preserve">La especificación principal no hace depender la tasa de la deuda en pesos del riesgo país. Cuando se agrega ese canal, las probabilidades suben (8,8% a diez años, frente a 6,6%). Por eso, la especificación principal es conservadora.</w:t>
      </w:r>
    </w:p>
    <w:p>
      <w:pPr>
        <w:pStyle w:val="Compact"/>
        <w:numPr>
          <w:ilvl w:val="0"/>
          <w:numId w:val="1008"/>
        </w:numPr>
      </w:pPr>
      <w:r>
        <w:rPr>
          <w:b/>
          <w:bCs/>
        </w:rPr>
        <w:t xml:space="preserve">Robustez de H1a al perímetro.</w:t>
      </w:r>
      <w:r>
        <w:t xml:space="preserve"> </w:t>
      </w:r>
      <w:r>
        <w:t xml:space="preserve">Con la deuda bruta, la diferencia entre los shocks no fiscales y el fiscal sigue siendo positiva (52,6 puntos), pero su intervalo de 90% incluye el cero. H1a se sostiene con las dos medidas de deuda neta, que son las que corresponden a la consolidación con el BCRA.</w:t>
      </w:r>
    </w:p>
    <w:p>
      <w:pPr>
        <w:pStyle w:val="Compact"/>
        <w:numPr>
          <w:ilvl w:val="0"/>
          <w:numId w:val="1008"/>
        </w:numPr>
      </w:pPr>
      <w:r>
        <w:rPr>
          <w:b/>
          <w:bCs/>
        </w:rPr>
        <w:t xml:space="preserve">Activos del FGS.</w:t>
      </w:r>
      <w:r>
        <w:t xml:space="preserve"> </w:t>
      </w:r>
      <w:r>
        <w:t xml:space="preserve">La deuda neta no descuenta los títulos públicos en poder del Fondo de Garantía de Sustentabilidad, porque no hay una serie trimestral pública para todo el período (Capítulo 5). Por eso la deuda neta de esta tesis queda por encima de la consolidada que informa el FMI.</w:t>
      </w:r>
    </w:p>
    <w:p>
      <w:pPr>
        <w:pStyle w:val="Compact"/>
        <w:numPr>
          <w:ilvl w:val="0"/>
          <w:numId w:val="1008"/>
        </w:numPr>
      </w:pPr>
      <w:r>
        <w:rPr>
          <w:b/>
          <w:bCs/>
        </w:rPr>
        <w:t xml:space="preserve">Autocorrelación residual.</w:t>
      </w:r>
      <w:r>
        <w:t xml:space="preserve"> </w:t>
      </w:r>
      <w:r>
        <w:t xml:space="preserve">La prueba de Portmanteau rechaza la ausencia de autocorrelación al 5% (p = 0,036). Los órdenes que la eliminarían son inestables, de modo que se mantuvo el orden estable y se informa la limitación.</w:t>
      </w:r>
    </w:p>
    <w:p>
      <w:pPr>
        <w:pStyle w:val="Compact"/>
        <w:numPr>
          <w:ilvl w:val="0"/>
          <w:numId w:val="1008"/>
        </w:numPr>
      </w:pPr>
      <w:r>
        <w:rPr>
          <w:b/>
          <w:bCs/>
        </w:rPr>
        <w:t xml:space="preserve">Precisión de los canales externos.</w:t>
      </w:r>
      <w:r>
        <w:t xml:space="preserve"> </w:t>
      </w:r>
      <w:r>
        <w:t xml:space="preserve">Las respuestas individuales a la FED no son significativas, por lo que la descomposición del efecto de H2 por canales se informa como estimación puntual.</w:t>
      </w:r>
    </w:p>
    <w:bookmarkEnd w:id="101"/>
    <w:bookmarkEnd w:id="102"/>
    <w:bookmarkStart w:id="103"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consolidada argentina (SPNF y BCRA) en 2026-2035, y cuál es la probabilidad de que no se estabilice. Para responderla se estimó un SVAR con variables exógenas sobre datos trimestrales de 1996-2025, con la deuda consolidada neta construida según el criterio del FMI (2021, anexo II), y se lo usó para simular la deuda alrededor del escenario base del FMI (2026).</w:t>
      </w:r>
    </w:p>
    <w:p>
      <w:pPr>
        <w:pStyle w:val="BodyText"/>
      </w:pPr>
      <w:r>
        <w:t xml:space="preserve">Las respuestas son tres.</w:t>
      </w:r>
    </w:p>
    <w:p>
      <w:pPr>
        <w:pStyle w:val="BodyText"/>
      </w:pPr>
      <w:r>
        <w:rPr>
          <w:b/>
          <w:bCs/>
        </w:rPr>
        <w:t xml:space="preserve">Primera (H1a).</w:t>
      </w:r>
      <w:r>
        <w:t xml:space="preserve"> </w:t>
      </w:r>
      <w:r>
        <w:t xml:space="preserve">El superávit primario, por sí solo, no basta. La política fiscal respondió a la deuda en el período (una reacción de 0,05 por punto de deuda, significativa), pero los shocks cambiarios y de riesgo explican cerca de 60% de la incertidumbre sobre la deuda en 2035, y los fiscales, alrededor de 20%. El resultado se mantiene con la deuda neta a valor libros, con el canal de tasas en pesos y sin la retroalimentación de la deuda. Con la deuda bruta la diferencia sigue siendo positiva, pero deja de ser significativa.</w:t>
      </w:r>
    </w:p>
    <w:p>
      <w:pPr>
        <w:pStyle w:val="BodyText"/>
      </w:pPr>
      <w:r>
        <w:rPr>
          <w:b/>
          <w:bCs/>
        </w:rPr>
        <w:t xml:space="preserve">Segunda (H1b).</w:t>
      </w:r>
      <w:r>
        <w:t xml:space="preserve"> </w:t>
      </w:r>
      <w:r>
        <w:t xml:space="preserve">Con shocks identificados, la probabilidad de que la deuda consolidada no se estabilice en el horizonte de cinco años que usa el FMI es de 11,5% (entre 7,7% y 15,2%), más de diez veces el 1% que surge del análisis oficial. A diez años baja a 6,6%, y su límite inferior (3,3%) supera la cota de 3% que da el FMI para ese horizonte. El resultado se mantiene en todas las especificaciones y con el escenario base anterior del FMI. El procedimiento de shocks del FMI aplicado a los mismos datos da probabilidades todavía mayores. El diagnóstico de sostenibilidad del FMI es, por lo tanto, más optimista que el que surge de representar la incertidumbre con la dinámica histórica de la economía argentina, en los dos horizontes.</w:t>
      </w:r>
    </w:p>
    <w:p>
      <w:pPr>
        <w:pStyle w:val="BodyText"/>
      </w:pPr>
      <w:r>
        <w:rPr>
          <w:b/>
          <w:bCs/>
        </w:rPr>
        <w:t xml:space="preserve">Tercera (H2).</w:t>
      </w:r>
      <w:r>
        <w:t xml:space="preserve"> </w:t>
      </w:r>
      <w:r>
        <w:t xml:space="preserve">Un endurecimiento de la FED de la magnitud del de 2022-2023 eleva la deuda esperada en 8 puntos del PIB hacia 2035 y la probabilidad de no estabilización en 9,5 puntos. Un shock de medio punto no tiene un efecto distinguible. Tres quintos del efecto pasan por el costo de refinanciar la deuda en dólares. Los canales indirectos (riesgo país, tipo de cambio real y crecimiento) empujan en la misma dirección, pero con 30 años de datos de un solo país no se los puede medir con precisión.</w:t>
      </w:r>
    </w:p>
    <w:p>
      <w:pPr>
        <w:pStyle w:val="BodyText"/>
      </w:pPr>
      <w:r>
        <w:rPr>
          <w:b/>
          <w:bCs/>
        </w:rPr>
        <w:t xml:space="preserve">Implicancia.</w:t>
      </w:r>
      <w:r>
        <w:t xml:space="preserve"> </w:t>
      </w:r>
      <w:r>
        <w:t xml:space="preserve">El riesgo de la deuda argentina depende menos del esfuerzo fiscal, que el escenario base ya incorpora, que de la exposición al tipo de cambio real y a la prima de riesgo. Reducir la proporción de deuda en moneda extranjera y alargar los plazos atacan directamente los dos canales que dominan la varianza en esta tesis. Con eso no se reemplaza el superávit, pero se reduce la sensibilidad de la deuda a los shocks que el superávit no controla.</w:t>
      </w:r>
    </w:p>
    <w:p>
      <w:pPr>
        <w:pStyle w:val="BodyText"/>
      </w:pPr>
      <w:r>
        <w:rPr>
          <w:b/>
          <w:bCs/>
        </w:rPr>
        <w:t xml:space="preserve">Líneas de trabajo futuro.</w:t>
      </w:r>
    </w:p>
    <w:p>
      <w:pPr>
        <w:pStyle w:val="Compact"/>
        <w:numPr>
          <w:ilvl w:val="0"/>
          <w:numId w:val="1009"/>
        </w:numPr>
      </w:pPr>
      <w:r>
        <w:t xml:space="preserve">Estimar el sistema como un panel conjunto de Argentina y Chile. Levy Yeyati y Sturzenegger (2023) aplican su VAR país por país; un panel conjunto daría más precisión a las respuestas a la FED, que con una sola serie no son significativas.</w:t>
      </w:r>
    </w:p>
    <w:p>
      <w:pPr>
        <w:pStyle w:val="Compact"/>
        <w:numPr>
          <w:ilvl w:val="0"/>
          <w:numId w:val="1009"/>
        </w:numPr>
      </w:pPr>
      <w:r>
        <w:t xml:space="preserve">Reemplazar la variación de la tasa de la FED por shocks monetarios identificados con datos de alta frecuencia, que aíslan la parte no anticipada de la política de Estados Unidos.</w:t>
      </w:r>
    </w:p>
    <w:p>
      <w:pPr>
        <w:pStyle w:val="Compact"/>
        <w:numPr>
          <w:ilvl w:val="0"/>
          <w:numId w:val="1009"/>
        </w:numPr>
      </w:pPr>
      <w:r>
        <w:t xml:space="preserve">Incorporar los términos de intercambio como variable exógena, por su peso en la generación de divisas.</w:t>
      </w:r>
    </w:p>
    <w:p>
      <w:pPr>
        <w:pStyle w:val="Compact"/>
        <w:numPr>
          <w:ilvl w:val="0"/>
          <w:numId w:val="1009"/>
        </w:numPr>
      </w:pPr>
      <w:r>
        <w:t xml:space="preserve">Restar los títulos públicos en cartera del FGS cuando haya una serie pública completa, y modelar una tasa en pesos homogénea para todo el período.</w:t>
      </w:r>
    </w:p>
    <w:bookmarkEnd w:id="103"/>
    <w:bookmarkStart w:id="110" w:name="apéndice-estadístico"/>
    <w:p>
      <w:pPr>
        <w:pStyle w:val="Heading1"/>
      </w:pPr>
      <w:r>
        <w:t xml:space="preserve">Apéndice estadístico</w:t>
      </w:r>
    </w:p>
    <w:p>
      <w:pPr>
        <w:pStyle w:val="FirstParagraph"/>
      </w:pPr>
      <w:r>
        <w:t xml:space="preserve">Tablas generadas con</w:t>
      </w:r>
      <w:r>
        <w:t xml:space="preserve"> </w:t>
      </w:r>
      <w:r>
        <w:rPr>
          <w:rStyle w:val="VerbatimChar"/>
        </w:rPr>
        <w:t xml:space="preserve">codigo/modelos/apendice_tablas.py</w:t>
      </w:r>
      <w:r>
        <w:t xml:space="preserve"> </w:t>
      </w:r>
      <w:r>
        <w:t xml:space="preserve">a partir de los resultados de</w:t>
      </w:r>
      <w:r>
        <w:t xml:space="preserve"> </w:t>
      </w:r>
      <w:r>
        <w:rPr>
          <w:rStyle w:val="VerbatimChar"/>
        </w:rPr>
        <w:t xml:space="preserve">fase24_svarx_1996_2025.py</w:t>
      </w:r>
      <w:r>
        <w:t xml:space="preserve"> </w:t>
      </w:r>
      <w:r>
        <w:t xml:space="preserve">y</w:t>
      </w:r>
      <w:r>
        <w:t xml:space="preserve"> </w:t>
      </w:r>
      <w:r>
        <w:rPr>
          <w:rStyle w:val="VerbatimChar"/>
        </w:rPr>
        <w:t xml:space="preserve">fase25_simulacion_dsa_svarx.py</w:t>
      </w:r>
      <w:r>
        <w:t xml:space="preserve">.</w:t>
      </w:r>
    </w:p>
    <w:bookmarkStart w:id="104" w:name="a.0-estadísticos-descriptivos"/>
    <w:p>
      <w:pPr>
        <w:pStyle w:val="Heading2"/>
      </w:pPr>
      <w:r>
        <w:t xml:space="preserve">A.0 Estadísticos descriptivos</w:t>
      </w:r>
    </w:p>
    <w:p>
      <w:pPr>
        <w:pStyle w:val="FirstParagraph"/>
      </w:pPr>
      <w:r>
        <w:t xml:space="preserve">Muestra efectiva de estimación, 1998T2-2025T4 (111 trimestres).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Desvío estándar</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r>
      <w:tr>
        <w:tc>
          <w:tcPr/>
          <w:p>
            <w:pPr>
              <w:pStyle w:val="Compact"/>
            </w:pPr>
            <w:r>
              <w:rPr>
                <w:rFonts w:ascii="Calibri" w:hAnsi="Calibri"/>
                <w:sz w:val="20"/>
              </w:rPr>
              <w:t xml:space="preserve">Resultado primario (% del PIB, trimestral anualizado)</w:t>
            </w:r>
          </w:p>
        </w:tc>
        <w:tc>
          <w:tcPr/>
          <w:p>
            <w:pPr>
              <w:pStyle w:val="Compact"/>
            </w:pPr>
            <w:r>
              <w:rPr>
                <w:rFonts w:ascii="Calibri" w:hAnsi="Calibri"/>
                <w:sz w:val="20"/>
              </w:rPr>
              <w:t xml:space="preserve">-0,04</w:t>
            </w:r>
          </w:p>
        </w:tc>
        <w:tc>
          <w:tcPr/>
          <w:p>
            <w:pPr>
              <w:pStyle w:val="Compact"/>
            </w:pPr>
            <w:r>
              <w:rPr>
                <w:rFonts w:ascii="Calibri" w:hAnsi="Calibri"/>
                <w:sz w:val="20"/>
              </w:rPr>
              <w:t xml:space="preserve">3,23</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r>
      <w:tr>
        <w:tc>
          <w:tcPr/>
          <w:p>
            <w:pPr>
              <w:pStyle w:val="Compact"/>
            </w:pPr>
            <w:r>
              <w:rPr>
                <w:rFonts w:ascii="Calibri" w:hAnsi="Calibri"/>
                <w:sz w:val="20"/>
              </w:rPr>
              <w:t xml:space="preserve">Crecimiento real trimestral (%)</w:t>
            </w:r>
          </w:p>
        </w:tc>
        <w:tc>
          <w:tcPr/>
          <w:p>
            <w:pPr>
              <w:pStyle w:val="Compact"/>
            </w:pPr>
            <w:r>
              <w:rPr>
                <w:rFonts w:ascii="Calibri" w:hAnsi="Calibri"/>
                <w:sz w:val="20"/>
              </w:rPr>
              <w:t xml:space="preserve">0,39</w:t>
            </w:r>
          </w:p>
        </w:tc>
        <w:tc>
          <w:tcPr/>
          <w:p>
            <w:pPr>
              <w:pStyle w:val="Compact"/>
            </w:pPr>
            <w:r>
              <w:rPr>
                <w:rFonts w:ascii="Calibri" w:hAnsi="Calibri"/>
                <w:sz w:val="20"/>
              </w:rPr>
              <w:t xml:space="preserve">7,41</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1.561,19</w:t>
            </w:r>
          </w:p>
        </w:tc>
        <w:tc>
          <w:tcPr/>
          <w:p>
            <w:pPr>
              <w:pStyle w:val="Compact"/>
            </w:pPr>
            <w:r>
              <w:rPr>
                <w:rFonts w:ascii="Calibri" w:hAnsi="Calibri"/>
                <w:sz w:val="20"/>
              </w:rPr>
              <w:t xml:space="preserve">1.611,94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r>
      <w:tr>
        <w:tc>
          <w:tcPr/>
          <w:p>
            <w:pPr>
              <w:pStyle w:val="Compact"/>
            </w:pPr>
            <w:r>
              <w:rPr>
                <w:rFonts w:ascii="Calibri" w:hAnsi="Calibri"/>
                <w:sz w:val="20"/>
              </w:rPr>
              <w:t xml:space="preserve">TCRM (diciembre de 2001 = 1)</w:t>
            </w:r>
          </w:p>
        </w:tc>
        <w:tc>
          <w:tcPr/>
          <w:p>
            <w:pPr>
              <w:pStyle w:val="Compact"/>
            </w:pPr>
            <w:r>
              <w:rPr>
                <w:rFonts w:ascii="Calibri" w:hAnsi="Calibri"/>
                <w:sz w:val="20"/>
              </w:rPr>
              <w:t xml:space="preserve">1,66</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r>
      <w:tr>
        <w:tc>
          <w:tcPr/>
          <w:p>
            <w:pPr>
              <w:pStyle w:val="Compact"/>
            </w:pPr>
            <w:r>
              <w:rPr>
                <w:rFonts w:ascii="Calibri" w:hAnsi="Calibri"/>
                <w:sz w:val="20"/>
              </w:rPr>
              <w:t xml:space="preserve">Deuda consolidada neta, rezagada (% del PIB)</w:t>
            </w:r>
          </w:p>
        </w:tc>
        <w:tc>
          <w:tcPr/>
          <w:p>
            <w:pPr>
              <w:pStyle w:val="Compact"/>
            </w:pPr>
            <w:r>
              <w:rPr>
                <w:rFonts w:ascii="Calibri" w:hAnsi="Calibri"/>
                <w:sz w:val="20"/>
              </w:rPr>
              <w:t xml:space="preserve">57,74</w:t>
            </w:r>
          </w:p>
        </w:tc>
        <w:tc>
          <w:tcPr/>
          <w:p>
            <w:pPr>
              <w:pStyle w:val="Compact"/>
            </w:pPr>
            <w:r>
              <w:rPr>
                <w:rFonts w:ascii="Calibri" w:hAnsi="Calibri"/>
                <w:sz w:val="20"/>
              </w:rPr>
              <w:t xml:space="preserve">27,07</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r>
      <w:tr>
        <w:tc>
          <w:tcPr/>
          <w:p>
            <w:pPr>
              <w:pStyle w:val="Compact"/>
            </w:pPr>
            <w:r>
              <w:rPr>
                <w:rFonts w:ascii="Calibri" w:hAnsi="Calibri"/>
                <w:sz w:val="20"/>
              </w:rPr>
              <w:t xml:space="preserve">Variación de la tasa de la FED (puntos)</w:t>
            </w:r>
          </w:p>
        </w:tc>
        <w:tc>
          <w:tcPr/>
          <w:p>
            <w:pPr>
              <w:pStyle w:val="Compact"/>
            </w:pPr>
            <w:r>
              <w:rPr>
                <w:rFonts w:ascii="Calibri" w:hAnsi="Calibri"/>
                <w:sz w:val="20"/>
              </w:rPr>
              <w:t xml:space="preserve">-0,01</w:t>
            </w:r>
          </w:p>
        </w:tc>
        <w:tc>
          <w:tcPr/>
          <w:p>
            <w:pPr>
              <w:pStyle w:val="Compact"/>
            </w:pPr>
            <w:r>
              <w:rPr>
                <w:rFonts w:ascii="Calibri" w:hAnsi="Calibri"/>
                <w:sz w:val="20"/>
              </w:rPr>
              <w:t xml:space="preserve">0,52</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20,20</w:t>
            </w:r>
          </w:p>
        </w:tc>
        <w:tc>
          <w:tcPr/>
          <w:p>
            <w:pPr>
              <w:pStyle w:val="Compact"/>
            </w:pPr>
            <w:r>
              <w:rPr>
                <w:rFonts w:ascii="Calibri" w:hAnsi="Calibri"/>
                <w:sz w:val="20"/>
              </w:rPr>
              <w:t xml:space="preserve">7,33</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r>
    </w:tbl>
    <w:bookmarkEnd w:id="104"/>
    <w:bookmarkStart w:id="105" w:name="a.1-selección-del-orden-del-var"/>
    <w:p>
      <w:pPr>
        <w:pStyle w:val="Heading2"/>
      </w:pPr>
      <w:r>
        <w:t xml:space="preserve">A.1 Selección del orden del VAR</w:t>
      </w:r>
    </w:p>
    <w:p>
      <w:pPr>
        <w:pStyle w:val="FirstParagraph"/>
      </w:pPr>
      <w:r>
        <w:t xml:space="preserve">Muestra efectiva común 1998T2-2025T4 (111 trimestres) para todos los órdenes (sección 4.5). El orden elegido es el mayor orden estable que no supera al que minimiza el AIC.</w:t>
      </w:r>
    </w:p>
    <w:p>
      <w:pPr>
        <w:pStyle w:val="BodyText"/>
      </w:pPr>
      <w:r>
        <w:rPr>
          <w:b/>
          <w:bCs/>
        </w:rPr>
        <w:t xml:space="preserve">Deuda consolidada neta, valor nominal (principal).</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12,351</w:t>
            </w:r>
          </w:p>
        </w:tc>
        <w:tc>
          <w:tcPr/>
          <w:p>
            <w:pPr>
              <w:pStyle w:val="Compact"/>
            </w:pPr>
            <w:r>
              <w:rPr>
                <w:rFonts w:ascii="Calibri" w:hAnsi="Calibri"/>
                <w:sz w:val="20"/>
              </w:rPr>
              <w:t xml:space="preserve">13,914</w:t>
            </w:r>
          </w:p>
        </w:tc>
        <w:tc>
          <w:tcPr/>
          <w:p>
            <w:pPr>
              <w:pStyle w:val="Compact"/>
            </w:pPr>
            <w:r>
              <w:rPr>
                <w:rFonts w:ascii="Calibri" w:hAnsi="Calibri"/>
                <w:sz w:val="20"/>
              </w:rPr>
              <w:t xml:space="preserve">12,985</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12,052</w:t>
            </w:r>
          </w:p>
        </w:tc>
        <w:tc>
          <w:tcPr/>
          <w:p>
            <w:pPr>
              <w:pStyle w:val="Compact"/>
            </w:pPr>
            <w:r>
              <w:rPr>
                <w:rFonts w:ascii="Calibri" w:hAnsi="Calibri"/>
                <w:sz w:val="20"/>
              </w:rPr>
              <w:t xml:space="preserve">14,005</w:t>
            </w:r>
          </w:p>
        </w:tc>
        <w:tc>
          <w:tcPr/>
          <w:p>
            <w:pPr>
              <w:pStyle w:val="Compact"/>
            </w:pPr>
            <w:r>
              <w:rPr>
                <w:rFonts w:ascii="Calibri" w:hAnsi="Calibri"/>
                <w:sz w:val="20"/>
              </w:rPr>
              <w:t xml:space="preserve">12,844</w:t>
            </w:r>
          </w:p>
        </w:tc>
        <w:tc>
          <w:tcPr/>
          <w:p>
            <w:pPr>
              <w:pStyle w:val="Compact"/>
            </w:pPr>
            <w:r>
              <w:rPr>
                <w:rFonts w:ascii="Calibri" w:hAnsi="Calibri"/>
                <w:sz w:val="20"/>
              </w:rPr>
              <w:t xml:space="preserve">0,894</w:t>
            </w:r>
          </w:p>
        </w:tc>
        <w:tc>
          <w:tcPr/>
          <w:p>
            <w:pPr>
              <w:pStyle w:val="Compact"/>
            </w:pPr>
            <w:r>
              <w:rPr>
                <w:rFonts w:ascii="Calibri" w:hAnsi="Calibri"/>
                <w:sz w:val="20"/>
              </w:rPr>
              <w:t xml:space="preserve">sí</w:t>
            </w:r>
          </w:p>
        </w:tc>
        <w:tc>
          <w:tcPr/>
          <w:p>
            <w:pPr>
              <w:pStyle w:val="Compact"/>
            </w:pPr>
            <w:r>
              <w:rPr>
                <w:rFonts w:ascii="Calibri" w:hAnsi="Calibri"/>
                <w:sz w:val="20"/>
              </w:rPr>
              <w:t xml:space="preserve">0,039</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12,125</w:t>
            </w:r>
          </w:p>
        </w:tc>
        <w:tc>
          <w:tcPr/>
          <w:p>
            <w:pPr>
              <w:pStyle w:val="Compact"/>
            </w:pPr>
            <w:r>
              <w:rPr>
                <w:rFonts w:ascii="Calibri" w:hAnsi="Calibri"/>
                <w:sz w:val="20"/>
              </w:rPr>
              <w:t xml:space="preserve">14,468</w:t>
            </w:r>
          </w:p>
        </w:tc>
        <w:tc>
          <w:tcPr/>
          <w:p>
            <w:pPr>
              <w:pStyle w:val="Compact"/>
            </w:pPr>
            <w:r>
              <w:rPr>
                <w:rFonts w:ascii="Calibri" w:hAnsi="Calibri"/>
                <w:sz w:val="20"/>
              </w:rPr>
              <w:t xml:space="preserve">13,075</w:t>
            </w:r>
          </w:p>
        </w:tc>
        <w:tc>
          <w:tcPr/>
          <w:p>
            <w:pPr>
              <w:pStyle w:val="Compact"/>
            </w:pPr>
            <w:r>
              <w:rPr>
                <w:rFonts w:ascii="Calibri" w:hAnsi="Calibri"/>
                <w:sz w:val="20"/>
              </w:rPr>
              <w:t xml:space="preserve">0,964</w:t>
            </w:r>
          </w:p>
        </w:tc>
        <w:tc>
          <w:tcPr/>
          <w:p>
            <w:pPr>
              <w:pStyle w:val="Compact"/>
            </w:pPr>
            <w:r>
              <w:rPr>
                <w:rFonts w:ascii="Calibri" w:hAnsi="Calibri"/>
                <w:sz w:val="20"/>
              </w:rPr>
              <w:t xml:space="preserve">sí</w:t>
            </w:r>
          </w:p>
        </w:tc>
        <w:tc>
          <w:tcPr/>
          <w:p>
            <w:pPr>
              <w:pStyle w:val="Compact"/>
            </w:pPr>
            <w:r>
              <w:rPr>
                <w:rFonts w:ascii="Calibri" w:hAnsi="Calibri"/>
                <w:sz w:val="20"/>
              </w:rPr>
              <w:t xml:space="preserve">0,036</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12,009</w:t>
            </w:r>
          </w:p>
        </w:tc>
        <w:tc>
          <w:tcPr/>
          <w:p>
            <w:pPr>
              <w:pStyle w:val="Compact"/>
            </w:pPr>
            <w:r>
              <w:rPr>
                <w:rFonts w:ascii="Calibri" w:hAnsi="Calibri"/>
                <w:sz w:val="20"/>
              </w:rPr>
              <w:t xml:space="preserve">14,743</w:t>
            </w:r>
          </w:p>
        </w:tc>
        <w:tc>
          <w:tcPr/>
          <w:p>
            <w:pPr>
              <w:pStyle w:val="Compact"/>
            </w:pPr>
            <w:r>
              <w:rPr>
                <w:rFonts w:ascii="Calibri" w:hAnsi="Calibri"/>
                <w:sz w:val="20"/>
              </w:rPr>
              <w:t xml:space="preserve">13,118</w:t>
            </w:r>
          </w:p>
        </w:tc>
        <w:tc>
          <w:tcPr/>
          <w:p>
            <w:pPr>
              <w:pStyle w:val="Compact"/>
            </w:pPr>
            <w:r>
              <w:rPr>
                <w:rFonts w:ascii="Calibri" w:hAnsi="Calibri"/>
                <w:sz w:val="20"/>
              </w:rPr>
              <w:t xml:space="preserve">1,021</w:t>
            </w:r>
          </w:p>
        </w:tc>
        <w:tc>
          <w:tcPr/>
          <w:p>
            <w:pPr>
              <w:pStyle w:val="Compact"/>
            </w:pPr>
            <w:r>
              <w:rPr>
                <w:rFonts w:ascii="Calibri" w:hAnsi="Calibri"/>
                <w:sz w:val="20"/>
              </w:rPr>
              <w:t xml:space="preserve">no</w:t>
            </w:r>
          </w:p>
        </w:tc>
        <w:tc>
          <w:tcPr/>
          <w:p>
            <w:pPr>
              <w:pStyle w:val="Compact"/>
            </w:pPr>
            <w:r>
              <w:rPr>
                <w:rFonts w:ascii="Calibri" w:hAnsi="Calibri"/>
                <w:sz w:val="20"/>
              </w:rPr>
              <w:t xml:space="preserve">0,023</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11,939</w:t>
            </w:r>
          </w:p>
        </w:tc>
        <w:tc>
          <w:tcPr/>
          <w:p>
            <w:pPr>
              <w:pStyle w:val="Compact"/>
            </w:pPr>
            <w:r>
              <w:rPr>
                <w:rFonts w:ascii="Calibri" w:hAnsi="Calibri"/>
                <w:sz w:val="20"/>
              </w:rPr>
              <w:t xml:space="preserve">15,064</w:t>
            </w:r>
          </w:p>
        </w:tc>
        <w:tc>
          <w:tcPr/>
          <w:p>
            <w:pPr>
              <w:pStyle w:val="Compact"/>
            </w:pPr>
            <w:r>
              <w:rPr>
                <w:rFonts w:ascii="Calibri" w:hAnsi="Calibri"/>
                <w:sz w:val="20"/>
              </w:rPr>
              <w:t xml:space="preserve">13,207</w:t>
            </w:r>
          </w:p>
        </w:tc>
        <w:tc>
          <w:tcPr/>
          <w:p>
            <w:pPr>
              <w:pStyle w:val="Compact"/>
            </w:pPr>
            <w:r>
              <w:rPr>
                <w:rFonts w:ascii="Calibri" w:hAnsi="Calibri"/>
                <w:sz w:val="20"/>
              </w:rPr>
              <w:t xml:space="preserve">1,024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1,033</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neta, valor libros.</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12,326</w:t>
            </w:r>
          </w:p>
        </w:tc>
        <w:tc>
          <w:tcPr/>
          <w:p>
            <w:pPr>
              <w:pStyle w:val="Compact"/>
            </w:pPr>
            <w:r>
              <w:rPr>
                <w:rFonts w:ascii="Calibri" w:hAnsi="Calibri"/>
                <w:sz w:val="20"/>
              </w:rPr>
              <w:t xml:space="preserve">13,888</w:t>
            </w:r>
          </w:p>
        </w:tc>
        <w:tc>
          <w:tcPr/>
          <w:p>
            <w:pPr>
              <w:pStyle w:val="Compact"/>
            </w:pPr>
            <w:r>
              <w:rPr>
                <w:rFonts w:ascii="Calibri" w:hAnsi="Calibri"/>
                <w:sz w:val="20"/>
              </w:rPr>
              <w:t xml:space="preserve">12,960</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12,043</w:t>
            </w:r>
          </w:p>
        </w:tc>
        <w:tc>
          <w:tcPr/>
          <w:p>
            <w:pPr>
              <w:pStyle w:val="Compact"/>
            </w:pPr>
            <w:r>
              <w:rPr>
                <w:rFonts w:ascii="Calibri" w:hAnsi="Calibri"/>
                <w:sz w:val="20"/>
              </w:rPr>
              <w:t xml:space="preserve">13,996</w:t>
            </w:r>
          </w:p>
        </w:tc>
        <w:tc>
          <w:tcPr/>
          <w:p>
            <w:pPr>
              <w:pStyle w:val="Compact"/>
            </w:pPr>
            <w:r>
              <w:rPr>
                <w:rFonts w:ascii="Calibri" w:hAnsi="Calibri"/>
                <w:sz w:val="20"/>
              </w:rPr>
              <w:t xml:space="preserve">12,835</w:t>
            </w:r>
          </w:p>
        </w:tc>
        <w:tc>
          <w:tcPr/>
          <w:p>
            <w:pPr>
              <w:pStyle w:val="Compact"/>
            </w:pPr>
            <w:r>
              <w:rPr>
                <w:rFonts w:ascii="Calibri" w:hAnsi="Calibri"/>
                <w:sz w:val="20"/>
              </w:rPr>
              <w:t xml:space="preserve">0,900</w:t>
            </w:r>
          </w:p>
        </w:tc>
        <w:tc>
          <w:tcPr/>
          <w:p>
            <w:pPr>
              <w:pStyle w:val="Compact"/>
            </w:pPr>
            <w:r>
              <w:rPr>
                <w:rFonts w:ascii="Calibri" w:hAnsi="Calibri"/>
                <w:sz w:val="20"/>
              </w:rPr>
              <w:t xml:space="preserve">sí</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12,122</w:t>
            </w:r>
          </w:p>
        </w:tc>
        <w:tc>
          <w:tcPr/>
          <w:p>
            <w:pPr>
              <w:pStyle w:val="Compact"/>
            </w:pPr>
            <w:r>
              <w:rPr>
                <w:rFonts w:ascii="Calibri" w:hAnsi="Calibri"/>
                <w:sz w:val="20"/>
              </w:rPr>
              <w:t xml:space="preserve">14,466</w:t>
            </w:r>
          </w:p>
        </w:tc>
        <w:tc>
          <w:tcPr/>
          <w:p>
            <w:pPr>
              <w:pStyle w:val="Compact"/>
            </w:pPr>
            <w:r>
              <w:rPr>
                <w:rFonts w:ascii="Calibri" w:hAnsi="Calibri"/>
                <w:sz w:val="20"/>
              </w:rPr>
              <w:t xml:space="preserve">13,073</w:t>
            </w:r>
          </w:p>
        </w:tc>
        <w:tc>
          <w:tcPr/>
          <w:p>
            <w:pPr>
              <w:pStyle w:val="Compact"/>
            </w:pPr>
            <w:r>
              <w:rPr>
                <w:rFonts w:ascii="Calibri" w:hAnsi="Calibri"/>
                <w:sz w:val="20"/>
              </w:rPr>
              <w:t xml:space="preserve">0,961</w:t>
            </w:r>
          </w:p>
        </w:tc>
        <w:tc>
          <w:tcPr/>
          <w:p>
            <w:pPr>
              <w:pStyle w:val="Compact"/>
            </w:pPr>
            <w:r>
              <w:rPr>
                <w:rFonts w:ascii="Calibri" w:hAnsi="Calibri"/>
                <w:sz w:val="20"/>
              </w:rPr>
              <w:t xml:space="preserve">sí</w:t>
            </w:r>
          </w:p>
        </w:tc>
        <w:tc>
          <w:tcPr/>
          <w:p>
            <w:pPr>
              <w:pStyle w:val="Compact"/>
            </w:pPr>
            <w:r>
              <w:rPr>
                <w:rFonts w:ascii="Calibri" w:hAnsi="Calibri"/>
                <w:sz w:val="20"/>
              </w:rPr>
              <w:t xml:space="preserve">0,030</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12,003</w:t>
            </w:r>
          </w:p>
        </w:tc>
        <w:tc>
          <w:tcPr/>
          <w:p>
            <w:pPr>
              <w:pStyle w:val="Compact"/>
            </w:pPr>
            <w:r>
              <w:rPr>
                <w:rFonts w:ascii="Calibri" w:hAnsi="Calibri"/>
                <w:sz w:val="20"/>
              </w:rPr>
              <w:t xml:space="preserve">14,737</w:t>
            </w:r>
          </w:p>
        </w:tc>
        <w:tc>
          <w:tcPr/>
          <w:p>
            <w:pPr>
              <w:pStyle w:val="Compact"/>
            </w:pPr>
            <w:r>
              <w:rPr>
                <w:rFonts w:ascii="Calibri" w:hAnsi="Calibri"/>
                <w:sz w:val="20"/>
              </w:rPr>
              <w:t xml:space="preserve">13,112</w:t>
            </w:r>
          </w:p>
        </w:tc>
        <w:tc>
          <w:tcPr/>
          <w:p>
            <w:pPr>
              <w:pStyle w:val="Compact"/>
            </w:pPr>
            <w:r>
              <w:rPr>
                <w:rFonts w:ascii="Calibri" w:hAnsi="Calibri"/>
                <w:sz w:val="20"/>
              </w:rPr>
              <w:t xml:space="preserve">1,014</w:t>
            </w:r>
          </w:p>
        </w:tc>
        <w:tc>
          <w:tcPr/>
          <w:p>
            <w:pPr>
              <w:pStyle w:val="Compact"/>
            </w:pPr>
            <w:r>
              <w:rPr>
                <w:rFonts w:ascii="Calibri" w:hAnsi="Calibri"/>
                <w:sz w:val="20"/>
              </w:rPr>
              <w:t xml:space="preserve">no</w:t>
            </w:r>
          </w:p>
        </w:tc>
        <w:tc>
          <w:tcPr/>
          <w:p>
            <w:pPr>
              <w:pStyle w:val="Compact"/>
            </w:pPr>
            <w:r>
              <w:rPr>
                <w:rFonts w:ascii="Calibri" w:hAnsi="Calibri"/>
                <w:sz w:val="20"/>
              </w:rPr>
              <w:t xml:space="preserve">0,021</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11,937</w:t>
            </w:r>
          </w:p>
        </w:tc>
        <w:tc>
          <w:tcPr/>
          <w:p>
            <w:pPr>
              <w:pStyle w:val="Compact"/>
            </w:pPr>
            <w:r>
              <w:rPr>
                <w:rFonts w:ascii="Calibri" w:hAnsi="Calibri"/>
                <w:sz w:val="20"/>
              </w:rPr>
              <w:t xml:space="preserve">15,062</w:t>
            </w:r>
          </w:p>
        </w:tc>
        <w:tc>
          <w:tcPr/>
          <w:p>
            <w:pPr>
              <w:pStyle w:val="Compact"/>
            </w:pPr>
            <w:r>
              <w:rPr>
                <w:rFonts w:ascii="Calibri" w:hAnsi="Calibri"/>
                <w:sz w:val="20"/>
              </w:rPr>
              <w:t xml:space="preserve">13,205</w:t>
            </w:r>
          </w:p>
        </w:tc>
        <w:tc>
          <w:tcPr/>
          <w:p>
            <w:pPr>
              <w:pStyle w:val="Compact"/>
            </w:pPr>
            <w:r>
              <w:rPr>
                <w:rFonts w:ascii="Calibri" w:hAnsi="Calibri"/>
                <w:sz w:val="20"/>
              </w:rPr>
              <w:t xml:space="preserve">1,017</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1,015</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bruta.</w:t>
      </w:r>
      <w:r>
        <w:t xml:space="preserve"> </w:t>
      </w:r>
      <w:r>
        <w:t xml:space="preserve">Orden elegido: 4.</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12,378</w:t>
            </w:r>
          </w:p>
        </w:tc>
        <w:tc>
          <w:tcPr/>
          <w:p>
            <w:pPr>
              <w:pStyle w:val="Compact"/>
            </w:pPr>
            <w:r>
              <w:rPr>
                <w:rFonts w:ascii="Calibri" w:hAnsi="Calibri"/>
                <w:sz w:val="20"/>
              </w:rPr>
              <w:t xml:space="preserve">13,940</w:t>
            </w:r>
          </w:p>
        </w:tc>
        <w:tc>
          <w:tcPr/>
          <w:p>
            <w:pPr>
              <w:pStyle w:val="Compact"/>
            </w:pPr>
            <w:r>
              <w:rPr>
                <w:rFonts w:ascii="Calibri" w:hAnsi="Calibri"/>
                <w:sz w:val="20"/>
              </w:rPr>
              <w:t xml:space="preserve">13,011</w:t>
            </w:r>
          </w:p>
        </w:tc>
        <w:tc>
          <w:tcPr/>
          <w:p>
            <w:pPr>
              <w:pStyle w:val="Compact"/>
            </w:pPr>
            <w:r>
              <w:rPr>
                <w:rFonts w:ascii="Calibri" w:hAnsi="Calibri"/>
                <w:sz w:val="20"/>
              </w:rPr>
              <w:t xml:space="preserve">0,818</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12,082</w:t>
            </w:r>
          </w:p>
        </w:tc>
        <w:tc>
          <w:tcPr/>
          <w:p>
            <w:pPr>
              <w:pStyle w:val="Compact"/>
            </w:pPr>
            <w:r>
              <w:rPr>
                <w:rFonts w:ascii="Calibri" w:hAnsi="Calibri"/>
                <w:sz w:val="20"/>
              </w:rPr>
              <w:t xml:space="preserve">14,034</w:t>
            </w:r>
          </w:p>
        </w:tc>
        <w:tc>
          <w:tcPr/>
          <w:p>
            <w:pPr>
              <w:pStyle w:val="Compact"/>
            </w:pPr>
            <w:r>
              <w:rPr>
                <w:rFonts w:ascii="Calibri" w:hAnsi="Calibri"/>
                <w:sz w:val="20"/>
              </w:rPr>
              <w:t xml:space="preserve">12,874</w:t>
            </w:r>
          </w:p>
        </w:tc>
        <w:tc>
          <w:tcPr/>
          <w:p>
            <w:pPr>
              <w:pStyle w:val="Compact"/>
            </w:pPr>
            <w:r>
              <w:rPr>
                <w:rFonts w:ascii="Calibri" w:hAnsi="Calibri"/>
                <w:sz w:val="20"/>
              </w:rPr>
              <w:t xml:space="preserve">0,840</w:t>
            </w:r>
          </w:p>
        </w:tc>
        <w:tc>
          <w:tcPr/>
          <w:p>
            <w:pPr>
              <w:pStyle w:val="Compact"/>
            </w:pPr>
            <w:r>
              <w:rPr>
                <w:rFonts w:ascii="Calibri" w:hAnsi="Calibri"/>
                <w:sz w:val="20"/>
              </w:rPr>
              <w:t xml:space="preserve">sí</w:t>
            </w:r>
          </w:p>
        </w:tc>
        <w:tc>
          <w:tcPr/>
          <w:p>
            <w:pPr>
              <w:pStyle w:val="Compact"/>
            </w:pPr>
            <w:r>
              <w:rPr>
                <w:rFonts w:ascii="Calibri" w:hAnsi="Calibri"/>
                <w:sz w:val="20"/>
              </w:rPr>
              <w:t xml:space="preserve">0,071</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12,170</w:t>
            </w:r>
          </w:p>
        </w:tc>
        <w:tc>
          <w:tcPr/>
          <w:p>
            <w:pPr>
              <w:pStyle w:val="Compact"/>
            </w:pPr>
            <w:r>
              <w:rPr>
                <w:rFonts w:ascii="Calibri" w:hAnsi="Calibri"/>
                <w:sz w:val="20"/>
              </w:rPr>
              <w:t xml:space="preserve">14,514</w:t>
            </w:r>
          </w:p>
        </w:tc>
        <w:tc>
          <w:tcPr/>
          <w:p>
            <w:pPr>
              <w:pStyle w:val="Compact"/>
            </w:pPr>
            <w:r>
              <w:rPr>
                <w:rFonts w:ascii="Calibri" w:hAnsi="Calibri"/>
                <w:sz w:val="20"/>
              </w:rPr>
              <w:t xml:space="preserve">13,121</w:t>
            </w:r>
          </w:p>
        </w:tc>
        <w:tc>
          <w:tcPr/>
          <w:p>
            <w:pPr>
              <w:pStyle w:val="Compact"/>
            </w:pPr>
            <w:r>
              <w:rPr>
                <w:rFonts w:ascii="Calibri" w:hAnsi="Calibri"/>
                <w:sz w:val="20"/>
              </w:rPr>
              <w:t xml:space="preserve">0,923</w:t>
            </w:r>
          </w:p>
        </w:tc>
        <w:tc>
          <w:tcPr/>
          <w:p>
            <w:pPr>
              <w:pStyle w:val="Compact"/>
            </w:pPr>
            <w:r>
              <w:rPr>
                <w:rFonts w:ascii="Calibri" w:hAnsi="Calibri"/>
                <w:sz w:val="20"/>
              </w:rPr>
              <w:t xml:space="preserve">sí</w:t>
            </w:r>
          </w:p>
        </w:tc>
        <w:tc>
          <w:tcPr/>
          <w:p>
            <w:pPr>
              <w:pStyle w:val="Compact"/>
            </w:pPr>
            <w:r>
              <w:rPr>
                <w:rFonts w:ascii="Calibri" w:hAnsi="Calibri"/>
                <w:sz w:val="20"/>
              </w:rPr>
              <w:t xml:space="preserve">0,035</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12,057</w:t>
            </w:r>
          </w:p>
        </w:tc>
        <w:tc>
          <w:tcPr/>
          <w:p>
            <w:pPr>
              <w:pStyle w:val="Compact"/>
            </w:pPr>
            <w:r>
              <w:rPr>
                <w:rFonts w:ascii="Calibri" w:hAnsi="Calibri"/>
                <w:sz w:val="20"/>
              </w:rPr>
              <w:t xml:space="preserve">14,791</w:t>
            </w:r>
          </w:p>
        </w:tc>
        <w:tc>
          <w:tcPr/>
          <w:p>
            <w:pPr>
              <w:pStyle w:val="Compact"/>
            </w:pPr>
            <w:r>
              <w:rPr>
                <w:rFonts w:ascii="Calibri" w:hAnsi="Calibri"/>
                <w:sz w:val="20"/>
              </w:rPr>
              <w:t xml:space="preserve">13,167</w:t>
            </w:r>
          </w:p>
        </w:tc>
        <w:tc>
          <w:tcPr/>
          <w:p>
            <w:pPr>
              <w:pStyle w:val="Compact"/>
            </w:pPr>
            <w:r>
              <w:rPr>
                <w:rFonts w:ascii="Calibri" w:hAnsi="Calibri"/>
                <w:sz w:val="20"/>
              </w:rPr>
              <w:t xml:space="preserve">0,987</w:t>
            </w:r>
          </w:p>
        </w:tc>
        <w:tc>
          <w:tcPr/>
          <w:p>
            <w:pPr>
              <w:pStyle w:val="Compact"/>
            </w:pPr>
            <w:r>
              <w:rPr>
                <w:rFonts w:ascii="Calibri" w:hAnsi="Calibri"/>
                <w:sz w:val="20"/>
              </w:rPr>
              <w:t xml:space="preserve">sí</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11,984</w:t>
            </w:r>
          </w:p>
        </w:tc>
        <w:tc>
          <w:tcPr/>
          <w:p>
            <w:pPr>
              <w:pStyle w:val="Compact"/>
            </w:pPr>
            <w:r>
              <w:rPr>
                <w:rFonts w:ascii="Calibri" w:hAnsi="Calibri"/>
                <w:sz w:val="20"/>
              </w:rPr>
              <w:t xml:space="preserve">15,108</w:t>
            </w:r>
          </w:p>
        </w:tc>
        <w:tc>
          <w:tcPr/>
          <w:p>
            <w:pPr>
              <w:pStyle w:val="Compact"/>
            </w:pPr>
            <w:r>
              <w:rPr>
                <w:rFonts w:ascii="Calibri" w:hAnsi="Calibri"/>
                <w:sz w:val="20"/>
              </w:rPr>
              <w:t xml:space="preserve">13,251</w:t>
            </w:r>
          </w:p>
        </w:tc>
        <w:tc>
          <w:tcPr/>
          <w:p>
            <w:pPr>
              <w:pStyle w:val="Compact"/>
            </w:pPr>
            <w:r>
              <w:rPr>
                <w:rFonts w:ascii="Calibri" w:hAnsi="Calibri"/>
                <w:sz w:val="20"/>
              </w:rPr>
              <w:t xml:space="preserve">1,004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11,968</w:t>
            </w:r>
          </w:p>
        </w:tc>
        <w:tc>
          <w:tcPr/>
          <w:p>
            <w:pPr>
              <w:pStyle w:val="Compact"/>
            </w:pPr>
            <w:r>
              <w:rPr>
                <w:rFonts w:ascii="Calibri" w:hAnsi="Calibri"/>
                <w:sz w:val="20"/>
              </w:rPr>
              <w:t xml:space="preserve">15,483</w:t>
            </w:r>
          </w:p>
        </w:tc>
        <w:tc>
          <w:tcPr/>
          <w:p>
            <w:pPr>
              <w:pStyle w:val="Compact"/>
            </w:pPr>
            <w:r>
              <w:rPr>
                <w:rFonts w:ascii="Calibri" w:hAnsi="Calibri"/>
                <w:sz w:val="20"/>
              </w:rPr>
              <w:t xml:space="preserve">13,394</w:t>
            </w:r>
          </w:p>
        </w:tc>
        <w:tc>
          <w:tcPr/>
          <w:p>
            <w:pPr>
              <w:pStyle w:val="Compact"/>
            </w:pPr>
            <w:r>
              <w:rPr>
                <w:rFonts w:ascii="Calibri" w:hAnsi="Calibri"/>
                <w:sz w:val="20"/>
              </w:rPr>
              <w:t xml:space="preserve">1,027</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bookmarkEnd w:id="105"/>
    <w:bookmarkStart w:id="106" w:name="a.2-diagnósticos-de-los-residuos"/>
    <w:p>
      <w:pPr>
        <w:pStyle w:val="Heading2"/>
      </w:pPr>
      <w:r>
        <w:t xml:space="preserve">A.2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Prueba (p-valor salvo estabilidad)</w:t>
            </w:r>
          </w:p>
        </w:tc>
        <w:tc>
          <w:tcPr/>
          <w:p>
            <w:pPr>
              <w:pStyle w:val="Compact"/>
            </w:pPr>
            <w:r>
              <w:rPr>
                <w:rFonts w:ascii="Calibri" w:hAnsi="Calibri"/>
                <w:sz w:val="20"/>
              </w:rPr>
              <w:t xml:space="preserve">neta, valor nominal (principal)</w:t>
            </w:r>
          </w:p>
        </w:tc>
        <w:tc>
          <w:tcPr/>
          <w:p>
            <w:pPr>
              <w:pStyle w:val="Compact"/>
            </w:pPr>
            <w:r>
              <w:rPr>
                <w:rFonts w:ascii="Calibri" w:hAnsi="Calibri"/>
                <w:sz w:val="20"/>
              </w:rPr>
              <w:t xml:space="preserve">neta, valor libros</w:t>
            </w:r>
          </w:p>
        </w:tc>
        <w:tc>
          <w:tcPr/>
          <w:p>
            <w:pPr>
              <w:pStyle w:val="Compact"/>
            </w:pPr>
            <w:r>
              <w:rPr>
                <w:rFonts w:ascii="Calibri" w:hAnsi="Calibri"/>
                <w:sz w:val="20"/>
              </w:rPr>
              <w:t xml:space="preserve">bruta</w:t>
            </w:r>
          </w:p>
        </w:tc>
      </w:tr>
      <w:tr>
        <w:tc>
          <w:tcPr/>
          <w:p>
            <w:pPr>
              <w:pStyle w:val="Compact"/>
            </w:pPr>
            <w:r>
              <w:rPr>
                <w:rFonts w:ascii="Calibri" w:hAnsi="Calibri"/>
                <w:sz w:val="20"/>
              </w:rPr>
              <w:t xml:space="preserve">Portmanteau (12 rezagos)</w:t>
            </w:r>
          </w:p>
        </w:tc>
        <w:tc>
          <w:tcPr/>
          <w:p>
            <w:pPr>
              <w:pStyle w:val="Compact"/>
            </w:pPr>
            <w:r>
              <w:rPr>
                <w:rFonts w:ascii="Calibri" w:hAnsi="Calibri"/>
                <w:sz w:val="20"/>
              </w:rPr>
              <w:t xml:space="preserve">0,036</w:t>
            </w:r>
          </w:p>
        </w:tc>
        <w:tc>
          <w:tcPr/>
          <w:p>
            <w:pPr>
              <w:pStyle w:val="Compact"/>
            </w:pPr>
            <w:r>
              <w:rPr>
                <w:rFonts w:ascii="Calibri" w:hAnsi="Calibri"/>
                <w:sz w:val="20"/>
              </w:rPr>
              <w:t xml:space="preserve">0,030</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Normalidad multivariada (p-valor)</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Estable (1 = sí)</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r>
      <w:tr>
        <w:tc>
          <w:tcPr/>
          <w:p>
            <w:pPr>
              <w:pStyle w:val="Compact"/>
            </w:pPr>
            <w:r>
              <w:rPr>
                <w:rFonts w:ascii="Calibri" w:hAnsi="Calibri"/>
                <w:sz w:val="20"/>
              </w:rPr>
              <w:t xml:space="preserve">ARCH-LM(4) resultado primario (p-valor)</w:t>
            </w:r>
          </w:p>
        </w:tc>
        <w:tc>
          <w:tcPr/>
          <w:p>
            <w:pPr>
              <w:pStyle w:val="Compact"/>
            </w:pPr>
            <w:r>
              <w:rPr>
                <w:rFonts w:ascii="Calibri" w:hAnsi="Calibri"/>
                <w:sz w:val="20"/>
              </w:rPr>
              <w:t xml:space="preserve">0,991</w:t>
            </w:r>
          </w:p>
        </w:tc>
        <w:tc>
          <w:tcPr/>
          <w:p>
            <w:pPr>
              <w:pStyle w:val="Compact"/>
            </w:pPr>
            <w:r>
              <w:rPr>
                <w:rFonts w:ascii="Calibri" w:hAnsi="Calibri"/>
                <w:sz w:val="20"/>
              </w:rPr>
              <w:t xml:space="preserve">0,988</w:t>
            </w:r>
          </w:p>
        </w:tc>
        <w:tc>
          <w:tcPr/>
          <w:p>
            <w:pPr>
              <w:pStyle w:val="Compact"/>
            </w:pPr>
            <w:r>
              <w:rPr>
                <w:rFonts w:ascii="Calibri" w:hAnsi="Calibri"/>
                <w:sz w:val="20"/>
              </w:rPr>
              <w:t xml:space="preserve">0,993</w:t>
            </w:r>
          </w:p>
        </w:tc>
      </w:tr>
      <w:tr>
        <w:tc>
          <w:tcPr/>
          <w:p>
            <w:pPr>
              <w:pStyle w:val="Compact"/>
            </w:pPr>
            <w:r>
              <w:rPr>
                <w:rFonts w:ascii="Calibri" w:hAnsi="Calibri"/>
                <w:sz w:val="20"/>
              </w:rPr>
              <w:t xml:space="preserve">ARCH-LM(4) crecimiento (p-valor)</w:t>
            </w:r>
          </w:p>
        </w:tc>
        <w:tc>
          <w:tcPr/>
          <w:p>
            <w:pPr>
              <w:pStyle w:val="Compact"/>
            </w:pPr>
            <w:r>
              <w:rPr>
                <w:rFonts w:ascii="Calibri" w:hAnsi="Calibri"/>
                <w:sz w:val="20"/>
              </w:rPr>
              <w:t xml:space="preserve">0,989</w:t>
            </w:r>
          </w:p>
        </w:tc>
        <w:tc>
          <w:tcPr/>
          <w:p>
            <w:pPr>
              <w:pStyle w:val="Compact"/>
            </w:pPr>
            <w:r>
              <w:rPr>
                <w:rFonts w:ascii="Calibri" w:hAnsi="Calibri"/>
                <w:sz w:val="20"/>
              </w:rPr>
              <w:t xml:space="preserve">0,990</w:t>
            </w:r>
          </w:p>
        </w:tc>
        <w:tc>
          <w:tcPr/>
          <w:p>
            <w:pPr>
              <w:pStyle w:val="Compact"/>
            </w:pPr>
            <w:r>
              <w:rPr>
                <w:rFonts w:ascii="Calibri" w:hAnsi="Calibri"/>
                <w:sz w:val="20"/>
              </w:rPr>
              <w:t xml:space="preserve">0,978</w:t>
            </w:r>
          </w:p>
        </w:tc>
      </w:tr>
      <w:tr>
        <w:tc>
          <w:tcPr/>
          <w:p>
            <w:pPr>
              <w:pStyle w:val="Compact"/>
            </w:pPr>
            <w:r>
              <w:rPr>
                <w:rFonts w:ascii="Calibri" w:hAnsi="Calibri"/>
                <w:sz w:val="20"/>
              </w:rPr>
              <w:t xml:space="preserve">ARCH-LM(4) EMBI (p-valor)</w:t>
            </w:r>
          </w:p>
        </w:tc>
        <w:tc>
          <w:tcPr/>
          <w:p>
            <w:pPr>
              <w:pStyle w:val="Compact"/>
            </w:pPr>
            <w:r>
              <w:rPr>
                <w:rFonts w:ascii="Calibri" w:hAnsi="Calibri"/>
                <w:sz w:val="20"/>
              </w:rPr>
              <w:t xml:space="preserve">0,998</w:t>
            </w:r>
          </w:p>
        </w:tc>
        <w:tc>
          <w:tcPr/>
          <w:p>
            <w:pPr>
              <w:pStyle w:val="Compact"/>
            </w:pPr>
            <w:r>
              <w:rPr>
                <w:rFonts w:ascii="Calibri" w:hAnsi="Calibri"/>
                <w:sz w:val="20"/>
              </w:rPr>
              <w:t xml:space="preserve">0,998</w:t>
            </w:r>
          </w:p>
        </w:tc>
        <w:tc>
          <w:tcPr/>
          <w:p>
            <w:pPr>
              <w:pStyle w:val="Compact"/>
            </w:pPr>
            <w:r>
              <w:rPr>
                <w:rFonts w:ascii="Calibri" w:hAnsi="Calibri"/>
                <w:sz w:val="20"/>
              </w:rPr>
              <w:t xml:space="preserve">0,999</w:t>
            </w:r>
          </w:p>
        </w:tc>
      </w:tr>
      <w:tr>
        <w:tc>
          <w:tcPr/>
          <w:p>
            <w:pPr>
              <w:pStyle w:val="Compact"/>
            </w:pPr>
            <w:r>
              <w:rPr>
                <w:rFonts w:ascii="Calibri" w:hAnsi="Calibri"/>
                <w:sz w:val="20"/>
              </w:rPr>
              <w:t xml:space="preserve">ARCH-LM(4) TCRM (p-valor)</w:t>
            </w:r>
          </w:p>
        </w:tc>
        <w:tc>
          <w:tcPr/>
          <w:p>
            <w:pPr>
              <w:pStyle w:val="Compact"/>
            </w:pPr>
            <w:r>
              <w:rPr>
                <w:rFonts w:ascii="Calibri" w:hAnsi="Calibri"/>
                <w:sz w:val="20"/>
              </w:rPr>
              <w:t xml:space="preserve">0,867</w:t>
            </w:r>
          </w:p>
        </w:tc>
        <w:tc>
          <w:tcPr/>
          <w:p>
            <w:pPr>
              <w:pStyle w:val="Compact"/>
            </w:pPr>
            <w:r>
              <w:rPr>
                <w:rFonts w:ascii="Calibri" w:hAnsi="Calibri"/>
                <w:sz w:val="20"/>
              </w:rPr>
              <w:t xml:space="preserve">0,824</w:t>
            </w:r>
          </w:p>
        </w:tc>
        <w:tc>
          <w:tcPr/>
          <w:p>
            <w:pPr>
              <w:pStyle w:val="Compact"/>
            </w:pPr>
            <w:r>
              <w:rPr>
                <w:rFonts w:ascii="Calibri" w:hAnsi="Calibri"/>
                <w:sz w:val="20"/>
              </w:rPr>
              <w:t xml:space="preserve">0,395</w:t>
            </w:r>
          </w:p>
        </w:tc>
      </w:tr>
    </w:tbl>
    <w:bookmarkEnd w:id="106"/>
    <w:bookmarkStart w:id="107" w:name="a.3-matriz-de-impacto-estructural"/>
    <w:p>
      <w:pPr>
        <w:pStyle w:val="Heading2"/>
      </w:pPr>
      <w:r>
        <w:t xml:space="preserve">A.3 Matriz de impacto estructural</w:t>
      </w:r>
    </w:p>
    <w:p>
      <w:pPr>
        <w:pStyle w:val="FirstParagraph"/>
      </w:pPr>
      <w:r>
        <w:t xml:space="preserve">Efecto en el mismo trimestre de un shock estructural de un desvío estándar (especificación principal). Los ceros son las restricciones de identificación de la sección 4.4. Los dos shocks del bloque cambiario y de riesgo no tienen interpretación por separado: solo se usa su efecto conjunto.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Shock fiscal</w:t>
            </w:r>
          </w:p>
        </w:tc>
        <w:tc>
          <w:tcPr/>
          <w:p>
            <w:pPr>
              <w:pStyle w:val="Compact"/>
            </w:pPr>
            <w:r>
              <w:rPr>
                <w:rFonts w:ascii="Calibri" w:hAnsi="Calibri"/>
                <w:sz w:val="20"/>
              </w:rPr>
              <w:t xml:space="preserve">Shock de actividad</w:t>
            </w:r>
          </w:p>
        </w:tc>
        <w:tc>
          <w:tcPr/>
          <w:p>
            <w:pPr>
              <w:pStyle w:val="Compact"/>
            </w:pPr>
            <w:r>
              <w:rPr>
                <w:rFonts w:ascii="Calibri" w:hAnsi="Calibri"/>
                <w:sz w:val="20"/>
              </w:rPr>
              <w:t xml:space="preserve">Shock cambiario y de riesgo 1</w:t>
            </w:r>
          </w:p>
        </w:tc>
        <w:tc>
          <w:tcPr/>
          <w:p>
            <w:pPr>
              <w:pStyle w:val="Compact"/>
            </w:pPr>
            <w:r>
              <w:rPr>
                <w:rFonts w:ascii="Calibri" w:hAnsi="Calibri"/>
                <w:sz w:val="20"/>
              </w:rPr>
              <w:t xml:space="preserve">Shock cambiario y de riesgo 2</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1,509</w:t>
            </w:r>
          </w:p>
        </w:tc>
        <w:tc>
          <w:tcPr/>
          <w:p>
            <w:pPr>
              <w:pStyle w:val="Compact"/>
            </w:pPr>
            <w:r>
              <w:rPr>
                <w:rFonts w:ascii="Calibri" w:hAnsi="Calibri"/>
                <w:sz w:val="20"/>
              </w:rPr>
              <w:t xml:space="preserve">0,679</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-0,266</w:t>
            </w:r>
          </w:p>
        </w:tc>
        <w:tc>
          <w:tcPr/>
          <w:p>
            <w:pPr>
              <w:pStyle w:val="Compact"/>
            </w:pPr>
            <w:r>
              <w:rPr>
                <w:rFonts w:ascii="Calibri" w:hAnsi="Calibri"/>
                <w:sz w:val="20"/>
              </w:rPr>
              <w:t xml:space="preserve">2,717</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-118,560</w:t>
            </w:r>
          </w:p>
        </w:tc>
        <w:tc>
          <w:tcPr/>
          <w:p>
            <w:pPr>
              <w:pStyle w:val="Compact"/>
            </w:pPr>
            <w:r>
              <w:rPr>
                <w:rFonts w:ascii="Calibri" w:hAnsi="Calibri"/>
                <w:sz w:val="20"/>
              </w:rPr>
              <w:t xml:space="preserve">-30,491</w:t>
            </w:r>
          </w:p>
        </w:tc>
        <w:tc>
          <w:tcPr/>
          <w:p>
            <w:pPr>
              <w:pStyle w:val="Compact"/>
            </w:pPr>
            <w:r>
              <w:rPr>
                <w:rFonts w:ascii="Calibri" w:hAnsi="Calibri"/>
                <w:sz w:val="20"/>
              </w:rPr>
              <w:t xml:space="preserve">449,797</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0,022</w:t>
            </w:r>
          </w:p>
        </w:tc>
        <w:tc>
          <w:tcPr/>
          <w:p>
            <w:pPr>
              <w:pStyle w:val="Compact"/>
            </w:pPr>
            <w:r>
              <w:rPr>
                <w:rFonts w:ascii="Calibri" w:hAnsi="Calibri"/>
                <w:sz w:val="20"/>
              </w:rPr>
              <w:t xml:space="preserve">-0,014</w:t>
            </w:r>
          </w:p>
        </w:tc>
        <w:tc>
          <w:tcPr/>
          <w:p>
            <w:pPr>
              <w:pStyle w:val="Compact"/>
            </w:pPr>
            <w:r>
              <w:rPr>
                <w:rFonts w:ascii="Calibri" w:hAnsi="Calibri"/>
                <w:sz w:val="20"/>
              </w:rPr>
              <w:t xml:space="preserve">0,011</w:t>
            </w:r>
          </w:p>
        </w:tc>
        <w:tc>
          <w:tcPr/>
          <w:p>
            <w:pPr>
              <w:pStyle w:val="Compact"/>
            </w:pPr>
            <w:r>
              <w:rPr>
                <w:rFonts w:ascii="Calibri" w:hAnsi="Calibri"/>
                <w:sz w:val="20"/>
              </w:rPr>
              <w:t xml:space="preserve">0,096</w:t>
            </w:r>
          </w:p>
        </w:tc>
      </w:tr>
    </w:tbl>
    <w:bookmarkEnd w:id="107"/>
    <w:bookmarkStart w:id="108" w:name="a.4-ecuación-del-resultado-primario"/>
    <w:p>
      <w:pPr>
        <w:pStyle w:val="Heading2"/>
      </w:pPr>
      <w:r>
        <w:t xml:space="preserve">A.4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p-valores son los de MCO; el intervalo de la reacción de Bohn que se usa en el texto es el del bootstrap.</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Regresor</w:t>
            </w:r>
          </w:p>
        </w:tc>
        <w:tc>
          <w:tcPr/>
          <w:p>
            <w:pPr>
              <w:pStyle w:val="Compact"/>
            </w:pPr>
            <w:r>
              <w:rPr>
                <w:rFonts w:ascii="Calibri" w:hAnsi="Calibri"/>
                <w:sz w:val="20"/>
              </w:rPr>
              <w:t xml:space="preserve">Coeficiente</w:t>
            </w:r>
          </w:p>
        </w:tc>
        <w:tc>
          <w:tcPr/>
          <w:p>
            <w:pPr>
              <w:pStyle w:val="Compact"/>
            </w:pPr>
            <w:r>
              <w:rPr>
                <w:rFonts w:ascii="Calibri" w:hAnsi="Calibri"/>
                <w:sz w:val="20"/>
              </w:rPr>
              <w:t xml:space="preserve">Error estándar</w:t>
            </w:r>
          </w:p>
        </w:tc>
        <w:tc>
          <w:tcPr/>
          <w:p>
            <w:pPr>
              <w:pStyle w:val="Compact"/>
            </w:pPr>
            <w:r>
              <w:rPr>
                <w:rFonts w:ascii="Calibri" w:hAnsi="Calibri"/>
                <w:sz w:val="20"/>
              </w:rPr>
              <w:t xml:space="preserve">p-valor</w:t>
            </w:r>
          </w:p>
        </w:tc>
      </w:tr>
      <w:tr>
        <w:tc>
          <w:tcPr/>
          <w:p>
            <w:pPr>
              <w:pStyle w:val="Compact"/>
            </w:pPr>
            <w:r>
              <w:rPr>
                <w:rFonts w:ascii="Calibri" w:hAnsi="Calibri"/>
                <w:sz w:val="20"/>
              </w:rPr>
              <w:t xml:space="preserve">Variación de la tasa de la FED, rezago 0</w:t>
            </w:r>
          </w:p>
        </w:tc>
        <w:tc>
          <w:tcPr/>
          <w:p>
            <w:pPr>
              <w:pStyle w:val="Compact"/>
            </w:pPr>
            <w:r>
              <w:rPr>
                <w:rFonts w:ascii="Calibri" w:hAnsi="Calibri"/>
                <w:sz w:val="20"/>
              </w:rPr>
              <w:t xml:space="preserve">0,5297</w:t>
            </w:r>
          </w:p>
        </w:tc>
        <w:tc>
          <w:tcPr/>
          <w:p>
            <w:pPr>
              <w:pStyle w:val="Compact"/>
            </w:pPr>
            <w:r>
              <w:rPr>
                <w:rFonts w:ascii="Calibri" w:hAnsi="Calibri"/>
                <w:sz w:val="20"/>
              </w:rPr>
              <w:t xml:space="preserve">0,5178</w:t>
            </w:r>
          </w:p>
        </w:tc>
        <w:tc>
          <w:tcPr/>
          <w:p>
            <w:pPr>
              <w:pStyle w:val="Compact"/>
            </w:pPr>
            <w:r>
              <w:rPr>
                <w:rFonts w:ascii="Calibri" w:hAnsi="Calibri"/>
                <w:sz w:val="20"/>
              </w:rPr>
              <w:t xml:space="preserve">0,306</w:t>
            </w:r>
          </w:p>
        </w:tc>
      </w:tr>
      <w:tr>
        <w:tc>
          <w:tcPr/>
          <w:p>
            <w:pPr>
              <w:pStyle w:val="Compact"/>
            </w:pPr>
            <w:r>
              <w:rPr>
                <w:rFonts w:ascii="Calibri" w:hAnsi="Calibri"/>
                <w:sz w:val="20"/>
              </w:rPr>
              <w:t xml:space="preserve">Variación de la tasa de la FED, rezago 1</w:t>
            </w:r>
          </w:p>
        </w:tc>
        <w:tc>
          <w:tcPr/>
          <w:p>
            <w:pPr>
              <w:pStyle w:val="Compact"/>
            </w:pPr>
            <w:r>
              <w:rPr>
                <w:rFonts w:ascii="Calibri" w:hAnsi="Calibri"/>
                <w:sz w:val="20"/>
              </w:rPr>
              <w:t xml:space="preserve">-0,7911</w:t>
            </w:r>
          </w:p>
        </w:tc>
        <w:tc>
          <w:tcPr/>
          <w:p>
            <w:pPr>
              <w:pStyle w:val="Compact"/>
            </w:pPr>
            <w:r>
              <w:rPr>
                <w:rFonts w:ascii="Calibri" w:hAnsi="Calibri"/>
                <w:sz w:val="20"/>
              </w:rPr>
              <w:t xml:space="preserve">0,5670</w:t>
            </w:r>
          </w:p>
        </w:tc>
        <w:tc>
          <w:tcPr/>
          <w:p>
            <w:pPr>
              <w:pStyle w:val="Compact"/>
            </w:pPr>
            <w:r>
              <w:rPr>
                <w:rFonts w:ascii="Calibri" w:hAnsi="Calibri"/>
                <w:sz w:val="20"/>
              </w:rPr>
              <w:t xml:space="preserve">0,163</w:t>
            </w:r>
          </w:p>
        </w:tc>
      </w:tr>
      <w:tr>
        <w:tc>
          <w:tcPr/>
          <w:p>
            <w:pPr>
              <w:pStyle w:val="Compact"/>
            </w:pPr>
            <w:r>
              <w:rPr>
                <w:rFonts w:ascii="Calibri" w:hAnsi="Calibri"/>
                <w:sz w:val="20"/>
              </w:rPr>
              <w:t xml:space="preserve">Variación de la tasa de la FED, rezago 2</w:t>
            </w:r>
          </w:p>
        </w:tc>
        <w:tc>
          <w:tcPr/>
          <w:p>
            <w:pPr>
              <w:pStyle w:val="Compact"/>
            </w:pPr>
            <w:r>
              <w:rPr>
                <w:rFonts w:ascii="Calibri" w:hAnsi="Calibri"/>
                <w:sz w:val="20"/>
              </w:rPr>
              <w:t xml:space="preserve">0,0030</w:t>
            </w:r>
          </w:p>
        </w:tc>
        <w:tc>
          <w:tcPr/>
          <w:p>
            <w:pPr>
              <w:pStyle w:val="Compact"/>
            </w:pPr>
            <w:r>
              <w:rPr>
                <w:rFonts w:ascii="Calibri" w:hAnsi="Calibri"/>
                <w:sz w:val="20"/>
              </w:rPr>
              <w:t xml:space="preserve">0,5160</w:t>
            </w:r>
          </w:p>
        </w:tc>
        <w:tc>
          <w:tcPr/>
          <w:p>
            <w:pPr>
              <w:pStyle w:val="Compact"/>
            </w:pPr>
            <w:r>
              <w:rPr>
                <w:rFonts w:ascii="Calibri" w:hAnsi="Calibri"/>
                <w:sz w:val="20"/>
              </w:rPr>
              <w:t xml:space="preserve">0,995</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-0,0253</w:t>
            </w:r>
          </w:p>
        </w:tc>
        <w:tc>
          <w:tcPr/>
          <w:p>
            <w:pPr>
              <w:pStyle w:val="Compact"/>
            </w:pPr>
            <w:r>
              <w:rPr>
                <w:rFonts w:ascii="Calibri" w:hAnsi="Calibri"/>
                <w:sz w:val="20"/>
              </w:rPr>
              <w:t xml:space="preserve">0,0319</w:t>
            </w:r>
          </w:p>
        </w:tc>
        <w:tc>
          <w:tcPr/>
          <w:p>
            <w:pPr>
              <w:pStyle w:val="Compact"/>
            </w:pPr>
            <w:r>
              <w:rPr>
                <w:rFonts w:ascii="Calibri" w:hAnsi="Calibri"/>
                <w:sz w:val="20"/>
              </w:rPr>
              <w:t xml:space="preserve">0,427</w:t>
            </w:r>
          </w:p>
        </w:tc>
      </w:tr>
      <w:tr>
        <w:tc>
          <w:tcPr/>
          <w:p>
            <w:pPr>
              <w:pStyle w:val="Compact"/>
            </w:pPr>
            <w:r>
              <w:rPr>
                <w:rFonts w:ascii="Calibri" w:hAnsi="Calibri"/>
                <w:sz w:val="20"/>
              </w:rPr>
              <w:t xml:space="preserve">Deuda consolidada neta, rezago 1 (reacción de Bohn)</w:t>
            </w:r>
          </w:p>
        </w:tc>
        <w:tc>
          <w:tcPr/>
          <w:p>
            <w:pPr>
              <w:pStyle w:val="Compact"/>
            </w:pPr>
            <w:r>
              <w:rPr>
                <w:rFonts w:ascii="Calibri" w:hAnsi="Calibri"/>
                <w:sz w:val="20"/>
              </w:rPr>
              <w:t xml:space="preserve">0,0505</w:t>
            </w:r>
          </w:p>
        </w:tc>
        <w:tc>
          <w:tcPr/>
          <w:p>
            <w:pPr>
              <w:pStyle w:val="Compact"/>
            </w:pPr>
            <w:r>
              <w:rPr>
                <w:rFonts w:ascii="Calibri" w:hAnsi="Calibri"/>
                <w:sz w:val="20"/>
              </w:rPr>
              <w:t xml:space="preserve">0,0215</w:t>
            </w:r>
          </w:p>
        </w:tc>
        <w:tc>
          <w:tcPr/>
          <w:p>
            <w:pPr>
              <w:pStyle w:val="Compact"/>
            </w:pPr>
            <w:r>
              <w:rPr>
                <w:rFonts w:ascii="Calibri" w:hAnsi="Calibri"/>
                <w:sz w:val="20"/>
              </w:rPr>
              <w:t xml:space="preserve">0,019</w:t>
            </w:r>
          </w:p>
        </w:tc>
      </w:tr>
      <w:tr>
        <w:tc>
          <w:tcPr/>
          <w:p>
            <w:pPr>
              <w:pStyle w:val="Compact"/>
            </w:pPr>
            <w:r>
              <w:rPr>
                <w:rFonts w:ascii="Calibri" w:hAnsi="Calibri"/>
                <w:sz w:val="20"/>
              </w:rPr>
              <w:t xml:space="preserve">Resultado primario, rezago 1</w:t>
            </w:r>
          </w:p>
        </w:tc>
        <w:tc>
          <w:tcPr/>
          <w:p>
            <w:pPr>
              <w:pStyle w:val="Compact"/>
            </w:pPr>
            <w:r>
              <w:rPr>
                <w:rFonts w:ascii="Calibri" w:hAnsi="Calibri"/>
                <w:sz w:val="20"/>
              </w:rPr>
              <w:t xml:space="preserve">0,3404</w:t>
            </w:r>
          </w:p>
        </w:tc>
        <w:tc>
          <w:tcPr/>
          <w:p>
            <w:pPr>
              <w:pStyle w:val="Compact"/>
            </w:pPr>
            <w:r>
              <w:rPr>
                <w:rFonts w:ascii="Calibri" w:hAnsi="Calibri"/>
                <w:sz w:val="20"/>
              </w:rPr>
              <w:t xml:space="preserve">0,1116</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1</w:t>
            </w:r>
          </w:p>
        </w:tc>
        <w:tc>
          <w:tcPr/>
          <w:p>
            <w:pPr>
              <w:pStyle w:val="Compact"/>
            </w:pPr>
            <w:r>
              <w:rPr>
                <w:rFonts w:ascii="Calibri" w:hAnsi="Calibri"/>
                <w:sz w:val="20"/>
              </w:rPr>
              <w:t xml:space="preserve">0,0901</w:t>
            </w:r>
          </w:p>
        </w:tc>
        <w:tc>
          <w:tcPr/>
          <w:p>
            <w:pPr>
              <w:pStyle w:val="Compact"/>
            </w:pPr>
            <w:r>
              <w:rPr>
                <w:rFonts w:ascii="Calibri" w:hAnsi="Calibri"/>
                <w:sz w:val="20"/>
              </w:rPr>
              <w:t xml:space="preserve">0,0647</w:t>
            </w:r>
          </w:p>
        </w:tc>
        <w:tc>
          <w:tcPr/>
          <w:p>
            <w:pPr>
              <w:pStyle w:val="Compact"/>
            </w:pPr>
            <w:r>
              <w:rPr>
                <w:rFonts w:ascii="Calibri" w:hAnsi="Calibri"/>
                <w:sz w:val="20"/>
              </w:rPr>
              <w:t xml:space="preserve">0,164</w:t>
            </w:r>
          </w:p>
        </w:tc>
      </w:tr>
      <w:tr>
        <w:tc>
          <w:tcPr/>
          <w:p>
            <w:pPr>
              <w:pStyle w:val="Compact"/>
            </w:pPr>
            <w:r>
              <w:rPr>
                <w:rFonts w:ascii="Calibri" w:hAnsi="Calibri"/>
                <w:sz w:val="20"/>
              </w:rPr>
              <w:t xml:space="preserve">EMBI+, rezago 1</w:t>
            </w:r>
          </w:p>
        </w:tc>
        <w:tc>
          <w:tcPr/>
          <w:p>
            <w:pPr>
              <w:pStyle w:val="Compact"/>
            </w:pPr>
            <w:r>
              <w:rPr>
                <w:rFonts w:ascii="Calibri" w:hAnsi="Calibri"/>
                <w:sz w:val="20"/>
              </w:rPr>
              <w:t xml:space="preserve">-0,0005</w:t>
            </w:r>
          </w:p>
        </w:tc>
        <w:tc>
          <w:tcPr/>
          <w:p>
            <w:pPr>
              <w:pStyle w:val="Compact"/>
            </w:pPr>
            <w:r>
              <w:rPr>
                <w:rFonts w:ascii="Calibri" w:hAnsi="Calibri"/>
                <w:sz w:val="20"/>
              </w:rPr>
              <w:t xml:space="preserve">0,0004</w:t>
            </w:r>
          </w:p>
        </w:tc>
        <w:tc>
          <w:tcPr/>
          <w:p>
            <w:pPr>
              <w:pStyle w:val="Compact"/>
            </w:pPr>
            <w:r>
              <w:rPr>
                <w:rFonts w:ascii="Calibri" w:hAnsi="Calibri"/>
                <w:sz w:val="20"/>
              </w:rPr>
              <w:t xml:space="preserve">0,189</w:t>
            </w:r>
          </w:p>
        </w:tc>
      </w:tr>
      <w:tr>
        <w:tc>
          <w:tcPr/>
          <w:p>
            <w:pPr>
              <w:pStyle w:val="Compact"/>
            </w:pPr>
            <w:r>
              <w:rPr>
                <w:rFonts w:ascii="Calibri" w:hAnsi="Calibri"/>
                <w:sz w:val="20"/>
              </w:rPr>
              <w:t xml:space="preserve">TCRM, rezago 1</w:t>
            </w:r>
          </w:p>
        </w:tc>
        <w:tc>
          <w:tcPr/>
          <w:p>
            <w:pPr>
              <w:pStyle w:val="Compact"/>
            </w:pPr>
            <w:r>
              <w:rPr>
                <w:rFonts w:ascii="Calibri" w:hAnsi="Calibri"/>
                <w:sz w:val="20"/>
              </w:rPr>
              <w:t xml:space="preserve">3,6341</w:t>
            </w:r>
          </w:p>
        </w:tc>
        <w:tc>
          <w:tcPr/>
          <w:p>
            <w:pPr>
              <w:pStyle w:val="Compact"/>
            </w:pPr>
            <w:r>
              <w:rPr>
                <w:rFonts w:ascii="Calibri" w:hAnsi="Calibri"/>
                <w:sz w:val="20"/>
              </w:rPr>
              <w:t xml:space="preserve">1,7183</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Resultado primario, rezago 2</w:t>
            </w:r>
          </w:p>
        </w:tc>
        <w:tc>
          <w:tcPr/>
          <w:p>
            <w:pPr>
              <w:pStyle w:val="Compact"/>
            </w:pPr>
            <w:r>
              <w:rPr>
                <w:rFonts w:ascii="Calibri" w:hAnsi="Calibri"/>
                <w:sz w:val="20"/>
              </w:rPr>
              <w:t xml:space="preserve">0,3739</w:t>
            </w:r>
          </w:p>
        </w:tc>
        <w:tc>
          <w:tcPr/>
          <w:p>
            <w:pPr>
              <w:pStyle w:val="Compact"/>
            </w:pPr>
            <w:r>
              <w:rPr>
                <w:rFonts w:ascii="Calibri" w:hAnsi="Calibri"/>
                <w:sz w:val="20"/>
              </w:rPr>
              <w:t xml:space="preserve">0,1190</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2</w:t>
            </w:r>
          </w:p>
        </w:tc>
        <w:tc>
          <w:tcPr/>
          <w:p>
            <w:pPr>
              <w:pStyle w:val="Compact"/>
            </w:pPr>
            <w:r>
              <w:rPr>
                <w:rFonts w:ascii="Calibri" w:hAnsi="Calibri"/>
                <w:sz w:val="20"/>
              </w:rPr>
              <w:t xml:space="preserve">0,1250</w:t>
            </w:r>
          </w:p>
        </w:tc>
        <w:tc>
          <w:tcPr/>
          <w:p>
            <w:pPr>
              <w:pStyle w:val="Compact"/>
            </w:pPr>
            <w:r>
              <w:rPr>
                <w:rFonts w:ascii="Calibri" w:hAnsi="Calibri"/>
                <w:sz w:val="20"/>
              </w:rPr>
              <w:t xml:space="preserve">0,0633</w:t>
            </w:r>
          </w:p>
        </w:tc>
        <w:tc>
          <w:tcPr/>
          <w:p>
            <w:pPr>
              <w:pStyle w:val="Compact"/>
            </w:pPr>
            <w:r>
              <w:rPr>
                <w:rFonts w:ascii="Calibri" w:hAnsi="Calibri"/>
                <w:sz w:val="20"/>
              </w:rPr>
              <w:t xml:space="preserve">0,048</w:t>
            </w:r>
          </w:p>
        </w:tc>
      </w:tr>
      <w:tr>
        <w:tc>
          <w:tcPr/>
          <w:p>
            <w:pPr>
              <w:pStyle w:val="Compact"/>
            </w:pPr>
            <w:r>
              <w:rPr>
                <w:rFonts w:ascii="Calibri" w:hAnsi="Calibri"/>
                <w:sz w:val="20"/>
              </w:rPr>
              <w:t xml:space="preserve">EMBI+, rezago 2</w:t>
            </w:r>
          </w:p>
        </w:tc>
        <w:tc>
          <w:tcPr/>
          <w:p>
            <w:pPr>
              <w:pStyle w:val="Compact"/>
            </w:pPr>
            <w:r>
              <w:rPr>
                <w:rFonts w:ascii="Calibri" w:hAnsi="Calibri"/>
                <w:sz w:val="20"/>
              </w:rPr>
              <w:t xml:space="preserve">0,0001</w:t>
            </w:r>
          </w:p>
        </w:tc>
        <w:tc>
          <w:tcPr/>
          <w:p>
            <w:pPr>
              <w:pStyle w:val="Compact"/>
            </w:pPr>
            <w:r>
              <w:rPr>
                <w:rFonts w:ascii="Calibri" w:hAnsi="Calibri"/>
                <w:sz w:val="20"/>
              </w:rPr>
              <w:t xml:space="preserve">0,0005</w:t>
            </w:r>
          </w:p>
        </w:tc>
        <w:tc>
          <w:tcPr/>
          <w:p>
            <w:pPr>
              <w:pStyle w:val="Compact"/>
            </w:pPr>
            <w:r>
              <w:rPr>
                <w:rFonts w:ascii="Calibri" w:hAnsi="Calibri"/>
                <w:sz w:val="20"/>
              </w:rPr>
              <w:t xml:space="preserve">0,850</w:t>
            </w:r>
          </w:p>
        </w:tc>
      </w:tr>
      <w:tr>
        <w:tc>
          <w:tcPr/>
          <w:p>
            <w:pPr>
              <w:pStyle w:val="Compact"/>
            </w:pPr>
            <w:r>
              <w:rPr>
                <w:rFonts w:ascii="Calibri" w:hAnsi="Calibri"/>
                <w:sz w:val="20"/>
              </w:rPr>
              <w:t xml:space="preserve">TCRM, rezago 2</w:t>
            </w:r>
          </w:p>
        </w:tc>
        <w:tc>
          <w:tcPr/>
          <w:p>
            <w:pPr>
              <w:pStyle w:val="Compact"/>
            </w:pPr>
            <w:r>
              <w:rPr>
                <w:rFonts w:ascii="Calibri" w:hAnsi="Calibri"/>
                <w:sz w:val="20"/>
              </w:rPr>
              <w:t xml:space="preserve">-2,9019</w:t>
            </w:r>
          </w:p>
        </w:tc>
        <w:tc>
          <w:tcPr/>
          <w:p>
            <w:pPr>
              <w:pStyle w:val="Compact"/>
            </w:pPr>
            <w:r>
              <w:rPr>
                <w:rFonts w:ascii="Calibri" w:hAnsi="Calibri"/>
                <w:sz w:val="20"/>
              </w:rPr>
              <w:t xml:space="preserve">2,3871</w:t>
            </w:r>
          </w:p>
        </w:tc>
        <w:tc>
          <w:tcPr/>
          <w:p>
            <w:pPr>
              <w:pStyle w:val="Compact"/>
            </w:pPr>
            <w:r>
              <w:rPr>
                <w:rFonts w:ascii="Calibri" w:hAnsi="Calibri"/>
                <w:sz w:val="20"/>
              </w:rPr>
              <w:t xml:space="preserve">0,224</w:t>
            </w:r>
          </w:p>
        </w:tc>
      </w:tr>
      <w:tr>
        <w:tc>
          <w:tcPr/>
          <w:p>
            <w:pPr>
              <w:pStyle w:val="Compact"/>
            </w:pPr>
            <w:r>
              <w:rPr>
                <w:rFonts w:ascii="Calibri" w:hAnsi="Calibri"/>
                <w:sz w:val="20"/>
              </w:rPr>
              <w:t xml:space="preserve">Resultado primario, rezago 3</w:t>
            </w:r>
          </w:p>
        </w:tc>
        <w:tc>
          <w:tcPr/>
          <w:p>
            <w:pPr>
              <w:pStyle w:val="Compact"/>
            </w:pPr>
            <w:r>
              <w:rPr>
                <w:rFonts w:ascii="Calibri" w:hAnsi="Calibri"/>
                <w:sz w:val="20"/>
              </w:rPr>
              <w:t xml:space="preserve">0,0149</w:t>
            </w:r>
          </w:p>
        </w:tc>
        <w:tc>
          <w:tcPr/>
          <w:p>
            <w:pPr>
              <w:pStyle w:val="Compact"/>
            </w:pPr>
            <w:r>
              <w:rPr>
                <w:rFonts w:ascii="Calibri" w:hAnsi="Calibri"/>
                <w:sz w:val="20"/>
              </w:rPr>
              <w:t xml:space="preserve">0,1154</w:t>
            </w:r>
          </w:p>
        </w:tc>
        <w:tc>
          <w:tcPr/>
          <w:p>
            <w:pPr>
              <w:pStyle w:val="Compact"/>
            </w:pPr>
            <w:r>
              <w:rPr>
                <w:rFonts w:ascii="Calibri" w:hAnsi="Calibri"/>
                <w:sz w:val="20"/>
              </w:rPr>
              <w:t xml:space="preserve">0,897</w:t>
            </w:r>
          </w:p>
        </w:tc>
      </w:tr>
      <w:tr>
        <w:tc>
          <w:tcPr/>
          <w:p>
            <w:pPr>
              <w:pStyle w:val="Compact"/>
            </w:pPr>
            <w:r>
              <w:rPr>
                <w:rFonts w:ascii="Calibri" w:hAnsi="Calibri"/>
                <w:sz w:val="20"/>
              </w:rPr>
              <w:t xml:space="preserve">Crecimiento, rezago 3</w:t>
            </w:r>
          </w:p>
        </w:tc>
        <w:tc>
          <w:tcPr/>
          <w:p>
            <w:pPr>
              <w:pStyle w:val="Compact"/>
            </w:pPr>
            <w:r>
              <w:rPr>
                <w:rFonts w:ascii="Calibri" w:hAnsi="Calibri"/>
                <w:sz w:val="20"/>
              </w:rPr>
              <w:t xml:space="preserve">-0,0330</w:t>
            </w:r>
          </w:p>
        </w:tc>
        <w:tc>
          <w:tcPr/>
          <w:p>
            <w:pPr>
              <w:pStyle w:val="Compact"/>
            </w:pPr>
            <w:r>
              <w:rPr>
                <w:rFonts w:ascii="Calibri" w:hAnsi="Calibri"/>
                <w:sz w:val="20"/>
              </w:rPr>
              <w:t xml:space="preserve">0,0605</w:t>
            </w:r>
          </w:p>
        </w:tc>
        <w:tc>
          <w:tcPr/>
          <w:p>
            <w:pPr>
              <w:pStyle w:val="Compact"/>
            </w:pPr>
            <w:r>
              <w:rPr>
                <w:rFonts w:ascii="Calibri" w:hAnsi="Calibri"/>
                <w:sz w:val="20"/>
              </w:rPr>
              <w:t xml:space="preserve">0,586</w:t>
            </w:r>
          </w:p>
        </w:tc>
      </w:tr>
      <w:tr>
        <w:tc>
          <w:tcPr/>
          <w:p>
            <w:pPr>
              <w:pStyle w:val="Compact"/>
            </w:pPr>
            <w:r>
              <w:rPr>
                <w:rFonts w:ascii="Calibri" w:hAnsi="Calibri"/>
                <w:sz w:val="20"/>
              </w:rPr>
              <w:t xml:space="preserve">EMBI+, rezago 3</w:t>
            </w:r>
          </w:p>
        </w:tc>
        <w:tc>
          <w:tcPr/>
          <w:p>
            <w:pPr>
              <w:pStyle w:val="Compact"/>
            </w:pPr>
            <w:r>
              <w:rPr>
                <w:rFonts w:ascii="Calibri" w:hAnsi="Calibri"/>
                <w:sz w:val="20"/>
              </w:rPr>
              <w:t xml:space="preserve">0,0002</w:t>
            </w:r>
          </w:p>
        </w:tc>
        <w:tc>
          <w:tcPr/>
          <w:p>
            <w:pPr>
              <w:pStyle w:val="Compact"/>
            </w:pPr>
            <w:r>
              <w:rPr>
                <w:rFonts w:ascii="Calibri" w:hAnsi="Calibri"/>
                <w:sz w:val="20"/>
              </w:rPr>
              <w:t xml:space="preserve">0,0004</w:t>
            </w:r>
          </w:p>
        </w:tc>
        <w:tc>
          <w:tcPr/>
          <w:p>
            <w:pPr>
              <w:pStyle w:val="Compact"/>
            </w:pPr>
            <w:r>
              <w:rPr>
                <w:rFonts w:ascii="Calibri" w:hAnsi="Calibri"/>
                <w:sz w:val="20"/>
              </w:rPr>
              <w:t xml:space="preserve">0,520</w:t>
            </w:r>
          </w:p>
        </w:tc>
      </w:tr>
      <w:tr>
        <w:tc>
          <w:tcPr/>
          <w:p>
            <w:pPr>
              <w:pStyle w:val="Compact"/>
            </w:pPr>
            <w:r>
              <w:rPr>
                <w:rFonts w:ascii="Calibri" w:hAnsi="Calibri"/>
                <w:sz w:val="20"/>
              </w:rPr>
              <w:t xml:space="preserve">TCRM, rezago 3</w:t>
            </w:r>
          </w:p>
        </w:tc>
        <w:tc>
          <w:tcPr/>
          <w:p>
            <w:pPr>
              <w:pStyle w:val="Compact"/>
            </w:pPr>
            <w:r>
              <w:rPr>
                <w:rFonts w:ascii="Calibri" w:hAnsi="Calibri"/>
                <w:sz w:val="20"/>
              </w:rPr>
              <w:t xml:space="preserve">-0,2936</w:t>
            </w:r>
          </w:p>
        </w:tc>
        <w:tc>
          <w:tcPr/>
          <w:p>
            <w:pPr>
              <w:pStyle w:val="Compact"/>
            </w:pPr>
            <w:r>
              <w:rPr>
                <w:rFonts w:ascii="Calibri" w:hAnsi="Calibri"/>
                <w:sz w:val="20"/>
              </w:rPr>
              <w:t xml:space="preserve">1,6455</w:t>
            </w:r>
          </w:p>
        </w:tc>
        <w:tc>
          <w:tcPr/>
          <w:p>
            <w:pPr>
              <w:pStyle w:val="Compact"/>
            </w:pPr>
            <w:r>
              <w:rPr>
                <w:rFonts w:ascii="Calibri" w:hAnsi="Calibri"/>
                <w:sz w:val="20"/>
              </w:rPr>
              <w:t xml:space="preserve">0,858</w:t>
            </w:r>
          </w:p>
        </w:tc>
      </w:tr>
    </w:tbl>
    <w:bookmarkEnd w:id="108"/>
    <w:bookmarkStart w:id="109" w:name="X75af1f7c14f81eb011f7e98c945663ad6c4e183"/>
    <w:p>
      <w:pPr>
        <w:pStyle w:val="Heading2"/>
      </w:pPr>
      <w:r>
        <w:t xml:space="preserve">A.5 Resultados completos de la simulación por especificación</w:t>
      </w:r>
    </w:p>
    <w:p>
      <w:pPr>
        <w:pStyle w:val="FirstParagraph"/>
      </w:pPr>
      <w:r>
        <w:t xml:space="preserve">Media entre réplicas de parámetros y, entre corchetes, percentiles 5 y 95 (300 réplicas por 400 trayectorias).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Indicador</w:t>
            </w:r>
          </w:p>
        </w:tc>
        <w:tc>
          <w:tcPr/>
          <w:p>
            <w:pPr>
              <w:pStyle w:val="Compact"/>
            </w:pPr>
            <w:r>
              <w:rPr>
                <w:rFonts w:ascii="Calibri" w:hAnsi="Calibri"/>
                <w:sz w:val="20"/>
              </w:rPr>
              <w:t xml:space="preserve">Neta (principal)</w:t>
            </w:r>
          </w:p>
        </w:tc>
        <w:tc>
          <w:tcPr/>
          <w:p>
            <w:pPr>
              <w:pStyle w:val="Compact"/>
            </w:pPr>
            <w:r>
              <w:rPr>
                <w:rFonts w:ascii="Calibri" w:hAnsi="Calibri"/>
                <w:sz w:val="20"/>
              </w:rPr>
              <w:t xml:space="preserve">Neta en libros</w:t>
            </w:r>
          </w:p>
        </w:tc>
        <w:tc>
          <w:tcPr/>
          <w:p>
            <w:pPr>
              <w:pStyle w:val="Compact"/>
            </w:pPr>
            <w:r>
              <w:rPr>
                <w:rFonts w:ascii="Calibri" w:hAnsi="Calibri"/>
                <w:sz w:val="20"/>
              </w:rPr>
              <w:t xml:space="preserve">Bruta</w:t>
            </w:r>
          </w:p>
        </w:tc>
        <w:tc>
          <w:tcPr/>
          <w:p>
            <w:pPr>
              <w:pStyle w:val="Compact"/>
            </w:pPr>
            <w:r>
              <w:rPr>
                <w:rFonts w:ascii="Calibri" w:hAnsi="Calibri"/>
                <w:sz w:val="20"/>
              </w:rPr>
              <w:t xml:space="preserve">Neta con tasas en pesos</w:t>
            </w:r>
          </w:p>
        </w:tc>
        <w:tc>
          <w:tcPr/>
          <w:p>
            <w:pPr>
              <w:pStyle w:val="Compact"/>
            </w:pPr>
            <w:r>
              <w:rPr>
                <w:rFonts w:ascii="Calibri" w:hAnsi="Calibri"/>
                <w:sz w:val="20"/>
              </w:rPr>
              <w:t xml:space="preserve">Neta sin retroalimentación</w:t>
            </w:r>
          </w:p>
        </w:tc>
      </w:tr>
      <w:tr>
        <w:tc>
          <w:tcPr/>
          <w:p>
            <w:pPr>
              <w:pStyle w:val="Compact"/>
            </w:pPr>
            <w:r>
              <w:rPr>
                <w:rFonts w:ascii="Calibri" w:hAnsi="Calibri"/>
                <w:sz w:val="20"/>
              </w:rPr>
              <w:t xml:space="preserve">No estabilización 2030 (%)</w:t>
            </w:r>
          </w:p>
        </w:tc>
        <w:tc>
          <w:tcPr/>
          <w:p>
            <w:pPr>
              <w:pStyle w:val="Compact"/>
            </w:pPr>
            <w:r>
              <w:rPr>
                <w:rFonts w:ascii="Calibri" w:hAnsi="Calibri"/>
                <w:sz w:val="20"/>
              </w:rPr>
              <w:t xml:space="preserve">11,5 [7,7; 15,2]</w:t>
            </w:r>
          </w:p>
        </w:tc>
        <w:tc>
          <w:tcPr/>
          <w:p>
            <w:pPr>
              <w:pStyle w:val="Compact"/>
            </w:pPr>
            <w:r>
              <w:rPr>
                <w:rFonts w:ascii="Calibri" w:hAnsi="Calibri"/>
                <w:sz w:val="20"/>
              </w:rPr>
              <w:t xml:space="preserve">12,7 [8,8; 17,0]</w:t>
            </w:r>
          </w:p>
        </w:tc>
        <w:tc>
          <w:tcPr/>
          <w:p>
            <w:pPr>
              <w:pStyle w:val="Compact"/>
            </w:pPr>
            <w:r>
              <w:rPr>
                <w:rFonts w:ascii="Calibri" w:hAnsi="Calibri"/>
                <w:sz w:val="20"/>
              </w:rPr>
              <w:t xml:space="preserve">12,3 [8,5; 16,3]</w:t>
            </w:r>
          </w:p>
        </w:tc>
        <w:tc>
          <w:tcPr/>
          <w:p>
            <w:pPr>
              <w:pStyle w:val="Compact"/>
            </w:pPr>
            <w:r>
              <w:rPr>
                <w:rFonts w:ascii="Calibri" w:hAnsi="Calibri"/>
                <w:sz w:val="20"/>
              </w:rPr>
              <w:t xml:space="preserve">12,2 [8,5; 16,2]</w:t>
            </w:r>
          </w:p>
        </w:tc>
        <w:tc>
          <w:tcPr/>
          <w:p>
            <w:pPr>
              <w:pStyle w:val="Compact"/>
            </w:pPr>
            <w:r>
              <w:rPr>
                <w:rFonts w:ascii="Calibri" w:hAnsi="Calibri"/>
                <w:sz w:val="20"/>
              </w:rPr>
              <w:t xml:space="preserve">11,5 [7,8; 15,8]</w:t>
            </w:r>
          </w:p>
        </w:tc>
      </w:tr>
      <w:tr>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6,6 [3,2; 10,5]</w:t>
            </w:r>
          </w:p>
        </w:tc>
        <w:tc>
          <w:tcPr/>
          <w:p>
            <w:pPr>
              <w:pStyle w:val="Compact"/>
            </w:pPr>
            <w:r>
              <w:rPr>
                <w:rFonts w:ascii="Calibri" w:hAnsi="Calibri"/>
                <w:sz w:val="20"/>
              </w:rPr>
              <w:t xml:space="preserve">7,4 [3,8; 11,8]</w:t>
            </w:r>
          </w:p>
        </w:tc>
        <w:tc>
          <w:tcPr/>
          <w:p>
            <w:pPr>
              <w:pStyle w:val="Compact"/>
            </w:pPr>
            <w:r>
              <w:rPr>
                <w:rFonts w:ascii="Calibri" w:hAnsi="Calibri"/>
                <w:sz w:val="20"/>
              </w:rPr>
              <w:t xml:space="preserve">7,8 [4,5; 11,8]</w:t>
            </w:r>
          </w:p>
        </w:tc>
        <w:tc>
          <w:tcPr/>
          <w:p>
            <w:pPr>
              <w:pStyle w:val="Compact"/>
            </w:pPr>
            <w:r>
              <w:rPr>
                <w:rFonts w:ascii="Calibri" w:hAnsi="Calibri"/>
                <w:sz w:val="20"/>
              </w:rPr>
              <w:t xml:space="preserve">8,8 [4,2; 14,5]</w:t>
            </w:r>
          </w:p>
        </w:tc>
        <w:tc>
          <w:tcPr/>
          <w:p>
            <w:pPr>
              <w:pStyle w:val="Compact"/>
            </w:pPr>
            <w:r>
              <w:rPr>
                <w:rFonts w:ascii="Calibri" w:hAnsi="Calibri"/>
                <w:sz w:val="20"/>
              </w:rPr>
              <w:t xml:space="preserve">6,1 [3,2; 10,0]</w:t>
            </w:r>
          </w:p>
        </w:tc>
      </w:tr>
      <w:tr>
        <w:tc>
          <w:tcPr/>
          <w:p>
            <w:pPr>
              <w:pStyle w:val="Compact"/>
            </w:pPr>
            <w:r>
              <w:rPr>
                <w:rFonts w:ascii="Calibri" w:hAnsi="Calibri"/>
                <w:sz w:val="20"/>
              </w:rPr>
              <w:t xml:space="preserve">Deuda media 2035 (% PIB)</w:t>
            </w:r>
          </w:p>
        </w:tc>
        <w:tc>
          <w:tcPr/>
          <w:p>
            <w:pPr>
              <w:pStyle w:val="Compact"/>
            </w:pPr>
            <w:r>
              <w:rPr>
                <w:rFonts w:ascii="Calibri" w:hAnsi="Calibri"/>
                <w:sz w:val="20"/>
              </w:rPr>
              <w:t xml:space="preserve">16,4 [15,4; 17,6]</w:t>
            </w:r>
          </w:p>
        </w:tc>
        <w:tc>
          <w:tcPr/>
          <w:p>
            <w:pPr>
              <w:pStyle w:val="Compact"/>
            </w:pPr>
            <w:r>
              <w:rPr>
                <w:rFonts w:ascii="Calibri" w:hAnsi="Calibri"/>
                <w:sz w:val="20"/>
              </w:rPr>
              <w:t xml:space="preserve">17,7 [16,8; 19,1]</w:t>
            </w:r>
          </w:p>
        </w:tc>
        <w:tc>
          <w:tcPr/>
          <w:p>
            <w:pPr>
              <w:pStyle w:val="Compact"/>
            </w:pPr>
            <w:r>
              <w:rPr>
                <w:rFonts w:ascii="Calibri" w:hAnsi="Calibri"/>
                <w:sz w:val="20"/>
              </w:rPr>
              <w:t xml:space="preserve">22,8 [21,9; 24,0]</w:t>
            </w:r>
          </w:p>
        </w:tc>
        <w:tc>
          <w:tcPr/>
          <w:p>
            <w:pPr>
              <w:pStyle w:val="Compact"/>
            </w:pPr>
            <w:r>
              <w:rPr>
                <w:rFonts w:ascii="Calibri" w:hAnsi="Calibri"/>
                <w:sz w:val="20"/>
              </w:rPr>
              <w:t xml:space="preserve">17,1 [15,7; 19,1]</w:t>
            </w:r>
          </w:p>
        </w:tc>
        <w:tc>
          <w:tcPr/>
          <w:p>
            <w:pPr>
              <w:pStyle w:val="Compact"/>
            </w:pPr>
            <w:r>
              <w:rPr>
                <w:rFonts w:ascii="Calibri" w:hAnsi="Calibri"/>
                <w:sz w:val="20"/>
              </w:rPr>
              <w:t xml:space="preserve">16,3 [15,3; 17,4]</w:t>
            </w:r>
          </w:p>
        </w:tc>
      </w:tr>
      <w:tr>
        <w:tc>
          <w:tcPr/>
          <w:p>
            <w:pPr>
              <w:pStyle w:val="Compact"/>
            </w:pPr>
            <w:r>
              <w:rPr>
                <w:rFonts w:ascii="Calibri" w:hAnsi="Calibri"/>
                <w:sz w:val="20"/>
              </w:rPr>
              <w:t xml:space="preserve">Ancho p5-p95 2030</w:t>
            </w:r>
          </w:p>
        </w:tc>
        <w:tc>
          <w:tcPr/>
          <w:p>
            <w:pPr>
              <w:pStyle w:val="Compact"/>
            </w:pPr>
            <w:r>
              <w:rPr>
                <w:rFonts w:ascii="Calibri" w:hAnsi="Calibri"/>
                <w:sz w:val="20"/>
              </w:rPr>
              <w:t xml:space="preserve">18,6 [14,4; 23,3]</w:t>
            </w:r>
          </w:p>
        </w:tc>
        <w:tc>
          <w:tcPr/>
          <w:p>
            <w:pPr>
              <w:pStyle w:val="Compact"/>
            </w:pPr>
            <w:r>
              <w:rPr>
                <w:rFonts w:ascii="Calibri" w:hAnsi="Calibri"/>
                <w:sz w:val="20"/>
              </w:rPr>
              <w:t xml:space="preserve">19,0 [14,5; 23,9]</w:t>
            </w:r>
          </w:p>
        </w:tc>
        <w:tc>
          <w:tcPr/>
          <w:p>
            <w:pPr>
              <w:pStyle w:val="Compact"/>
            </w:pPr>
            <w:r>
              <w:rPr>
                <w:rFonts w:ascii="Calibri" w:hAnsi="Calibri"/>
                <w:sz w:val="20"/>
              </w:rPr>
              <w:t xml:space="preserve">19,3 [15,8; 24,3]</w:t>
            </w:r>
          </w:p>
        </w:tc>
        <w:tc>
          <w:tcPr/>
          <w:p>
            <w:pPr>
              <w:pStyle w:val="Compact"/>
            </w:pPr>
            <w:r>
              <w:rPr>
                <w:rFonts w:ascii="Calibri" w:hAnsi="Calibri"/>
                <w:sz w:val="20"/>
              </w:rPr>
              <w:t xml:space="preserve">21,0 [15,7; 27,2]</w:t>
            </w:r>
          </w:p>
        </w:tc>
        <w:tc>
          <w:tcPr/>
          <w:p>
            <w:pPr>
              <w:pStyle w:val="Compact"/>
            </w:pPr>
            <w:r>
              <w:rPr>
                <w:rFonts w:ascii="Calibri" w:hAnsi="Calibri"/>
                <w:sz w:val="20"/>
              </w:rPr>
              <w:t xml:space="preserve">19,9 [15,6; 24,9]</w:t>
            </w:r>
          </w:p>
        </w:tc>
      </w:tr>
      <w:tr>
        <w:tc>
          <w:tcPr/>
          <w:p>
            <w:pPr>
              <w:pStyle w:val="Compact"/>
            </w:pPr>
            <w:r>
              <w:rPr>
                <w:rFonts w:ascii="Calibri" w:hAnsi="Calibri"/>
                <w:sz w:val="20"/>
              </w:rPr>
              <w:t xml:space="preserve">Varianza 2035: fiscal (%)</w:t>
            </w:r>
          </w:p>
        </w:tc>
        <w:tc>
          <w:tcPr/>
          <w:p>
            <w:pPr>
              <w:pStyle w:val="Compact"/>
            </w:pPr>
            <w:r>
              <w:rPr>
                <w:rFonts w:ascii="Calibri" w:hAnsi="Calibri"/>
                <w:sz w:val="20"/>
              </w:rPr>
              <w:t xml:space="preserve">21,2 [4,0; 43,3]</w:t>
            </w:r>
          </w:p>
        </w:tc>
        <w:tc>
          <w:tcPr/>
          <w:p>
            <w:pPr>
              <w:pStyle w:val="Compact"/>
            </w:pPr>
            <w:r>
              <w:rPr>
                <w:rFonts w:ascii="Calibri" w:hAnsi="Calibri"/>
                <w:sz w:val="20"/>
              </w:rPr>
              <w:t xml:space="preserve">20,8 [4,6; 41,7]</w:t>
            </w:r>
          </w:p>
        </w:tc>
        <w:tc>
          <w:tcPr/>
          <w:p>
            <w:pPr>
              <w:pStyle w:val="Compact"/>
            </w:pPr>
            <w:r>
              <w:rPr>
                <w:rFonts w:ascii="Calibri" w:hAnsi="Calibri"/>
                <w:sz w:val="20"/>
              </w:rPr>
              <w:t xml:space="preserve">23,7 [3,1; 53,7]</w:t>
            </w:r>
          </w:p>
        </w:tc>
        <w:tc>
          <w:tcPr/>
          <w:p>
            <w:pPr>
              <w:pStyle w:val="Compact"/>
            </w:pPr>
            <w:r>
              <w:rPr>
                <w:rFonts w:ascii="Calibri" w:hAnsi="Calibri"/>
                <w:sz w:val="20"/>
              </w:rPr>
              <w:t xml:space="preserve">17,9 [2,8; 41,3]</w:t>
            </w:r>
          </w:p>
        </w:tc>
        <w:tc>
          <w:tcPr/>
          <w:p>
            <w:pPr>
              <w:pStyle w:val="Compact"/>
            </w:pPr>
            <w:r>
              <w:rPr>
                <w:rFonts w:ascii="Calibri" w:hAnsi="Calibri"/>
                <w:sz w:val="20"/>
              </w:rPr>
              <w:t xml:space="preserve">21,0 [4,1; 44,0]</w:t>
            </w:r>
          </w:p>
        </w:tc>
      </w:tr>
      <w:tr>
        <w:tc>
          <w:tcPr/>
          <w:p>
            <w:pPr>
              <w:pStyle w:val="Compact"/>
            </w:pPr>
            <w:r>
              <w:rPr>
                <w:rFonts w:ascii="Calibri" w:hAnsi="Calibri"/>
                <w:sz w:val="20"/>
              </w:rPr>
              <w:t xml:space="preserve">Varianza 2035: actividad (%)</w:t>
            </w:r>
          </w:p>
        </w:tc>
        <w:tc>
          <w:tcPr/>
          <w:p>
            <w:pPr>
              <w:pStyle w:val="Compact"/>
            </w:pPr>
            <w:r>
              <w:rPr>
                <w:rFonts w:ascii="Calibri" w:hAnsi="Calibri"/>
                <w:sz w:val="20"/>
              </w:rPr>
              <w:t xml:space="preserve">19,0 [3,4; 45,2]</w:t>
            </w:r>
          </w:p>
        </w:tc>
        <w:tc>
          <w:tcPr/>
          <w:p>
            <w:pPr>
              <w:pStyle w:val="Compact"/>
            </w:pPr>
            <w:r>
              <w:rPr>
                <w:rFonts w:ascii="Calibri" w:hAnsi="Calibri"/>
                <w:sz w:val="20"/>
              </w:rPr>
              <w:t xml:space="preserve">20,2 [3,2; 52,1]</w:t>
            </w:r>
          </w:p>
        </w:tc>
        <w:tc>
          <w:tcPr/>
          <w:p>
            <w:pPr>
              <w:pStyle w:val="Compact"/>
            </w:pPr>
            <w:r>
              <w:rPr>
                <w:rFonts w:ascii="Calibri" w:hAnsi="Calibri"/>
                <w:sz w:val="20"/>
              </w:rPr>
              <w:t xml:space="preserve">24,9 [5,4; 55,4]</w:t>
            </w:r>
          </w:p>
        </w:tc>
        <w:tc>
          <w:tcPr/>
          <w:p>
            <w:pPr>
              <w:pStyle w:val="Compact"/>
            </w:pPr>
            <w:r>
              <w:rPr>
                <w:rFonts w:ascii="Calibri" w:hAnsi="Calibri"/>
                <w:sz w:val="20"/>
              </w:rPr>
              <w:t xml:space="preserve">14,0 [2,4; 37,1]</w:t>
            </w:r>
          </w:p>
        </w:tc>
        <w:tc>
          <w:tcPr/>
          <w:p>
            <w:pPr>
              <w:pStyle w:val="Compact"/>
            </w:pPr>
            <w:r>
              <w:rPr>
                <w:rFonts w:ascii="Calibri" w:hAnsi="Calibri"/>
                <w:sz w:val="20"/>
              </w:rPr>
              <w:t xml:space="preserve">18,4 [4,2; 44,8]</w:t>
            </w:r>
          </w:p>
        </w:tc>
      </w:tr>
      <w:tr>
        <w:tc>
          <w:tcPr/>
          <w:p>
            <w:pPr>
              <w:pStyle w:val="Compact"/>
            </w:pPr>
            <w:r>
              <w:rPr>
                <w:rFonts w:ascii="Calibri" w:hAnsi="Calibri"/>
                <w:sz w:val="20"/>
              </w:rPr>
              <w:t xml:space="preserve">Varianza 2035: cambiario y de riesgo (%)</w:t>
            </w:r>
          </w:p>
        </w:tc>
        <w:tc>
          <w:tcPr/>
          <w:p>
            <w:pPr>
              <w:pStyle w:val="Compact"/>
            </w:pPr>
            <w:r>
              <w:rPr>
                <w:rFonts w:ascii="Calibri" w:hAnsi="Calibri"/>
                <w:sz w:val="20"/>
              </w:rPr>
              <w:t xml:space="preserve">59,8 [12,6; 90,0]</w:t>
            </w:r>
          </w:p>
        </w:tc>
        <w:tc>
          <w:tcPr/>
          <w:p>
            <w:pPr>
              <w:pStyle w:val="Compact"/>
            </w:pPr>
            <w:r>
              <w:rPr>
                <w:rFonts w:ascii="Calibri" w:hAnsi="Calibri"/>
                <w:sz w:val="20"/>
              </w:rPr>
              <w:t xml:space="preserve">59,1 [14,5; 88,8]</w:t>
            </w:r>
          </w:p>
        </w:tc>
        <w:tc>
          <w:tcPr/>
          <w:p>
            <w:pPr>
              <w:pStyle w:val="Compact"/>
            </w:pPr>
            <w:r>
              <w:rPr>
                <w:rFonts w:ascii="Calibri" w:hAnsi="Calibri"/>
                <w:sz w:val="20"/>
              </w:rPr>
              <w:t xml:space="preserve">51,5 [5,7; 86,7]</w:t>
            </w:r>
          </w:p>
        </w:tc>
        <w:tc>
          <w:tcPr/>
          <w:p>
            <w:pPr>
              <w:pStyle w:val="Compact"/>
            </w:pPr>
            <w:r>
              <w:rPr>
                <w:rFonts w:ascii="Calibri" w:hAnsi="Calibri"/>
                <w:sz w:val="20"/>
              </w:rPr>
              <w:t xml:space="preserve">68,1 [27,5; 92,7]</w:t>
            </w:r>
          </w:p>
        </w:tc>
        <w:tc>
          <w:tcPr/>
          <w:p>
            <w:pPr>
              <w:pStyle w:val="Compact"/>
            </w:pPr>
            <w:r>
              <w:rPr>
                <w:rFonts w:ascii="Calibri" w:hAnsi="Calibri"/>
                <w:sz w:val="20"/>
              </w:rPr>
              <w:t xml:space="preserve">60,5 [12,3; 88,7]</w:t>
            </w:r>
          </w:p>
        </w:tc>
      </w:tr>
      <w:tr>
        <w:tc>
          <w:tcPr/>
          <w:p>
            <w:pPr>
              <w:pStyle w:val="Compact"/>
            </w:pPr>
            <w:r>
              <w:rPr>
                <w:rFonts w:ascii="Calibri" w:hAnsi="Calibri"/>
                <w:sz w:val="20"/>
              </w:rPr>
              <w:t xml:space="preserve">H1a: no fiscal menos fiscal</w:t>
            </w:r>
          </w:p>
        </w:tc>
        <w:tc>
          <w:tcPr/>
          <w:p>
            <w:pPr>
              <w:pStyle w:val="Compact"/>
            </w:pPr>
            <w:r>
              <w:rPr>
                <w:rFonts w:ascii="Calibri" w:hAnsi="Calibri"/>
                <w:sz w:val="20"/>
              </w:rPr>
              <w:t xml:space="preserve">57,7 [13,4; 92,0]</w:t>
            </w:r>
          </w:p>
        </w:tc>
        <w:tc>
          <w:tcPr/>
          <w:p>
            <w:pPr>
              <w:pStyle w:val="Compact"/>
            </w:pPr>
            <w:r>
              <w:rPr>
                <w:rFonts w:ascii="Calibri" w:hAnsi="Calibri"/>
                <w:sz w:val="20"/>
              </w:rPr>
              <w:t xml:space="preserve">58,5 [16,6; 90,8]</w:t>
            </w:r>
          </w:p>
        </w:tc>
        <w:tc>
          <w:tcPr/>
          <w:p>
            <w:pPr>
              <w:pStyle w:val="Compact"/>
            </w:pPr>
            <w:r>
              <w:rPr>
                <w:rFonts w:ascii="Calibri" w:hAnsi="Calibri"/>
                <w:sz w:val="20"/>
              </w:rPr>
              <w:t xml:space="preserve">52,6 [-7,5; 93,7]</w:t>
            </w:r>
          </w:p>
        </w:tc>
        <w:tc>
          <w:tcPr/>
          <w:p>
            <w:pPr>
              <w:pStyle w:val="Compact"/>
            </w:pPr>
            <w:r>
              <w:rPr>
                <w:rFonts w:ascii="Calibri" w:hAnsi="Calibri"/>
                <w:sz w:val="20"/>
              </w:rPr>
              <w:t xml:space="preserve">64,2 [17,4; 94,5]</w:t>
            </w:r>
          </w:p>
        </w:tc>
        <w:tc>
          <w:tcPr/>
          <w:p>
            <w:pPr>
              <w:pStyle w:val="Compact"/>
            </w:pPr>
            <w:r>
              <w:rPr>
                <w:rFonts w:ascii="Calibri" w:hAnsi="Calibri"/>
                <w:sz w:val="20"/>
              </w:rPr>
              <w:t xml:space="preserve">57,9 [11,9; 91,8]</w:t>
            </w:r>
          </w:p>
        </w:tc>
      </w:tr>
      <w:tr>
        <w:tc>
          <w:tcPr/>
          <w:p>
            <w:pPr>
              <w:pStyle w:val="Compact"/>
            </w:pPr>
            <w:r>
              <w:rPr>
                <w:rFonts w:ascii="Calibri" w:hAnsi="Calibri"/>
                <w:sz w:val="20"/>
              </w:rPr>
              <w:t xml:space="preserve">H2: FED 1 desvío, Δ probabilidad 2035 (pp)</w:t>
            </w:r>
          </w:p>
        </w:tc>
        <w:tc>
          <w:tcPr/>
          <w:p>
            <w:pPr>
              <w:pStyle w:val="Compact"/>
            </w:pPr>
            <w:r>
              <w:rPr>
                <w:rFonts w:ascii="Calibri" w:hAnsi="Calibri"/>
                <w:sz w:val="20"/>
              </w:rPr>
              <w:t xml:space="preserve">0,7 [0,0; 1,7]</w:t>
            </w:r>
          </w:p>
        </w:tc>
        <w:tc>
          <w:tcPr/>
          <w:p>
            <w:pPr>
              <w:pStyle w:val="Compact"/>
            </w:pPr>
            <w:r>
              <w:rPr>
                <w:rFonts w:ascii="Calibri" w:hAnsi="Calibri"/>
                <w:sz w:val="20"/>
              </w:rPr>
              <w:t xml:space="preserve">0,8 [0,0; 1,8]</w:t>
            </w:r>
          </w:p>
        </w:tc>
        <w:tc>
          <w:tcPr/>
          <w:p>
            <w:pPr>
              <w:pStyle w:val="Compact"/>
            </w:pPr>
            <w:r>
              <w:rPr>
                <w:rFonts w:ascii="Calibri" w:hAnsi="Calibri"/>
                <w:sz w:val="20"/>
              </w:rPr>
              <w:t xml:space="preserve">0,7 [0,0; 1,5]</w:t>
            </w:r>
          </w:p>
        </w:tc>
        <w:tc>
          <w:tcPr/>
          <w:p>
            <w:pPr>
              <w:pStyle w:val="Compact"/>
            </w:pPr>
            <w:r>
              <w:rPr>
                <w:rFonts w:ascii="Calibri" w:hAnsi="Calibri"/>
                <w:sz w:val="20"/>
              </w:rPr>
              <w:t xml:space="preserve">0,8 [0,0; 2,0]</w:t>
            </w:r>
          </w:p>
        </w:tc>
        <w:tc>
          <w:tcPr/>
          <w:p>
            <w:pPr>
              <w:pStyle w:val="Compact"/>
            </w:pPr>
            <w:r>
              <w:rPr>
                <w:rFonts w:ascii="Calibri" w:hAnsi="Calibri"/>
                <w:sz w:val="20"/>
              </w:rPr>
              <w:t xml:space="preserve">0,6 [0,0; 1,5]</w:t>
            </w:r>
          </w:p>
        </w:tc>
      </w:tr>
      <w:tr>
        <w:tc>
          <w:tcPr/>
          <w:p>
            <w:pPr>
              <w:pStyle w:val="Compact"/>
            </w:pPr>
            <w:r>
              <w:rPr>
                <w:rFonts w:ascii="Calibri" w:hAnsi="Calibri"/>
                <w:sz w:val="20"/>
              </w:rPr>
              <w:t xml:space="preserve">H2: FED 2022-2023, Δ probabilidad 2035 (pp)</w:t>
            </w:r>
          </w:p>
        </w:tc>
        <w:tc>
          <w:tcPr/>
          <w:p>
            <w:pPr>
              <w:pStyle w:val="Compact"/>
            </w:pPr>
            <w:r>
              <w:rPr>
                <w:rFonts w:ascii="Calibri" w:hAnsi="Calibri"/>
                <w:sz w:val="20"/>
              </w:rPr>
              <w:t xml:space="preserve">9,5 [3,7; 19,0]</w:t>
            </w:r>
          </w:p>
        </w:tc>
        <w:tc>
          <w:tcPr/>
          <w:p>
            <w:pPr>
              <w:pStyle w:val="Compact"/>
            </w:pPr>
            <w:r>
              <w:rPr>
                <w:rFonts w:ascii="Calibri" w:hAnsi="Calibri"/>
                <w:sz w:val="20"/>
              </w:rPr>
              <w:t xml:space="preserve">10,1 [3,8; 20,3]</w:t>
            </w:r>
          </w:p>
        </w:tc>
        <w:tc>
          <w:tcPr/>
          <w:p>
            <w:pPr>
              <w:pStyle w:val="Compact"/>
            </w:pPr>
            <w:r>
              <w:rPr>
                <w:rFonts w:ascii="Calibri" w:hAnsi="Calibri"/>
                <w:sz w:val="20"/>
              </w:rPr>
              <w:t xml:space="preserve">8,7 [2,8; 15,8]</w:t>
            </w:r>
          </w:p>
        </w:tc>
        <w:tc>
          <w:tcPr/>
          <w:p>
            <w:pPr>
              <w:pStyle w:val="Compact"/>
            </w:pPr>
            <w:r>
              <w:rPr>
                <w:rFonts w:ascii="Calibri" w:hAnsi="Calibri"/>
                <w:sz w:val="20"/>
              </w:rPr>
              <w:t xml:space="preserve">11,0 [3,0; 25,0]</w:t>
            </w:r>
          </w:p>
        </w:tc>
        <w:tc>
          <w:tcPr/>
          <w:p>
            <w:pPr>
              <w:pStyle w:val="Compact"/>
            </w:pPr>
            <w:r>
              <w:rPr>
                <w:rFonts w:ascii="Calibri" w:hAnsi="Calibri"/>
                <w:sz w:val="20"/>
              </w:rPr>
              <w:t xml:space="preserve">8,2 [3,8; 15,8]</w:t>
            </w:r>
          </w:p>
        </w:tc>
      </w:tr>
      <w:tr>
        <w:tc>
          <w:tcPr/>
          <w:p>
            <w:pPr>
              <w:pStyle w:val="Compact"/>
            </w:pPr>
            <w:r>
              <w:rPr>
                <w:rFonts w:ascii="Calibri" w:hAnsi="Calibri"/>
                <w:sz w:val="20"/>
              </w:rPr>
              <w:t xml:space="preserve">H2: FED 2022-2023, Δ deuda 2035 (pp PIB)</w:t>
            </w:r>
          </w:p>
        </w:tc>
        <w:tc>
          <w:tcPr/>
          <w:p>
            <w:pPr>
              <w:pStyle w:val="Compact"/>
            </w:pPr>
            <w:r>
              <w:rPr>
                <w:rFonts w:ascii="Calibri" w:hAnsi="Calibri"/>
                <w:sz w:val="20"/>
              </w:rPr>
              <w:t xml:space="preserve">7,8 [1,9; 17,5]</w:t>
            </w:r>
          </w:p>
        </w:tc>
        <w:tc>
          <w:tcPr/>
          <w:p>
            <w:pPr>
              <w:pStyle w:val="Compact"/>
            </w:pPr>
            <w:r>
              <w:rPr>
                <w:rFonts w:ascii="Calibri" w:hAnsi="Calibri"/>
                <w:sz w:val="20"/>
              </w:rPr>
              <w:t xml:space="preserve">8,4 [2,1; 18,8]</w:t>
            </w:r>
          </w:p>
        </w:tc>
        <w:tc>
          <w:tcPr/>
          <w:p>
            <w:pPr>
              <w:pStyle w:val="Compact"/>
            </w:pPr>
            <w:r>
              <w:rPr>
                <w:rFonts w:ascii="Calibri" w:hAnsi="Calibri"/>
                <w:sz w:val="20"/>
              </w:rPr>
              <w:t xml:space="preserve">7,5 [0,6; 15,9]</w:t>
            </w:r>
          </w:p>
        </w:tc>
        <w:tc>
          <w:tcPr/>
          <w:p>
            <w:pPr>
              <w:pStyle w:val="Compact"/>
            </w:pPr>
            <w:r>
              <w:rPr>
                <w:rFonts w:ascii="Calibri" w:hAnsi="Calibri"/>
                <w:sz w:val="20"/>
              </w:rPr>
              <w:t xml:space="preserve">8,8 [1,1; 21,7]</w:t>
            </w:r>
          </w:p>
        </w:tc>
        <w:tc>
          <w:tcPr/>
          <w:p>
            <w:pPr>
              <w:pStyle w:val="Compact"/>
            </w:pPr>
            <w:r>
              <w:rPr>
                <w:rFonts w:ascii="Calibri" w:hAnsi="Calibri"/>
                <w:sz w:val="20"/>
              </w:rPr>
              <w:t xml:space="preserve">7,6 [2,2; 16,0]</w:t>
            </w:r>
          </w:p>
        </w:tc>
      </w:tr>
    </w:tbl>
    <w:bookmarkEnd w:id="109"/>
    <w:bookmarkEnd w:id="110"/>
    <w:bookmarkStart w:id="111" w:name="referencias"/>
    <w:p>
      <w:pPr>
        <w:pStyle w:val="Heading1"/>
      </w:pPr>
      <w:r>
        <w:t xml:space="preserve">Referencias</w:t>
      </w:r>
    </w:p>
    <w:p>
      <w:pPr>
        <w:pStyle w:val="Compact"/>
        <w:numPr>
          <w:ilvl w:val="0"/>
          <w:numId w:val="1010"/>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 60, 8-28.</w:t>
      </w:r>
    </w:p>
    <w:p>
      <w:pPr>
        <w:pStyle w:val="Compact"/>
        <w:numPr>
          <w:ilvl w:val="0"/>
          <w:numId w:val="1010"/>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0"/>
        </w:numPr>
      </w:pPr>
      <w:r>
        <w:t xml:space="preserve">Ando, S., Mishra, P., Patel, N., Peralta-Alva, A., y Presbitero, A. F. (2025). Fiscal consolidation and public debt.</w:t>
      </w:r>
      <w:r>
        <w:t xml:space="preserve"> </w:t>
      </w:r>
      <w:r>
        <w:rPr>
          <w:i/>
          <w:iCs/>
        </w:rPr>
        <w:t xml:space="preserve">Journal of Economic Dynamics and Control</w:t>
      </w:r>
      <w:r>
        <w:t xml:space="preserve">, 170, artículo 104998. https://doi.org/10.1016/j.jedc.2024.104998</w:t>
      </w:r>
    </w:p>
    <w:p>
      <w:pPr>
        <w:pStyle w:val="Compact"/>
        <w:numPr>
          <w:ilvl w:val="0"/>
          <w:numId w:val="1010"/>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0"/>
        </w:numPr>
      </w:pPr>
      <w:r>
        <w:t xml:space="preserve">Bai, J., y Perron, P. (2003). Computation and analysis of multiple structural change models.</w:t>
      </w:r>
      <w:r>
        <w:t xml:space="preserve"> </w:t>
      </w:r>
      <w:r>
        <w:rPr>
          <w:i/>
          <w:iCs/>
        </w:rPr>
        <w:t xml:space="preserve">Journal of Applied Econometrics</w:t>
      </w:r>
      <w:r>
        <w:t xml:space="preserve">, 18(1), 1-22.</w:t>
      </w:r>
    </w:p>
    <w:p>
      <w:pPr>
        <w:pStyle w:val="Compact"/>
        <w:numPr>
          <w:ilvl w:val="0"/>
          <w:numId w:val="1010"/>
        </w:numPr>
      </w:pPr>
      <w:r>
        <w:t xml:space="preserve">Banco Central de la República Argentina.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0"/>
        </w:numPr>
      </w:pPr>
      <w:r>
        <w:t xml:space="preserve">Banco Central de la República Argentina. (2025).</w:t>
      </w:r>
      <w:r>
        <w:t xml:space="preserve"> </w:t>
      </w:r>
      <w:r>
        <w:rPr>
          <w:i/>
          <w:iCs/>
        </w:rPr>
        <w:t xml:space="preserve">Informe monetario mensual, junio de 2025</w:t>
      </w:r>
      <w:r>
        <w:t xml:space="preserve">. https://www.bcra.gob.ar/archivos/Pdfs/PublicacionesEstadisticas/informe-monetario-mensual-jun-25.pdf</w:t>
      </w:r>
    </w:p>
    <w:p>
      <w:pPr>
        <w:pStyle w:val="Compact"/>
        <w:numPr>
          <w:ilvl w:val="0"/>
          <w:numId w:val="1010"/>
        </w:numPr>
      </w:pPr>
      <w:r>
        <w:t xml:space="preserve">Banco Central de la República Argentina. (2026).</w:t>
      </w:r>
      <w:r>
        <w:t xml:space="preserve"> </w:t>
      </w:r>
      <w:r>
        <w:rPr>
          <w:i/>
          <w:iCs/>
        </w:rPr>
        <w:t xml:space="preserve">Informe monetario mensual, diciembre de 2025</w:t>
      </w:r>
      <w:r>
        <w:t xml:space="preserve">. https://www.bcra.gob.ar/archivos/Pdfs/PublicacionesEstadisticas/informe-monetario-mensual-dic-25.pdf</w:t>
      </w:r>
    </w:p>
    <w:p>
      <w:pPr>
        <w:pStyle w:val="Compact"/>
        <w:numPr>
          <w:ilvl w:val="0"/>
          <w:numId w:val="1010"/>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0"/>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10"/>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 117(4), 1329-1368.</w:t>
      </w:r>
    </w:p>
    <w:p>
      <w:pPr>
        <w:pStyle w:val="Compact"/>
        <w:numPr>
          <w:ilvl w:val="0"/>
          <w:numId w:val="1010"/>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0"/>
        </w:numPr>
      </w:pPr>
      <w:r>
        <w:t xml:space="preserve">Bohn, H. (1998). The behavior of U.S. public debt and deficits.</w:t>
      </w:r>
      <w:r>
        <w:t xml:space="preserve"> </w:t>
      </w:r>
      <w:r>
        <w:rPr>
          <w:i/>
          <w:iCs/>
        </w:rPr>
        <w:t xml:space="preserve">Quarterly Journal of Economics</w:t>
      </w:r>
      <w:r>
        <w:t xml:space="preserve">, 113(3), 949-963.</w:t>
      </w:r>
    </w:p>
    <w:p>
      <w:pPr>
        <w:pStyle w:val="Compact"/>
        <w:numPr>
          <w:ilvl w:val="0"/>
          <w:numId w:val="1010"/>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0"/>
        </w:numPr>
      </w:pPr>
      <w:r>
        <w:t xml:space="preserve">Bohn, H. (2007). Are stationarity and cointegration restrictions really necessary for the intertemporal budget constraint?</w:t>
      </w:r>
      <w:r>
        <w:t xml:space="preserve"> </w:t>
      </w:r>
      <w:r>
        <w:rPr>
          <w:i/>
          <w:iCs/>
        </w:rPr>
        <w:t xml:space="preserve">Journal of Monetary Economics, 54</w:t>
      </w:r>
      <w:r>
        <w:t xml:space="preserve">(7), 1837-1847.</w:t>
      </w:r>
    </w:p>
    <w:p>
      <w:pPr>
        <w:pStyle w:val="Compact"/>
        <w:numPr>
          <w:ilvl w:val="0"/>
          <w:numId w:val="1010"/>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10"/>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10"/>
        </w:numPr>
      </w:pPr>
      <w:r>
        <w:t xml:space="preserve">Braun, O., y Joy, L. (1968). A model of economic stagnation: A case study of the Argentine economy.</w:t>
      </w:r>
      <w:r>
        <w:t xml:space="preserve"> </w:t>
      </w:r>
      <w:r>
        <w:rPr>
          <w:i/>
          <w:iCs/>
        </w:rPr>
        <w:t xml:space="preserve">The Economic Journal, 78</w:t>
      </w:r>
      <w:r>
        <w:t xml:space="preserve">(312), 868-887. https://doi.org/10.2307/2229183</w:t>
      </w:r>
    </w:p>
    <w:p>
      <w:pPr>
        <w:pStyle w:val="Compact"/>
        <w:numPr>
          <w:ilvl w:val="0"/>
          <w:numId w:val="1010"/>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10"/>
        </w:numPr>
      </w:pPr>
      <w:r>
        <w:t xml:space="preserve">Canova, F. (2005). The transmission of US shocks to Latin America.</w:t>
      </w:r>
      <w:r>
        <w:t xml:space="preserve"> </w:t>
      </w:r>
      <w:r>
        <w:rPr>
          <w:i/>
          <w:iCs/>
        </w:rPr>
        <w:t xml:space="preserve">Journal of Applied Econometrics</w:t>
      </w:r>
      <w:r>
        <w:t xml:space="preserve">, 20(2), 229-251.</w:t>
      </w:r>
    </w:p>
    <w:p>
      <w:pPr>
        <w:pStyle w:val="Compact"/>
        <w:numPr>
          <w:ilvl w:val="0"/>
          <w:numId w:val="1010"/>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0"/>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10"/>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10"/>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10"/>
        </w:numPr>
      </w:pPr>
      <w:r>
        <w:t xml:space="preserve">Chequeado. (2025, diciembre).</w:t>
      </w:r>
      <w:r>
        <w:t xml:space="preserve"> </w:t>
      </w:r>
      <w:r>
        <w:rPr>
          <w:i/>
          <w:iCs/>
        </w:rPr>
        <w:t xml:space="preserve">Luis Caputo anunció la colocación de un bono por US$ 910 millones: qué implica el regreso al mercado de deuda</w:t>
      </w:r>
      <w:r>
        <w:t xml:space="preserve">. https://chequeado.com/el-explicador/luis-caputo-anuncio-un-bono-a-4-anos-que-significa-que-el-pais-vuelva-al-mercado-de-deuda/</w:t>
      </w:r>
    </w:p>
    <w:p>
      <w:pPr>
        <w:pStyle w:val="Compact"/>
        <w:numPr>
          <w:ilvl w:val="0"/>
          <w:numId w:val="1010"/>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0"/>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0"/>
        </w:numPr>
      </w:pPr>
      <w:r>
        <w:t xml:space="preserve">Cushman, D. O., y Zha, T. (1997). Identifying monetary policy in a small open economy under flexible exchange rates.</w:t>
      </w:r>
      <w:r>
        <w:t xml:space="preserve"> </w:t>
      </w:r>
      <w:r>
        <w:rPr>
          <w:i/>
          <w:iCs/>
        </w:rPr>
        <w:t xml:space="preserve">Journal of Monetary Economics</w:t>
      </w:r>
      <w:r>
        <w:t xml:space="preserve">, 39(3), 433-448.</w:t>
      </w:r>
    </w:p>
    <w:p>
      <w:pPr>
        <w:pStyle w:val="Compact"/>
        <w:numPr>
          <w:ilvl w:val="0"/>
          <w:numId w:val="1010"/>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10"/>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0"/>
        </w:numPr>
      </w:pPr>
      <w:r>
        <w:t xml:space="preserve">Denton, F. T. (1971). Adjustment of monthly or quarterly series to annual totals: An approach based on quadratic minimization.</w:t>
      </w:r>
      <w:r>
        <w:t xml:space="preserve"> </w:t>
      </w:r>
      <w:r>
        <w:rPr>
          <w:i/>
          <w:iCs/>
        </w:rPr>
        <w:t xml:space="preserve">Journal of the American Statistical Association, 66</w:t>
      </w:r>
      <w:r>
        <w:t xml:space="preserve">(333), 99-102.</w:t>
      </w:r>
    </w:p>
    <w:p>
      <w:pPr>
        <w:pStyle w:val="Compact"/>
        <w:numPr>
          <w:ilvl w:val="0"/>
          <w:numId w:val="1010"/>
        </w:numPr>
      </w:pPr>
      <w:r>
        <w:t xml:space="preserve">Diamand, M. (1972). La estructura productiva desequilibrada argentina y el tipo de cambio.</w:t>
      </w:r>
      <w:r>
        <w:t xml:space="preserve"> </w:t>
      </w:r>
      <w:r>
        <w:rPr>
          <w:i/>
          <w:iCs/>
        </w:rPr>
        <w:t xml:space="preserve">Desarrollo Económico, 12</w:t>
      </w:r>
      <w:r>
        <w:t xml:space="preserve">(45), 25-47.</w:t>
      </w:r>
    </w:p>
    <w:p>
      <w:pPr>
        <w:pStyle w:val="Compact"/>
        <w:numPr>
          <w:ilvl w:val="0"/>
          <w:numId w:val="1010"/>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0"/>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w:t>
      </w:r>
    </w:p>
    <w:p>
      <w:pPr>
        <w:pStyle w:val="Compact"/>
        <w:numPr>
          <w:ilvl w:val="0"/>
          <w:numId w:val="1010"/>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10"/>
        </w:numPr>
      </w:pPr>
      <w:r>
        <w:t xml:space="preserve">Favero, C., y Giavazzi, F. (2007).</w:t>
      </w:r>
      <w:r>
        <w:t xml:space="preserve"> </w:t>
      </w:r>
      <w:r>
        <w:rPr>
          <w:i/>
          <w:iCs/>
        </w:rPr>
        <w:t xml:space="preserve">Debt and the effects of fiscal policy</w:t>
      </w:r>
      <w:r>
        <w:t xml:space="preserve"> </w:t>
      </w:r>
      <w:r>
        <w:t xml:space="preserve">(NBER Working Paper No. 12822).</w:t>
      </w:r>
    </w:p>
    <w:p>
      <w:pPr>
        <w:pStyle w:val="Compact"/>
        <w:numPr>
          <w:ilvl w:val="0"/>
          <w:numId w:val="1010"/>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0"/>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0"/>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10"/>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0"/>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10"/>
        </w:numPr>
      </w:pPr>
      <w:r>
        <w:t xml:space="preserve">Fondo Monetario Internacional.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 Anexo: Sovereign Risk and Debt Sustainability Assessment.</w:t>
      </w:r>
    </w:p>
    <w:p>
      <w:pPr>
        <w:pStyle w:val="Compact"/>
        <w:numPr>
          <w:ilvl w:val="0"/>
          <w:numId w:val="1010"/>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10"/>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w:t>
      </w:r>
    </w:p>
    <w:p>
      <w:pPr>
        <w:pStyle w:val="Compact"/>
        <w:numPr>
          <w:ilvl w:val="0"/>
          <w:numId w:val="1010"/>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10"/>
        </w:numPr>
      </w:pPr>
      <w:r>
        <w:t xml:space="preserve">Gonçalves, S., y Kilian, L. (2004). Bootstrapping autoregressions with conditional heteroskedasticity of unknown form.</w:t>
      </w:r>
      <w:r>
        <w:t xml:space="preserve"> </w:t>
      </w:r>
      <w:r>
        <w:rPr>
          <w:i/>
          <w:iCs/>
        </w:rPr>
        <w:t xml:space="preserve">Journal of Econometrics</w:t>
      </w:r>
      <w:r>
        <w:t xml:space="preserve">, 123(1), 89-120.</w:t>
      </w:r>
    </w:p>
    <w:p>
      <w:pPr>
        <w:pStyle w:val="Compact"/>
        <w:numPr>
          <w:ilvl w:val="0"/>
          <w:numId w:val="1010"/>
        </w:numPr>
      </w:pPr>
      <w:r>
        <w:t xml:space="preserve">Hansen, B. E. (1999). Threshold effects in non-dynamic panels: Estimation, testing, and inference.</w:t>
      </w:r>
      <w:r>
        <w:t xml:space="preserve"> </w:t>
      </w:r>
      <w:r>
        <w:rPr>
          <w:i/>
          <w:iCs/>
        </w:rPr>
        <w:t xml:space="preserve">Journal of Econometrics, 93</w:t>
      </w:r>
      <w:r>
        <w:t xml:space="preserve">(2), 345-368.</w:t>
      </w:r>
    </w:p>
    <w:p>
      <w:pPr>
        <w:pStyle w:val="Compact"/>
        <w:numPr>
          <w:ilvl w:val="0"/>
          <w:numId w:val="1010"/>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10"/>
        </w:numPr>
      </w:pPr>
      <w:r>
        <w:t xml:space="preserve">Infobae. (2026, 23 de septiembre).</w:t>
      </w:r>
      <w:r>
        <w:t xml:space="preserve"> </w:t>
      </w:r>
      <w:r>
        <w:rPr>
          <w:i/>
          <w:iCs/>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pStyle w:val="Compact"/>
        <w:numPr>
          <w:ilvl w:val="0"/>
          <w:numId w:val="1010"/>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https://www.nber.org/papers/w26297</w:t>
      </w:r>
    </w:p>
    <w:p>
      <w:pPr>
        <w:pStyle w:val="Compact"/>
        <w:numPr>
          <w:ilvl w:val="0"/>
          <w:numId w:val="1010"/>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 27</w:t>
      </w:r>
      <w:r>
        <w:t xml:space="preserve">(1), 129-147. https://doi.org/10.1016/0304-3932(91)90007-B</w:t>
      </w:r>
    </w:p>
    <w:p>
      <w:pPr>
        <w:pStyle w:val="Compact"/>
        <w:numPr>
          <w:ilvl w:val="0"/>
          <w:numId w:val="1010"/>
        </w:numPr>
      </w:pPr>
      <w:r>
        <w:t xml:space="preserve">Levy Yeyati, E., y Sturzenegger, F. (2023). A balance-sheet approach to fiscal sustainability.</w:t>
      </w:r>
      <w:r>
        <w:t xml:space="preserve"> </w:t>
      </w:r>
      <w:r>
        <w:rPr>
          <w:i/>
          <w:iCs/>
        </w:rPr>
        <w:t xml:space="preserve">Fiscal Studies</w:t>
      </w:r>
      <w:r>
        <w:t xml:space="preserve">, 44(1), 61-84. https://doi.org/10.1111/1475-5890.12319</w:t>
      </w:r>
    </w:p>
    <w:p>
      <w:pPr>
        <w:pStyle w:val="Compact"/>
        <w:numPr>
          <w:ilvl w:val="0"/>
          <w:numId w:val="1010"/>
        </w:numPr>
      </w:pPr>
      <w:r>
        <w:t xml:space="preserve">Ley 27.541 de Solidaridad Social y Reactivación Productiva en el Marco de la Emergencia Pública (2019). Boletín Oficial de la República Argentina, 23 de diciembre de 2019.</w:t>
      </w:r>
    </w:p>
    <w:p>
      <w:pPr>
        <w:pStyle w:val="Compact"/>
        <w:numPr>
          <w:ilvl w:val="0"/>
          <w:numId w:val="1010"/>
        </w:numPr>
      </w:pPr>
      <w:r>
        <w:t xml:space="preserve">Ley 27.612 de Fortalecimiento de la Sostenibilidad de la Deuda Pública (2021). Boletín Oficial de la República Argentina, 3 de marzo de 2021.</w:t>
      </w:r>
    </w:p>
    <w:p>
      <w:pPr>
        <w:pStyle w:val="Compact"/>
        <w:numPr>
          <w:ilvl w:val="0"/>
          <w:numId w:val="1010"/>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0"/>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10"/>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 18(2), 133-177.</w:t>
      </w:r>
    </w:p>
    <w:p>
      <w:pPr>
        <w:pStyle w:val="Compact"/>
        <w:numPr>
          <w:ilvl w:val="0"/>
          <w:numId w:val="1010"/>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 (Archivos de los cierres 2007 a 2025 en</w:t>
      </w:r>
      <w:r>
        <w:t xml:space="preserve"> </w:t>
      </w:r>
      <w:r>
        <w:rPr>
          <w:rStyle w:val="VerbatimChar"/>
        </w:rPr>
        <w:t xml:space="preserve">datos/crudos/mecon_deuda/</w:t>
      </w:r>
      <w:r>
        <w:t xml:space="preserve">.)</w:t>
      </w:r>
    </w:p>
    <w:p>
      <w:pPr>
        <w:pStyle w:val="Compact"/>
        <w:numPr>
          <w:ilvl w:val="0"/>
          <w:numId w:val="1010"/>
        </w:numPr>
      </w:pPr>
      <w:r>
        <w:t xml:space="preserve">Ministerio de Economía y Producción, Secretaría de Hacienda, Oficina Nacional de Presupuesto. (2006).</w:t>
      </w:r>
      <w:r>
        <w:t xml:space="preserve"> </w:t>
      </w:r>
      <w:r>
        <w:rPr>
          <w:i/>
          <w:iCs/>
        </w:rPr>
        <w:t xml:space="preserve">Compendio fiscal 1993-2006</w:t>
      </w:r>
      <w:r>
        <w:t xml:space="preserve">. https://www.economia.gob.ar/onp/documentos/ejectexto/compendio/compendio93-06.pdf</w:t>
      </w:r>
    </w:p>
    <w:p>
      <w:pPr>
        <w:pStyle w:val="Compact"/>
        <w:numPr>
          <w:ilvl w:val="0"/>
          <w:numId w:val="1010"/>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10"/>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10"/>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0"/>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10"/>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0"/>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10"/>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0"/>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0"/>
        </w:numPr>
      </w:pPr>
      <w:r>
        <w:t xml:space="preserve">Rey, H. (2013).</w:t>
      </w:r>
      <w:r>
        <w:t xml:space="preserve"> </w:t>
      </w:r>
      <w:r>
        <w:rPr>
          <w:i/>
          <w:iCs/>
        </w:rPr>
        <w:t xml:space="preserve">Dilemma not trilemma: The global financial cycle and monetary policy independence</w:t>
      </w:r>
      <w:r>
        <w:t xml:space="preserve"> </w:t>
      </w:r>
      <w:r>
        <w:t xml:space="preserve">[Documento presentado en el Simposio de Política Económica de Jackson Hole, 2013]. Federal Reserve Bank of Kansas City. Versión en NBER Working Paper No. 21162 (2015, rev. 2018).</w:t>
      </w:r>
    </w:p>
    <w:p>
      <w:pPr>
        <w:pStyle w:val="Compact"/>
        <w:numPr>
          <w:ilvl w:val="0"/>
          <w:numId w:val="1010"/>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10"/>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10"/>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10"/>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0"/>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0"/>
        </w:numPr>
      </w:pPr>
      <w:r>
        <w:t xml:space="preserve">Sargent, T. J., y Wallace, N. (1981). Some unpleasant monetarist arithmetic.</w:t>
      </w:r>
      <w:r>
        <w:t xml:space="preserve"> </w:t>
      </w:r>
      <w:r>
        <w:rPr>
          <w:i/>
          <w:iCs/>
        </w:rPr>
        <w:t xml:space="preserve">Federal Reserve Bank of Minneapolis Quarterly Review, 5</w:t>
      </w:r>
      <w:r>
        <w:t xml:space="preserve">(3), 1-17.</w:t>
      </w:r>
    </w:p>
    <w:p>
      <w:pPr>
        <w:pStyle w:val="Compact"/>
        <w:numPr>
          <w:ilvl w:val="0"/>
          <w:numId w:val="1010"/>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0"/>
        </w:numPr>
      </w:pPr>
      <w:r>
        <w:t xml:space="preserve">Sims, C. A., Stock, J. H., y Watson, M. W. (1990). Inference in linear time series models with some unit roots.</w:t>
      </w:r>
      <w:r>
        <w:t xml:space="preserve"> </w:t>
      </w:r>
      <w:r>
        <w:rPr>
          <w:i/>
          <w:iCs/>
        </w:rPr>
        <w:t xml:space="preserve">Econometrica</w:t>
      </w:r>
      <w:r>
        <w:t xml:space="preserve">, 58(1), 113-144.</w:t>
      </w:r>
    </w:p>
    <w:p>
      <w:pPr>
        <w:pStyle w:val="Compact"/>
        <w:numPr>
          <w:ilvl w:val="0"/>
          <w:numId w:val="1010"/>
        </w:numPr>
      </w:pPr>
      <w:r>
        <w:t xml:space="preserve">Thirlwall, A. P. (1979). The balance of payments constraint as an explanation of international growth rate differences.</w:t>
      </w:r>
      <w:r>
        <w:t xml:space="preserve"> </w:t>
      </w:r>
      <w:r>
        <w:rPr>
          <w:i/>
          <w:iCs/>
        </w:rPr>
        <w:t xml:space="preserve">Banca Nazionale del Lavoro Quarterly Review, 32</w:t>
      </w:r>
      <w:r>
        <w:t xml:space="preserve">(128), 45-53.</w:t>
      </w:r>
    </w:p>
    <w:p>
      <w:pPr>
        <w:pStyle w:val="Compact"/>
        <w:numPr>
          <w:ilvl w:val="0"/>
          <w:numId w:val="1010"/>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10"/>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 9(número especial), 103-124.</w:t>
      </w:r>
    </w:p>
    <w:p>
      <w:pPr>
        <w:pStyle w:val="Compact"/>
        <w:numPr>
          <w:ilvl w:val="0"/>
          <w:numId w:val="1010"/>
        </w:numPr>
      </w:pPr>
      <w:r>
        <w:t xml:space="preserve">Wu, J. C., y Xia, F. D. (2016). Measuring the macroeconomic impact of monetary policy at the zero lower bound.</w:t>
      </w:r>
      <w:r>
        <w:t xml:space="preserve"> </w:t>
      </w:r>
      <w:r>
        <w:rPr>
          <w:i/>
          <w:iCs/>
        </w:rPr>
        <w:t xml:space="preserve">Journal of Money, Credit and Banking</w:t>
      </w:r>
      <w:r>
        <w:t xml:space="preserve">, 48(2-3), 253-291.</w:t>
      </w:r>
    </w:p>
    <w:p>
      <w:r>
        <w:pict>
          <v:rect style="width:0;height:1.5pt" o:hralign="center" o:hrstd="t" o:hr="t"/>
        </w:pict>
      </w:r>
    </w:p>
    <w:bookmarkEnd w:id="111"/>
    <w:bookmarkStart w:id="116" w:name="X94fa00cbba88d80644c76c995e4abd03512405e"/>
    <w:p>
      <w:pPr>
        <w:pStyle w:val="Heading1"/>
      </w:pPr>
      <w:r>
        <w:t xml:space="preserve">Notas para el grupo (no forman parte del texto de la tesis)</w:t>
      </w:r>
    </w:p>
    <w:bookmarkStart w:id="112"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112"/>
    <w:bookmarkStart w:id="113" w:name="X516bcb10eb65bb639c4b0de9683673a51efbad9"/>
    <w:p>
      <w:pPr>
        <w:pStyle w:val="Heading2"/>
      </w:pPr>
      <w:r>
        <w:t xml:space="preserve">Nota 2. Tamaño del shock de la FED (decidido el 11/10/2026)</w:t>
      </w:r>
    </w:p>
    <w:p>
      <w:pPr>
        <w:pStyle w:val="FirstParagraph"/>
      </w:pPr>
      <w:r>
        <w:t xml:space="preserve">Los +100 puntos básicos de la versión anterior no estaban justificados y se sacaron. Se usan dos tamaños, los dos con fundamento: un desvío estándar de la variación trimestral de la tasa de política de la FED en 1996-2025 (0,50 puntos), que es la convención de la literatura de VAR, y una repetición del ciclo de subas de 2022-2023 (5,25 puntos en ocho trimestres), que es el episodio histórico más reciente. El primero no tiene un efecto distinguible y el segundo sí (Capítulo 6).</w:t>
      </w:r>
    </w:p>
    <w:bookmarkEnd w:id="113"/>
    <w:bookmarkStart w:id="114"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11"/>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11"/>
        </w:numPr>
      </w:pPr>
      <w:r>
        <w:rPr>
          <w:b/>
          <w:bCs/>
        </w:rPr>
        <w:t xml:space="preserve">Citas corregidas:</w:t>
      </w:r>
    </w:p>
    <w:p>
      <w:pPr>
        <w:pStyle w:val="Compact"/>
        <w:numPr>
          <w:ilvl w:val="1"/>
          <w:numId w:val="1012"/>
        </w:numPr>
      </w:pPr>
      <w:r>
        <w:t xml:space="preserve">Reinhart et al. (2003) se usa ahora para la intolerancia a la deuda.</w:t>
      </w:r>
    </w:p>
    <w:p>
      <w:pPr>
        <w:pStyle w:val="Compact"/>
        <w:numPr>
          <w:ilvl w:val="1"/>
          <w:numId w:val="1012"/>
        </w:numPr>
      </w:pPr>
      <w:r>
        <w:t xml:space="preserve">Mendoza y Oviedo (2007), para la incertidumbre y el límite de deuda.</w:t>
      </w:r>
    </w:p>
    <w:p>
      <w:pPr>
        <w:pStyle w:val="Compact"/>
        <w:numPr>
          <w:ilvl w:val="1"/>
          <w:numId w:val="1012"/>
        </w:numPr>
      </w:pPr>
      <w:r>
        <w:t xml:space="preserve">La fatiga fiscal pasa a Ghosh et al. (2013).</w:t>
      </w:r>
    </w:p>
    <w:p>
      <w:pPr>
        <w:pStyle w:val="Compact"/>
        <w:numPr>
          <w:ilvl w:val="1"/>
          <w:numId w:val="1012"/>
        </w:numPr>
      </w:pPr>
      <w:r>
        <w:t xml:space="preserve">Ando et al. queda con año 2025.</w:t>
      </w:r>
    </w:p>
    <w:p>
      <w:pPr>
        <w:pStyle w:val="Compact"/>
        <w:numPr>
          <w:ilvl w:val="1"/>
          <w:numId w:val="1012"/>
        </w:numPr>
      </w:pPr>
      <w:r>
        <w:t xml:space="preserve">Se sacan Garud y la tesis propia.</w:t>
      </w:r>
    </w:p>
    <w:p>
      <w:pPr>
        <w:pStyle w:val="Compact"/>
        <w:numPr>
          <w:ilvl w:val="0"/>
          <w:numId w:val="1011"/>
        </w:numPr>
      </w:pPr>
      <w:r>
        <w:rPr>
          <w:b/>
          <w:bCs/>
        </w:rPr>
        <w:t xml:space="preserve">Canal cuasifiscal del shock de la FED:</w:t>
      </w:r>
      <w:r>
        <w:t xml:space="preserve"> </w:t>
      </w:r>
      <w:r>
        <w:t xml:space="preserve">se redacta en pasado.</w:t>
      </w:r>
    </w:p>
    <w:p>
      <w:pPr>
        <w:pStyle w:val="Compact"/>
        <w:numPr>
          <w:ilvl w:val="0"/>
          <w:numId w:val="1011"/>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11"/>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13"/>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13"/>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13"/>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14"/>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14"/>
        </w:numPr>
      </w:pPr>
      <w:r>
        <w:rPr>
          <w:b/>
          <w:bCs/>
        </w:rPr>
        <w:t xml:space="preserve">Párrafo cortado:</w:t>
      </w:r>
      <w:r>
        <w:t xml:space="preserve"> </w:t>
      </w:r>
      <w:r>
        <w:t xml:space="preserve">el párrafo de Santiago sobre la subordinación del BCRA, que estaba cortado, se completó y quedó marcado para verificar.</w:t>
      </w:r>
    </w:p>
    <w:bookmarkEnd w:id="114"/>
    <w:bookmarkStart w:id="115" w:name="nota-4.-pendientes"/>
    <w:p>
      <w:pPr>
        <w:pStyle w:val="Heading2"/>
      </w:pPr>
      <w:r>
        <w:t xml:space="preserve">Nota 4. Pendientes</w:t>
      </w:r>
    </w:p>
    <w:p>
      <w:pPr>
        <w:pStyle w:val="Compact"/>
        <w:numPr>
          <w:ilvl w:val="0"/>
          <w:numId w:val="1015"/>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15"/>
        </w:numPr>
      </w:pPr>
      <w:r>
        <w:t xml:space="preserve">Klemm et al. (2014) y Adler y Magud (2014) salieron del texto: no se pudo leer el capítulo de Klemm et al., y en Adler y Magud no está definido el índice que se les atribuía.</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Interrupción repentina de los flujos de capital.</w:t>
      </w:r>
    </w:p>
  </w:footnote>
  <w:footnote w:id="16">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2">
    <w:p>
      <w:pPr>
        <w:pStyle w:val="FootnoteText"/>
      </w:pPr>
      <w:r>
        <w:rPr>
          <w:rStyle w:val="FootnoteReference"/>
        </w:rPr>
        <w:footnoteRef/>
      </w:r>
      <w:r>
        <w:t xml:space="preserve"> </w:t>
      </w:r>
      <w:r>
        <w:t xml:space="preserve">Acreedores que rechazan una reestructuración y reclaman judicialmente el pago completo.</w:t>
      </w:r>
    </w:p>
  </w:footnote>
  <w:footnote w:id="26">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7">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62" Type="http://schemas.openxmlformats.org/officeDocument/2006/relationships/image" Target="media/rId62.png"/><Relationship Id="rId65" Type="http://schemas.openxmlformats.org/officeDocument/2006/relationships/image" Target="media/rId65.png"/><Relationship Id="rId72" Type="http://schemas.openxmlformats.org/officeDocument/2006/relationships/image" Target="media/rId72.png"/><Relationship Id="rId76" Type="http://schemas.openxmlformats.org/officeDocument/2006/relationships/image" Target="media/rId76.png"/><Relationship Id="rId80" Type="http://schemas.openxmlformats.org/officeDocument/2006/relationships/image" Target="media/rId80.png"/><Relationship Id="rId86" Type="http://schemas.openxmlformats.org/officeDocument/2006/relationships/image" Target="media/rId86.png"/><Relationship Id="rId92" Type="http://schemas.openxmlformats.org/officeDocument/2006/relationships/image" Target="media/rId92.png"/><Relationship Id="rId95" Type="http://schemas.openxmlformats.org/officeDocument/2006/relationships/image" Target="media/rId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2026-10-12T01:34:36Z</dcterms:created>
  <dcterms:modified xsi:type="dcterms:W3CDTF">2026-10-12T01:34:36Z</dcterms:modified>
</cp:coreProperties>
</file>

<file path=docProps/custom.xml><?xml version="1.0" encoding="utf-8"?>
<Properties xmlns="http://schemas.openxmlformats.org/officeDocument/2006/custom-properties" xmlns:vt="http://schemas.openxmlformats.org/officeDocument/2006/docPropsVTypes"/>
</file>