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Qué se hizo con la propuesta metodológica</w:t>
      </w:r>
    </w:p>
    <w:bookmarkStart w:id="9" w:name="para-qué-es-este-documento"/>
    <w:p>
      <w:pPr>
        <w:pStyle w:val="Heading1"/>
      </w:pPr>
      <w:r>
        <w:t xml:space="preserve">Para qué es este documento</w:t>
      </w:r>
    </w:p>
    <w:p>
      <w:pPr>
        <w:pStyle w:val="FirstParagraph"/>
      </w:pPr>
      <w:r>
        <w:t xml:space="preserve">Resume qué pasó con cada punto de la propuesta metodológica, por qué se tomó cada decisión y qué tienen que validar Pablo y el equipo antes de seguir. La tesis completa está en Tesis.pdf y en Tesis_borrador.docx; acá va solo lo que toca a la propuesta metodológica.</w:t>
      </w:r>
    </w:p>
    <w:bookmarkEnd w:id="9"/>
    <w:bookmarkStart w:id="10" w:name="X8b620520f06b0ef574dec1e9be908b9409e6bee"/>
    <w:p>
      <w:pPr>
        <w:pStyle w:val="Heading1"/>
      </w:pPr>
      <w:r>
        <w:t xml:space="preserve">La retroalimentación entre la deuda y el sistema</w:t>
      </w:r>
    </w:p>
    <w:p>
      <w:pPr>
        <w:pStyle w:val="FirstParagraph"/>
      </w:pPr>
      <w:r>
        <w:t xml:space="preserve">La propuesta planteaba que la deuda funcione como una</w:t>
      </w:r>
      <w:r>
        <w:t xml:space="preserve"> </w:t>
      </w:r>
      <w:r>
        <w:t xml:space="preserve">“esponja contable”</w:t>
      </w:r>
      <w:r>
        <w:t xml:space="preserve"> </w:t>
      </w:r>
      <w:r>
        <w:t xml:space="preserve">dentro del SVAR: que el riesgo país, el crecimiento y el tipo de cambio muevan la deuda, y que la deuda a su vez mueva al riesgo país y al resultado primario.</w:t>
      </w:r>
    </w:p>
    <w:p>
      <w:pPr>
        <w:pStyle w:val="BodyText"/>
      </w:pPr>
      <w:r>
        <w:t xml:space="preserve">Había tres caminos posibles: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Fácil:</w:t>
      </w:r>
      <w:r>
        <w:t xml:space="preserve"> </w:t>
      </w:r>
      <w:r>
        <w:t xml:space="preserve">dejar la deuda afuera del VAR y calcularla al final con la identidad. No hay retroalimentación.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Intermedio, el que se usó:</w:t>
      </w:r>
      <w:r>
        <w:t xml:space="preserve"> </w:t>
      </w:r>
      <w:r>
        <w:t xml:space="preserve">la deuda rezagada entra en las cuatro ecuaciones del sistema y se acumula trimestre a trimestre con la identidad contable. La retroalimentación va en los dos sentidos: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del sistema cambian la deuda, y la deuda del período anterior cambia el riesgo país, el superávit, el crecimiento y el tipo de cambio del período siguiente.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Difícil:</w:t>
      </w:r>
      <w:r>
        <w:t xml:space="preserve"> </w:t>
      </w:r>
      <w:r>
        <w:t xml:space="preserve">estimar una quinta ecuación para la deuda e identificar también su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contemporáneo.</w:t>
      </w:r>
    </w:p>
    <w:p>
      <w:pPr>
        <w:pStyle w:val="FirstParagraph"/>
      </w:pPr>
      <w:r>
        <w:t xml:space="preserve">Se eligió el segundo porque es el que recomienda la literatura para este problema (Favero y Giavazzi, 2007). Una ecuación estimada para la deuda agrega un error que la identidad no tiene y rompe la contabilidad: la deuda simulada dejaría de cerrar con el déficit, los intereses y la devaluación. En un trimestre, por otra parte, la deuda casi no reacciona a sí misma por fuera de esos componentes, así que el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propio de la deuda no tiene interpretación económica.</w:t>
      </w:r>
    </w:p>
    <w:p>
      <w:pPr>
        <w:pStyle w:val="BodyText"/>
      </w:pPr>
      <w:r>
        <w:t xml:space="preserve">El camino difícil sí se usa en una parte: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, cada réplica regenera la deuda histórica con un VAR auxiliar de cinco variables, para que la incertidumbre de la deuda también entre en los intervalos.</w:t>
      </w:r>
    </w:p>
    <w:p>
      <w:pPr>
        <w:pStyle w:val="BodyText"/>
      </w:pPr>
      <w:r>
        <w:rPr>
          <w:b/>
          <w:bCs/>
        </w:rPr>
        <w:t xml:space="preserve">Qué dio:</w:t>
      </w:r>
      <w:r>
        <w:t xml:space="preserve"> </w:t>
      </w:r>
      <w:r>
        <w:t xml:space="preserve">un punto más de deuda sube el EMBI+ 22 puntos básicos en el trimestre siguiente, pero el intervalo de 90% incluye el cero. La deuda sí tiene un efecto claro sobre el superávit: el coeficiente de impacto sobre el resultado primario trimestral es 0,051 [0,010; 0,103], y el multiplicador de largo plazo de la estimación por mínimos cuadrados, alrededor de 0,19 (sin intervalo). Si se apaga la retroalimentación, la probabilidad de no estabilización casi no cambia (25,6% contra 25,2% en 2031), porque el riesgo país más alto y el superávit más alto se compensan. El abanico, en cambio, se abre mucho más (46,7 puntos de ancho contra 35,3), porque sin la reacción fiscal nada frena la deuda.</w:t>
      </w:r>
    </w:p>
    <w:bookmarkEnd w:id="10"/>
    <w:bookmarkStart w:id="11" w:name="cada-propuesta-y-qué-se-hizo"/>
    <w:p>
      <w:pPr>
        <w:pStyle w:val="Heading1"/>
      </w:pPr>
      <w:r>
        <w:t xml:space="preserve">Cada propuesta y qué se hizo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está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ADF y KPSS; Zivot-Andrews y Bai-Perron para quiebres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Hecho; los quiebres de Bai-Perron (2001T4, 2006T2, 2018T1) entran como variables binarias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4.2, 6.1 y Apéndice A.2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Rezagos por AIC y BIC con residuos sin autocorrelación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mayor rezago estable que no supere al del AIC (3); entre los órdenes estables el AIC elige 2, y esa variante se informa. No se logró eliminar toda la autocorrelación; se informa como limitación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4.5, A.3, A.4 y 7.6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Variables binarias por quiebres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como variable del sistema (retroalimentación)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Camino intermedio explicado arriba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4.2 y 6.1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Contraste con y sin retroalimentación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Tabla 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Cholesky con orden crecimiento, TCRM, EMBI+, resultado primario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Como robustez, con el resultado primario primero y último. La identificación principal es Blanchard y Perotti, la que aprobó Pablo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4.4 y Tabla 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Opción B: tasa en dólares desde el EMBI+ y tasa en pesos aparte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especificación principal; el canal del riesgo país sobre la tasa en pesos va como robustez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4.6 y Tabla 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i/>
                <w:iCs/>
                <w:sz w:val="20"/>
              </w:rPr>
              <w:t xml:space="preserve">Shock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la FED con la tasa sombra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 (Wu y Xia, 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la FED de alta frecuencia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Línea futura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Términos de intercambio (Lanteri, 2019)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Línea futura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Probabilidad de que la deuda supere 100% del PIB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Reemplazada por la métrica del FMI, porque el umbral de 100% no tiene fuente que lo justifique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Módulo de balanza de pagos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Fuera del alcance; línea futura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Restricciones de signo y Blanchard-Quah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se usan: suponer que el tipo de cambio real es neutral en el largo plazo es difícil de sostener para Argentina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Guía de defensa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X-13 para desestacionalizar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Variables binarias estacionales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4.2</w:t>
            </w:r>
          </w:p>
        </w:tc>
      </w:tr>
    </w:tbl>
    <w:bookmarkEnd w:id="11"/>
    <w:bookmarkStart w:id="12" w:name="X654b1d3013a4afe9da41cc057e4efbba9d7e22f"/>
    <w:p>
      <w:pPr>
        <w:pStyle w:val="Heading1"/>
      </w:pPr>
      <w:r>
        <w:t xml:space="preserve">Lo que tienen que validar Pablo y el equipo</w:t>
      </w:r>
    </w:p>
    <w:p>
      <w:pPr>
        <w:pStyle w:val="FirstParagraph"/>
      </w:pPr>
      <w:r>
        <w:rPr>
          <w:b/>
          <w:bCs/>
        </w:rPr>
        <w:t xml:space="preserve">1. El criterio de H1a cambió después de la primera estimación (octubre de 2026).</w:t>
      </w:r>
      <w:r>
        <w:t xml:space="preserve"> </w:t>
      </w:r>
      <w:r>
        <w:t xml:space="preserve">La hipótesis dice que el superávit por sí solo no alcanza. El criterio original era la descomposición de la varianza: que el intervalo de 90% de la diferencia entre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no fiscales y el fiscal excluyera el cero. Esa diferencia (35,9 puntos) tiene un intervalo de [-4,8; 91,2], que incluye el cero, y cambia de signo en algunas variantes, así que con el criterio original H1a no se cumple. La tesis lo declara en la sección 4.7 e informa los dos criterios.</w:t>
      </w:r>
    </w:p>
    <w:p>
      <w:pPr>
        <w:pStyle w:val="BodyText"/>
      </w:pPr>
      <w:r>
        <w:t xml:space="preserve">El criterio nuevo pregunta directamente lo que dice la hipótesis: cuánto hay que subir el resultado primario de todos los años 2026-2035 para que la probabilidad de no estabilización en 2031 baje al 1%, que es la estimación puntual del FMI para Argentina (no un umbral de riesgo bajo del FMI). Hace falta subirlo unos 4,75 puntos: 6,15% del PIB en 2026 y 7,05% en 2031, casi el doble del máximo de las últimas tres décadas (3,6% en la suma de los cuatro trimestres de 2004, con rentas de la propiedad; 3,93% es el máximo de la suma móvil, en 2004T3, y 3,29% sin rentas). Con un superávit de 3,6% la probabilidad sigue en torno a 15%. En 2035 la probabilidad no baja de forma monótona (1,15% con 4,5 puntos y 1,93% con 6,0), porque con la deuda cerca de cero la métrica se activa con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pequeños. Los tamaños de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de la FED también se fijaron en octubre de 2026.</w:t>
      </w:r>
    </w:p>
    <w:p>
      <w:pPr>
        <w:pStyle w:val="BodyText"/>
      </w:pPr>
      <w:r>
        <w:rPr>
          <w:b/>
          <w:bCs/>
        </w:rPr>
        <w:t xml:space="preserve">2. Los resultados cambiaron respecto de las versiones anteriores.</w:t>
      </w:r>
      <w:r>
        <w:t xml:space="preserve"> </w:t>
      </w:r>
      <w:r>
        <w:t xml:space="preserve">Una revisión completa encontró errores en la simulación: faltaba la inflación relativa del escenario del FMI, la retroalimentación usaba la sorpresa del año y no el desvío acumulado, y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informaba promedios de réplicas sesgadas. Todo está corregido y explicado en la Guía de defensa. La estimación central usa coeficientes corregidos por sesgo con autovalor máximo de 0,9998 (casi raíz unitaria), lo que vuelve muy persistentes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y eleva las probabilidades; la tesis lo declara en 4.5 y 6.1. Los números que valen son estos: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Hipótesis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Hace falta un superávit de 7,05% del PIB en 2031 (6,15% en 2026); el máximo histórico es 3,6%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Respaldada con el criterio de suficiencia; no con el criterio original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25,2% en 2031 [19,0; 27,7] contra 1% del FMI; 22,3% en 2035 [15,6; 24,9] contra menos de 3%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Respaldada en las 17 especificaciones alternativas. La comparabilidad con el FMI no está establecida: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su manera nuestros datos dan 23,7% y no reproducen su 1%, y los perímetros difieren (61,0% neta consolidada contra 80,3% federal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Repetir las variaciones de la FED de 2022-2025 (nivel 3,82 puntos más alto desde 2029 hasta 2035) suma 13,0 puntos de probabilidad en 2035 [1,0; 24,8]; un nivel 0,50 puntos más alto en 2026-2035 suma 1,5 [0,1; 3,1]. El efecto sobre la deuda esperada no excluye el cero ([-1,4; 20,4] y [-0,1; 2,4])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Respaldada solo en parte: cumple el criterio al 90% en la probabilidad pero no en la deuda esperada, no resiste Bonferroni, los canales de riesgo, tipo de cambio real y crecimiento no se distinguen del azar (5 de 84 bandas), y el 60% del efecto es el costo directo de la deuda en dólares, que entra en la identidad por construcción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Pendientes del grupo.</w:t>
      </w:r>
      <w:r>
        <w:t xml:space="preserve"> </w:t>
      </w:r>
      <w:r>
        <w:t xml:space="preserve">Acordar qué se recorta para bajar de 69 a unas 60 páginas. Bajar a mano los informes del FGS de la ANSES, que bloquea la descarga automática (los enlaces están en el documento interno de Seguimiento de tareas). Revisar si el título debería cambiar:</w:t>
      </w:r>
      <w:r>
        <w:t xml:space="preserve"> </w:t>
      </w:r>
      <w:r>
        <w:t xml:space="preserve">“solvencia intertemporal”</w:t>
      </w:r>
      <w:r>
        <w:t xml:space="preserve"> </w:t>
      </w:r>
      <w:r>
        <w:t xml:space="preserve">y</w:t>
      </w:r>
      <w:r>
        <w:t xml:space="preserve"> </w:t>
      </w:r>
      <w:r>
        <w:t xml:space="preserve">“post-2025”</w:t>
      </w:r>
      <w:r>
        <w:t xml:space="preserve"> </w:t>
      </w:r>
      <w:r>
        <w:t xml:space="preserve">prometen algo más amplio que lo que se mide, que es la probabilidad de que la deuda no se estabilice entre 2026 y 2035.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 se hizo con la propuesta metodológica</dc:title>
  <dc:creator/>
  <cp:keywords/>
  <dcterms:created xsi:type="dcterms:W3CDTF">2026-10-12T20:13:59Z</dcterms:created>
  <dcterms:modified xsi:type="dcterms:W3CDTF">2026-10-12T20:13:59Z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