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9" w:name="resumen"/>
    <w:p>
      <w:pPr>
        <w:pStyle w:val="Heading1"/>
      </w:pPr>
      <w:r>
        <w:t xml:space="preserve">Resumen</w:t>
      </w:r>
    </w:p>
    <w:p>
      <w:pPr>
        <w:pStyle w:val="FirstParagraph"/>
      </w:pPr>
      <w:r>
        <w:rPr>
          <w:b/>
          <w:bCs/>
        </w:rPr>
        <w:t xml:space="preserve">Objetivo.</w:t>
      </w:r>
      <w:r>
        <w:t xml:space="preserve"> </w:t>
      </w:r>
      <w:r>
        <w:t xml:space="preserve">La tesis evalúa la sostenibilidad de la deuda pública consolidada argentina (Tesoro nacional y Banco Central) en 2026-2035, a partir de sus determinantes históricos (1996-2025): crecimiento, tipo de cambio real, riesgo país y resultado primario.</w:t>
      </w:r>
    </w:p>
    <w:p>
      <w:pPr>
        <w:pStyle w:val="BodyText"/>
      </w:pPr>
      <w:r>
        <w:rPr>
          <w:b/>
          <w:bCs/>
        </w:rPr>
        <w:t xml:space="preserve">Metodología.</w:t>
      </w:r>
      <w:r>
        <w:t xml:space="preserve"> </w:t>
      </w:r>
      <w:r>
        <w:t xml:space="preserve">Se estima un modelo de vectores autorregresivos estructural (SVARX) trimestral, con la tasa de la Reserva Federal y la volatilidad financiera global como variables exógenas. La deuda consolidada neta sigue el criterio del FMI (2021), salvo las tenencias del FGS y otros organismos públicos, que no se descuentan. Se simula la deuda alrededor del escenario base del FMI de 2026 y se mide, con la métrica del FMI, la probabilidad de que no se estabilice.</w:t>
      </w:r>
    </w:p>
    <w:p>
      <w:pPr>
        <w:pStyle w:val="BodyText"/>
      </w:pPr>
      <w:r>
        <w:rPr>
          <w:b/>
          <w:bCs/>
        </w:rPr>
        <w:t xml:space="preserve">Resultados.</w:t>
      </w:r>
      <w:r>
        <w:t xml:space="preserve"> </w:t>
      </w:r>
      <w:r>
        <w:t xml:space="preserve">La probabilidad de no estabilización es de 25,2% en 2031 (intervalo de 90%: 19,0% a 27,7%), frente a 1% en el análisis del FMI para la deuda federal bruta, y de 22,3% en 2035, frente a menos de 3%. El resultado se mantiene en 17 especificaciones alternativas. Para llevar la probabilidad de 2031 al 1% del FMI, el superávit primario tendría que llegar a 7,05% del PIB en 2031, casi el doble del máximo de tres décadas (3,6%). Un endurecimiento de la Reserva Federal como el de 2022-2025 eleva esa probabilidad, pero el efecto sobre la deuda esperada no es significativo y pasa sobre todo por el costo de la deuda en dólares.</w:t>
      </w:r>
    </w:p>
    <w:p>
      <w:pPr>
        <w:pStyle w:val="BodyText"/>
      </w:pPr>
      <w:r>
        <w:rPr>
          <w:b/>
          <w:bCs/>
        </w:rPr>
        <w:t xml:space="preserve">Conclusión.</w:t>
      </w:r>
      <w:r>
        <w:t xml:space="preserve"> </w:t>
      </w:r>
      <w:r>
        <w:t xml:space="preserve">El superávit primario es necesario pero, por sí solo, no basta para estabilizar la deuda. Con esta implementación y estos datos, la probabilidad es mayor que la del FMI; la diferencia no se pudo atribuir a una causa porque el procedimiento del FMI no se reproduce con los datos disponibles.</w:t>
      </w:r>
    </w:p>
    <w:p>
      <w:pPr>
        <w:pStyle w:val="BodyText"/>
      </w:pPr>
      <w:r>
        <w:rPr>
          <w:b/>
          <w:bCs/>
        </w:rPr>
        <w:t xml:space="preserve">Palabras clave:</w:t>
      </w:r>
      <w:r>
        <w:t xml:space="preserve"> </w:t>
      </w:r>
      <w:r>
        <w:t xml:space="preserve">deuda pública, sostenibilidad fiscal, SVARX, gráfico de abanico, riesgo soberano, Argentina.</w:t>
      </w:r>
    </w:p>
    <w:p>
      <w:pPr>
        <w:pStyle w:val="BodyText"/>
      </w:pPr>
      <w:r>
        <w:rPr>
          <w:b/>
          <w:bCs/>
        </w:rPr>
        <w:t xml:space="preserve">Clasificación JEL:</w:t>
      </w:r>
      <w:r>
        <w:t xml:space="preserve"> </w:t>
      </w:r>
      <w:r>
        <w:t xml:space="preserve">C32, E62, F34, H63, H68.</w:t>
      </w:r>
    </w:p>
    <w:bookmarkEnd w:id="9"/>
    <w:bookmarkStart w:id="23" w:name="introducción"/>
    <w:p>
      <w:pPr>
        <w:pStyle w:val="Heading1"/>
      </w:pPr>
      <w:r>
        <w:t xml:space="preserve">1. Introducción</w:t>
      </w:r>
    </w:p>
    <w:bookmarkStart w:id="13"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10"/>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
          <w:iCs/>
        </w:rPr>
        <w:t xml:space="preserve">default</w:t>
      </w:r>
      <w:r>
        <w:rPr>
          <w:rStyle w:val="FootnoteReference"/>
        </w:rPr>
        <w:footnoteReference w:id="11"/>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
          <w:iCs/>
        </w:rPr>
        <w:t xml:space="preserve">stock</w:t>
      </w:r>
      <w:r>
        <w:rPr>
          <w:rStyle w:val="FootnoteReference"/>
        </w:rPr>
        <w:footnoteReference w:id="12"/>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3"/>
    <w:bookmarkStart w:id="14" w:name="planteamiento-del-problema"/>
    <w:p>
      <w:pPr>
        <w:pStyle w:val="Heading2"/>
      </w:pPr>
      <w:r>
        <w:t xml:space="preserve">1.2 Planteamiento del problema</w:t>
      </w:r>
    </w:p>
    <w:p>
      <w:pPr>
        <w:pStyle w:val="FirstParagraph"/>
      </w:pPr>
      <w:r>
        <w:t xml:space="preserve">El problema que aborda esta tesis es si un superávit fiscal primario alcanza para asegurar la sostenibilidad de la deuda en el mediano plazo. La alternativa es que los determinantes estructurales de la economía argentina condicionen el resultado fiscal de modo que, aun con superávit, la deuda no se estabilice.</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también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
          <w:iCs/>
        </w:rPr>
        <w:t xml:space="preserve">default</w:t>
      </w:r>
      <w:r>
        <w:t xml:space="preserve"> </w:t>
      </w:r>
      <w:r>
        <w:t xml:space="preserve">(Reinhart et al., 2003). La incertidumbre macroeconómica reduce, por otra parte, el nivel de deuda que un gobierno puede sostener (Mendoza y Oviedo, 2009), y existe un límite político e institucional a los superávits que una sociedad acepta de manera prolongada, conocido como fatiga fiscal (Ghosh et al., 2013).</w:t>
      </w:r>
    </w:p>
    <w:bookmarkEnd w:id="14"/>
    <w:bookmarkStart w:id="15" w:name="preguntas-de-investigación"/>
    <w:p>
      <w:pPr>
        <w:pStyle w:val="Heading2"/>
      </w:pPr>
      <w:r>
        <w:t xml:space="preserve">1.3 Preguntas de investigación</w:t>
      </w:r>
    </w:p>
    <w:p>
      <w:pPr>
        <w:pStyle w:val="FirstParagraph"/>
      </w:pPr>
      <w:r>
        <w:t xml:space="preserve">La pregunta principal tiene dos partes. La deuda pública consolidada suma la del Tesoro nacional y la del Banco Central de la República Argentina (BCRA). La primera parte es: ¿en qué medida el crecimiento, el tipo de cambio real, el riesgo país y el resultado primario de Argentina (1996-2025) condicionan la sostenibilidad de esa deuda consolidada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También condiciona la transmisión de la política monetaria doméstica en las economías emergentes (Renzhi y Beirne, 2024). En Argentina, ese último canal operó durante buena parte del período histórico a través del costo de los pasivos remunerados del BCRA, cuyo</w:t>
      </w:r>
      <w:r>
        <w:t xml:space="preserve"> </w:t>
      </w:r>
      <w:r>
        <w:rPr>
          <w:i/>
          <w:iCs/>
        </w:rPr>
        <w:t xml:space="preserve">stock</w:t>
      </w:r>
      <w:r>
        <w:t xml:space="preserve"> </w:t>
      </w:r>
      <w:r>
        <w:t xml:space="preserve">llegó a 18,4% del producto interno bruto (PIB) en 2023 y cayó a 2,2% en 2024, cuando la esterilización monetaria pasó al Tesoro (FMI, 2025, anexo II, cuadro 2).</w:t>
      </w:r>
    </w:p>
    <w:bookmarkEnd w:id="15"/>
    <w:bookmarkStart w:id="17" w:name="objetivos"/>
    <w:p>
      <w:pPr>
        <w:pStyle w:val="Heading2"/>
      </w:pPr>
      <w:r>
        <w:t xml:space="preserve">1.4 Objetivos</w:t>
      </w:r>
    </w:p>
    <w:p>
      <w:pPr>
        <w:pStyle w:val="FirstParagraph"/>
      </w:pPr>
      <w:r>
        <w:t xml:space="preserve">El objetivo general es evaluar la dinámica de la deuda pública consolidada argentina (Tesoro nacional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(deuda del Tesoro nacional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los bloques de</w:t>
      </w:r>
      <w:r>
        <w:t xml:space="preserve"> </w:t>
      </w:r>
      <w:r>
        <w:rPr>
          <w:i/>
          <w:iCs/>
        </w:rPr>
        <w:t xml:space="preserve">shocks</w:t>
      </w:r>
      <w:r>
        <w:rPr>
          <w:rStyle w:val="FootnoteReference"/>
        </w:rPr>
        <w:footnoteReference w:id="16"/>
      </w:r>
      <w:r>
        <w:t xml:space="preserve"> </w:t>
      </w:r>
      <w:r>
        <w:t xml:space="preserve">fiscal, de actividad y cambiario y de riesgo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7"/>
    <w:bookmarkStart w:id="18" w:name="hipótesis"/>
    <w:p>
      <w:pPr>
        <w:pStyle w:val="Heading2"/>
      </w:pPr>
      <w:r>
        <w:t xml:space="preserve">1.5 Hipótesis</w:t>
      </w:r>
    </w:p>
    <w:p>
      <w:pPr>
        <w:pStyle w:val="FirstParagraph"/>
      </w:pPr>
      <w:r>
        <w:t xml:space="preserve">H1a. Los determinantes macroeconómicos históricos de Argentina en 1996-2025 (el crecimiento, el tipo de cambio real, el riesgo país y el resultado primario) condicionan la sostenibilidad de la deuda pública consolidada (Tesoro nacional y BCRA), de modo que el superávit primario, por sí solo, no basta para estabilizarla en 2026-2035.</w:t>
      </w:r>
    </w:p>
    <w:p>
      <w:pPr>
        <w:pStyle w:val="BodyText"/>
      </w:pPr>
      <w:r>
        <w:t xml:space="preserve">H1b. La probabilidad de que la deuda consolidada no se estabilice, medida en 2031 (el último año del abanico de mediano plazo del FMI) y en 2035 (el final del horizonte de proyección y de su abanico de diez años), es mayor que la que el FMI reporta para la deuda federal bruta en su análisis más reciente: alrededor de 1% a mediano plazo y menos de 3% a diez años (FMI, 2026).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El</w:t>
      </w:r>
      <w:r>
        <w:t xml:space="preserve"> </w:t>
      </w:r>
      <w:r>
        <w:rPr>
          <w:i/>
          <w:iCs/>
        </w:rPr>
        <w:t xml:space="preserve">shock</w:t>
      </w:r>
      <w:r>
        <w:t xml:space="preserve"> </w:t>
      </w:r>
      <w:r>
        <w:t xml:space="preserve">se mide de dos maneras: un desvío estándar de la variación trimestral de la tasa (convención de la literatura de vectores autorregresivos, VAR) y una repetición de la senda efectiva de la tasa en 2022-2025.</w:t>
      </w:r>
    </w:p>
    <w:bookmarkEnd w:id="18"/>
    <w:bookmarkStart w:id="20"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rezagada en todas las ecuaciones del sistema y se acumula con la identidad contable, de modo que los</w:t>
      </w:r>
      <w:r>
        <w:t xml:space="preserve"> </w:t>
      </w:r>
      <w:r>
        <w:rPr>
          <w:i/>
          <w:iCs/>
        </w:rPr>
        <w:t xml:space="preserve">shocks</w:t>
      </w:r>
      <w:r>
        <w:t xml:space="preserve"> </w:t>
      </w:r>
      <w:r>
        <w:t xml:space="preserve">se transmiten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9"/>
      </w:r>
      <w:r>
        <w:t xml:space="preserve"> </w:t>
      </w:r>
      <w:r>
        <w:t xml:space="preserve">y en las métricas que utiliza el FMI para evaluar el riesgo soberano.</w:t>
      </w:r>
    </w:p>
    <w:bookmarkEnd w:id="20"/>
    <w:bookmarkStart w:id="21" w:name="justificación"/>
    <w:p>
      <w:pPr>
        <w:pStyle w:val="Heading2"/>
      </w:pPr>
      <w:r>
        <w:t xml:space="preserve">1.7 Justificación</w:t>
      </w:r>
    </w:p>
    <w:p>
      <w:pPr>
        <w:pStyle w:val="FirstParagraph"/>
      </w:pPr>
      <w:r>
        <w:t xml:space="preserve">La Ley 27.612 de Fortalecimiento de la Sostenibilidad de la Deuda Pública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en la literatura revisada (sección 2.9) no se encontró una estimación para Argentina con</w:t>
      </w:r>
      <w:r>
        <w:t xml:space="preserve"> </w:t>
      </w:r>
      <w:r>
        <w:rPr>
          <w:i/>
          <w:iCs/>
        </w:rPr>
        <w:t xml:space="preserve">shocks</w:t>
      </w:r>
      <w:r>
        <w:t xml:space="preserve"> </w:t>
      </w:r>
      <w:r>
        <w:t xml:space="preserve">identificados sobre el perímetro consolidado.</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que aplicó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
          <w:iCs/>
        </w:rPr>
        <w:t xml:space="preserve">shock</w:t>
      </w:r>
      <w:r>
        <w:t xml:space="preserve"> </w:t>
      </w:r>
      <w:r>
        <w:t xml:space="preserve">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21"/>
    <w:bookmarkStart w:id="22"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w:t>
      </w:r>
      <w:r>
        <w:t xml:space="preserve"> </w:t>
      </w:r>
      <w:r>
        <w:rPr>
          <w:i/>
          <w:iCs/>
        </w:rPr>
        <w:t xml:space="preserve">shock</w:t>
      </w:r>
      <w:r>
        <w:t xml:space="preserve"> </w:t>
      </w:r>
      <w:r>
        <w:t xml:space="preserve">de la FED. El Capítulo 7 los discute y presenta, en la sección 7.6, las limitaciones. El Capítulo 8 reúne las conclusiones. El Apéndice estadístico completa las pruebas y estimaciones.</w:t>
      </w:r>
    </w:p>
    <w:p>
      <w:r>
        <w:pict>
          <v:rect style="width:0;height:1.5pt" o:hralign="center" o:hrstd="t" o:hr="t"/>
        </w:pict>
      </w:r>
    </w:p>
    <w:bookmarkEnd w:id="22"/>
    <w:bookmarkEnd w:id="23"/>
    <w:bookmarkStart w:id="39" w:name="antecedentes"/>
    <w:p>
      <w:pPr>
        <w:pStyle w:val="Heading1"/>
      </w:pPr>
      <w:r>
        <w:t xml:space="preserve">2. Antecedentes</w:t>
      </w:r>
    </w:p>
    <w:p>
      <w:pPr>
        <w:pStyle w:val="FirstParagraph"/>
      </w:pPr>
      <w:r>
        <w:t xml:space="preserve">Este capítulo ordena la literatura relevante en ocho ejes. Los tres primeros provienen de la literatura argentina reciente: las limitaciones de los enfoques contables (Rodríguez, 2023; Sanches, 2019), la economía política del endeudamiento y de las reestructuraciones (Aruguete, 2021; Roldán, 2021) y las consecuencias materiales del ciclo financiero (Bohoslavsky y Cantamutto, 2024; Cantamutto et al., 2024). El cuarto reúne la discusión internacional sobre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w:t>
      </w:r>
      <w:r>
        <w:t xml:space="preserve"> </w:t>
      </w:r>
      <w:r>
        <w:rPr>
          <w:i/>
          <w:iCs/>
        </w:rPr>
        <w:t xml:space="preserve">default</w:t>
      </w:r>
      <w:r>
        <w:t xml:space="preserve"> </w:t>
      </w:r>
      <w:r>
        <w:t xml:space="preserve">(Hébert y Schreger, 2017). El capítulo cierra con el área de vacancia.</w:t>
      </w:r>
    </w:p>
    <w:bookmarkStart w:id="24"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4"/>
    <w:bookmarkStart w:id="26"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5"/>
      </w:r>
      <w:r>
        <w:t xml:space="preserve">.</w:t>
      </w:r>
    </w:p>
    <w:p>
      <w:pPr>
        <w:pStyle w:val="BodyText"/>
      </w:pPr>
      <w:r>
        <w:t xml:space="preserve">Para esta tesis, estos trabajos importan porque ubican el origen de la última reestructuración en el perfil de vencimientos en moneda extranjera, el tramo de la deuda que la identidad de acumulación del Capítulo 3 separa del tramo en pesos.</w:t>
      </w:r>
    </w:p>
    <w:bookmarkEnd w:id="26"/>
    <w:bookmarkStart w:id="27"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 Para esta tesis, el eje respalda tratar la restricción externa como contexto del análisis (sección 3.1) y recuerda que un superávit primario sostenido tiene costos sociales que el modelo no mide.</w:t>
      </w:r>
    </w:p>
    <w:bookmarkEnd w:id="27"/>
    <w:bookmarkStart w:id="28"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Junto a los trabajos que la documentan, la literatura incluye otros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que reportan Ghosh et al. (2013) es una regularidad genuina o un efecto de agregar países heterogéneos en un solo panel. Usan el estimador de grupos medios (Pesaran y Smith, 1995), que permite una pendiente de reacción fiscal distinta para cada país, y encuentran heterogeneidad significativa: la fatiga fiscal es el promedio de comportamientos muy distintos entre países y no un rasgo compartido por todos. La implicancia para un análisis de un solo país, y en particular de Argentina, es directa. Una función de reacción estimada sobre economías avanzadas no es transferible sin más, porque esos parámetros provienen de países con marcos de disciplina institucional que Argentina no tiene. Esta advertencia respalda el diseño de caso único de esta tesis.</w:t>
      </w:r>
    </w:p>
    <w:bookmarkEnd w:id="28"/>
    <w:bookmarkStart w:id="31"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función de reacción incluyó un término cúbico de la deuda rezagada, tomado de la versión de documento de trabajo de Ghosh et al. (2013), y encontró que la respuesta del superávit primario se debilita a partir de una deuda de 80% a 90% del PIB. Esa noción de fatiga fiscal la absorbieron luego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w:t>
      </w:r>
      <w:r>
        <w:t xml:space="preserve"> </w:t>
      </w:r>
      <w:r>
        <w:rPr>
          <w:i/>
          <w:iCs/>
        </w:rPr>
        <w:t xml:space="preserve">shocks</w:t>
      </w:r>
      <w:r>
        <w:t xml:space="preserve"> </w:t>
      </w:r>
      <w:r>
        <w:t xml:space="preserve">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de modo que la sostenibilidad de la deuda en la región depende en buena medida de factores de empuje externos (</w:t>
      </w:r>
      <w:r>
        <w:rPr>
          <w:i/>
          <w:iCs/>
        </w:rPr>
        <w:t xml:space="preserve">push</w:t>
      </w:r>
      <w:r>
        <w:t xml:space="preserve">)</w:t>
      </w:r>
      <w:r>
        <w:rPr>
          <w:rStyle w:val="FootnoteReference"/>
        </w:rPr>
        <w:footnoteReference w:id="29"/>
      </w:r>
      <w:r>
        <w:t xml:space="preserve">. Adler et al. (2016) estimaron un VAR de panel de los flujos brutos de capital de 38 economías emergentes entre 1990 y 2012. Los inversores locales cumplen un papel estabilizador ante los</w:t>
      </w:r>
      <w:r>
        <w:t xml:space="preserve"> </w:t>
      </w:r>
      <w:r>
        <w:rPr>
          <w:i/>
          <w:iCs/>
        </w:rPr>
        <w:t xml:space="preserve">shocks</w:t>
      </w:r>
      <w:r>
        <w:t xml:space="preserve"> </w:t>
      </w:r>
      <w:r>
        <w:t xml:space="preserve">de incertidumbre global y de la tasa larga de Estados Unidos, aunque en el segundo caso la compensación es mucho más limitada. Ante los</w:t>
      </w:r>
      <w:r>
        <w:t xml:space="preserve"> </w:t>
      </w:r>
      <w:r>
        <w:rPr>
          <w:i/>
          <w:iCs/>
        </w:rPr>
        <w:t xml:space="preserve">shocks</w:t>
      </w:r>
      <w:r>
        <w:t xml:space="preserve"> </w:t>
      </w:r>
      <w:r>
        <w:t xml:space="preserve">de la tasa corta, residentes y no residentes retiran capital de los emergentes por igual, con magnitudes económicamente poco significativas.</w:t>
      </w:r>
    </w:p>
    <w:p>
      <w:pPr>
        <w:pStyle w:val="BodyText"/>
      </w:pPr>
      <w:r>
        <w:t xml:space="preserve">La literatura de sistemas de alerta temprana (</w:t>
      </w:r>
      <w:r>
        <w:rPr>
          <w:i/>
          <w:iCs/>
        </w:rPr>
        <w:t xml:space="preserve">early warning systems</w:t>
      </w:r>
      <w:r>
        <w:t xml:space="preserve">)</w:t>
      </w:r>
      <w:r>
        <w:rPr>
          <w:rStyle w:val="FootnoteReference"/>
        </w:rPr>
        <w:footnoteReference w:id="30"/>
      </w:r>
      <w:r>
        <w:t xml:space="preserve"> </w:t>
      </w:r>
      <w:r>
        <w:t xml:space="preserve">buscó anticipar crisis de deuda con otro objetivo: maximizar el poder predictivo, sin pretender explicar mecanismos. Wijayanti y Rachmanira (2020) aplicaron el enfoque de señales de Kaminsky et al. (1998)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31"/>
    <w:bookmarkStart w:id="32"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 y Prescott (1997)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w:t>
      </w:r>
      <w:r>
        <w:t xml:space="preserve"> </w:t>
      </w:r>
      <w:r>
        <w:rPr>
          <w:i/>
          <w:iCs/>
        </w:rPr>
        <w:t xml:space="preserve">stock</w:t>
      </w:r>
      <w:r>
        <w:t xml:space="preserve"> </w:t>
      </w:r>
      <w:r>
        <w:t xml:space="preserve">(descalce patrimonial). Ambos coinciden en que el diagnóstico fiscal de corto plazo no bastaba para juzgar la sostenibilidad.</w:t>
      </w:r>
    </w:p>
    <w:bookmarkEnd w:id="32"/>
    <w:bookmarkStart w:id="35"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w:t>
      </w:r>
      <w:r>
        <w:rPr>
          <w:rStyle w:val="FootnoteReference"/>
        </w:rPr>
        <w:footnoteReference w:id="33"/>
      </w:r>
      <w:r>
        <w:t xml:space="preserve">.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el valor presente de los ingresos menos el de los gastos y pasivos explícitos. Lo simularon con un</w:t>
      </w:r>
      <w:r>
        <w:t xml:space="preserve"> </w:t>
      </w:r>
      <w:r>
        <w:rPr>
          <w:i/>
          <w:iCs/>
        </w:rPr>
        <w:t xml:space="preserve">bootstrap</w:t>
      </w:r>
      <w:r>
        <w:rPr>
          <w:rStyle w:val="FootnoteReference"/>
        </w:rPr>
        <w:footnoteReference w:id="34"/>
      </w:r>
      <w:r>
        <w:t xml:space="preserve"> </w:t>
      </w:r>
      <w:r>
        <w:t xml:space="preserve">de un VAR de tres variables (PIB, tipo de cambio real y tasa internacional). Para Argentina obtuvieron un patrimonio neto medio de 2,2 veces el PIB, sin valores negativos en la distribución simulada.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w:t>
      </w:r>
      <w:r>
        <w:t xml:space="preserve"> </w:t>
      </w:r>
      <w:r>
        <w:rPr>
          <w:i/>
          <w:iCs/>
        </w:rPr>
        <w:t xml:space="preserve">shock</w:t>
      </w:r>
      <w:r>
        <w:t xml:space="preserve"> </w:t>
      </w:r>
      <w:r>
        <w:t xml:space="preserve">habría producido un deterioro severo.</w:t>
      </w:r>
    </w:p>
    <w:bookmarkEnd w:id="35"/>
    <w:bookmarkStart w:id="36" w:name="octavo-eje-el-costo-real-del-default"/>
    <w:p>
      <w:pPr>
        <w:pStyle w:val="Heading2"/>
      </w:pPr>
      <w:r>
        <w:t xml:space="preserve">2.8 Octavo eje: el costo real del</w:t>
      </w:r>
      <w:r>
        <w:t xml:space="preserve"> </w:t>
      </w:r>
      <w:r>
        <w:rPr>
          <w:i/>
          <w:iCs/>
        </w:rPr>
        <w:t xml:space="preserve">default</w:t>
      </w:r>
    </w:p>
    <w:p>
      <w:pPr>
        <w:pStyle w:val="FirstParagraph"/>
      </w:pPr>
      <w:r>
        <w:t xml:space="preserve">El último antecedente discute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w:t>
      </w:r>
      <w:r>
        <w:t xml:space="preserve"> </w:t>
      </w:r>
      <w:r>
        <w:rPr>
          <w:i/>
          <w:iCs/>
        </w:rPr>
        <w:t xml:space="preserve">default</w:t>
      </w:r>
      <w:r>
        <w:t xml:space="preserve"> </w:t>
      </w:r>
      <w:r>
        <w:t xml:space="preserve">percibida por el mercado con independencia de las noticias económicas del día. Con identificación por heterocedasticidad (Rigobon, 2003; Rigobon y Sack, 2004), estimaron que un aumento de 10 puntos porcentuales en la probabilidad de</w:t>
      </w:r>
      <w:r>
        <w:t xml:space="preserve"> </w:t>
      </w:r>
      <w:r>
        <w:rPr>
          <w:i/>
          <w:iCs/>
        </w:rPr>
        <w:t xml:space="preserve">default</w:t>
      </w:r>
      <w:r>
        <w:t xml:space="preserve">,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 Para esta tesis, ese costo explica por qué interesa medir la probabilidad de que la deuda no se estabilice, aunque la tesis no estima la probabilidad de un</w:t>
      </w:r>
      <w:r>
        <w:t xml:space="preserve"> </w:t>
      </w:r>
      <w:r>
        <w:rPr>
          <w:i/>
          <w:iCs/>
        </w:rPr>
        <w:t xml:space="preserve">default</w:t>
      </w:r>
      <w:r>
        <w:t xml:space="preserve">.</w:t>
      </w:r>
    </w:p>
    <w:bookmarkEnd w:id="36"/>
    <w:bookmarkStart w:id="38"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sin estimar un sistema en el que los</w:t>
      </w:r>
      <w:r>
        <w:t xml:space="preserve"> </w:t>
      </w:r>
      <w:r>
        <w:rPr>
          <w:i/>
          <w:iCs/>
        </w:rPr>
        <w:t xml:space="preserve">shocks</w:t>
      </w:r>
      <w:r>
        <w:t xml:space="preserve"> </w:t>
      </w:r>
      <w:r>
        <w:t xml:space="preserve">se propaguen entre el resultado fiscal, el riesgo país, el tipo de cambio real y la actividad. La literatura internacional modela esa transmisión, en general sobre paneles de países (Medeiros, 2012; Adler et al., 2016). Algunos trabajos incluyen a Argentina. Celasun et al. (2006) aplican su gráfico de abanico a una muestra que contiene a Argentina, con un VAR en forma reducida, sin</w:t>
      </w:r>
      <w:r>
        <w:t xml:space="preserve"> </w:t>
      </w:r>
      <w:r>
        <w:rPr>
          <w:i/>
          <w:iCs/>
        </w:rPr>
        <w:t xml:space="preserve">shocks</w:t>
      </w:r>
      <w:r>
        <w:t xml:space="preserve"> </w:t>
      </w:r>
      <w:r>
        <w:t xml:space="preserve">identificados, y una función de reacción fiscal estimada en panel. Levy Yeyati y Sturzenegger (2023) estiman un VAR para Argentina, pero la variable que simulan es el patrimonio neto del sector público. Canova (2005) identifica los</w:t>
      </w:r>
      <w:r>
        <w:t xml:space="preserve"> </w:t>
      </w:r>
      <w:r>
        <w:rPr>
          <w:i/>
          <w:iCs/>
        </w:rPr>
        <w:t xml:space="preserve">shocks</w:t>
      </w:r>
      <w:r>
        <w:t xml:space="preserve"> </w:t>
      </w:r>
      <w:r>
        <w:t xml:space="preserve">de Estados Unidos y estudia su transmisión a América Latina, sin llevarlos a la dinámica de la deuda. En la literatura revisada no se encontró una estimación para Argentina como caso único, sobre el perímetro consolidado del Tesoro y el BCRA, cuyo resultado se exprese en la métrica de no estabilización del FMI.</w:t>
      </w:r>
    </w:p>
    <w:p>
      <w:pPr>
        <w:pStyle w:val="BodyText"/>
      </w:pPr>
      <w:r>
        <w:t xml:space="preserve">En la evaluación más reciente de funciones de reacción fiscal para América Latina y el Caribe, Argentina no integra el grupo de países con series aptas para una estimación individual (González y Hernández, 2023). Esta tesis atiende esa objeción con frecuencia trimestral, que da 111 observaciones en la muestra de estimación (1998T2-2025T4), y con variables binarias para los quiebres estructurales; la longitud y la inestabilidad de las series argentinas siguen siendo, aun así, una limitación del diseño (sección 7.6). El gráfico de abanico del FMI, por su parte, aplica al escenario base</w:t>
      </w:r>
      <w:r>
        <w:t xml:space="preserve"> </w:t>
      </w:r>
      <w:r>
        <w:rPr>
          <w:i/>
          <w:iCs/>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
          <w:bCs/>
        </w:rPr>
        <w:t xml:space="preserve">Un</w:t>
      </w:r>
      <w:r>
        <w:rPr>
          <w:b/>
          <w:bCs/>
        </w:rPr>
        <w:t xml:space="preserve"> </w:t>
      </w:r>
      <w:r>
        <w:rPr>
          <w:b/>
          <w:bCs/>
          <w:i/>
          <w:iCs/>
        </w:rPr>
        <w:t xml:space="preserve">shock</w:t>
      </w:r>
      <w:r>
        <w:rPr>
          <w:b/>
          <w:bCs/>
        </w:rPr>
        <w:t xml:space="preserve"> </w:t>
      </w:r>
      <w:r>
        <w:rPr>
          <w:b/>
          <w:bCs/>
        </w:rPr>
        <w:t xml:space="preserve">externo identificado.</w:t>
      </w:r>
      <w:r>
        <w:t xml:space="preserve"> </w:t>
      </w:r>
      <w:r>
        <w:t xml:space="preserve">Los efectos de la política monetaria de Estados Unidos sobre las economías emergentes se estudiaron sobre los</w:t>
      </w:r>
      <w:r>
        <w:t xml:space="preserve"> </w:t>
      </w:r>
      <w:r>
        <w:rPr>
          <w:i/>
          <w:iCs/>
        </w:rPr>
        <w:t xml:space="preserve">spreads</w:t>
      </w:r>
      <w:r>
        <w:rPr>
          <w:rStyle w:val="FootnoteReference"/>
        </w:rPr>
        <w:footnoteReference w:id="37"/>
      </w:r>
      <w:r>
        <w:t xml:space="preserve"> </w:t>
      </w:r>
      <w:r>
        <w:t xml:space="preserve">y la actividad (Uribe y Yue, 2006), sobre las variables macroeconómicas de América Latina (Canova, 2005) y sobre los flujos de capital en paneles de países (Adler et al., 2016). En la literatura revisada no se encontró un trabajo que traduzca esos efectos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w:t>
      </w:r>
      <w:r>
        <w:t xml:space="preserve"> </w:t>
      </w:r>
      <w:r>
        <w:rPr>
          <w:i/>
          <w:iCs/>
        </w:rPr>
        <w:t xml:space="preserve">stocks</w:t>
      </w:r>
      <w:r>
        <w:t xml:space="preserve">: 110,8% del PIB en 2023 y 51,5% en 2024, con pasivos del BCRA que pasaron de 18,4% a 2,2% del PIB (FMI, 2025, anexo II, cuadro 2). En la literatura revisada no se encontró un trabajo que estime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Es plausible que ese</w:t>
      </w:r>
      <w:r>
        <w:t xml:space="preserve"> </w:t>
      </w:r>
      <w:r>
        <w:rPr>
          <w:i/>
          <w:iCs/>
        </w:rPr>
        <w:t xml:space="preserve">stock</w:t>
      </w:r>
      <w:r>
        <w:t xml:space="preserve"> </w:t>
      </w:r>
      <w:r>
        <w:t xml:space="preserve">haya respondido a los mismos</w:t>
      </w:r>
      <w:r>
        <w:t xml:space="preserve"> </w:t>
      </w:r>
      <w:r>
        <w:rPr>
          <w:i/>
          <w:iCs/>
        </w:rPr>
        <w:t xml:space="preserve">shocks</w:t>
      </w:r>
      <w:r>
        <w:t xml:space="preserve"> </w:t>
      </w:r>
      <w:r>
        <w:t xml:space="preserve">cambiarios y de riesgo que la deuda del Tesoro, y esta tesis lo trata como una hipótesis. Un modelo estimado solo sobre la deuda del Tesoro omite esa parte del endeudamiento y puede subestimar la sensibilidad de la deuda a esos</w:t>
      </w:r>
      <w:r>
        <w:t xml:space="preserve"> </w:t>
      </w:r>
      <w:r>
        <w:rPr>
          <w:i/>
          <w:iCs/>
        </w:rPr>
        <w:t xml:space="preserve">shocks</w:t>
      </w:r>
      <w:r>
        <w:t xml:space="preserve">. Esto sigue siendo cierto aunque, desde 2024, los pasivos remunerados del BCRA se hayan reducido a niveles mínimos. Los pases pasivos se suspendieron en julio de 2024 y su</w:t>
      </w:r>
      <w:r>
        <w:t xml:space="preserve"> </w:t>
      </w:r>
      <w:r>
        <w:rPr>
          <w:i/>
          <w:iCs/>
        </w:rPr>
        <w:t xml:space="preserve">stock</w:t>
      </w:r>
      <w:r>
        <w:t xml:space="preserve"> </w:t>
      </w:r>
      <w:r>
        <w:t xml:space="preserve">pasó al Tesoro como Letras Fiscales de Liquidez (LEFI), que el BCRA dejó de ofrecer en julio de 2025 (BCRA, 2025). A fin de 2025 el</w:t>
      </w:r>
      <w:r>
        <w:t xml:space="preserve"> </w:t>
      </w:r>
      <w:r>
        <w:rPr>
          <w:i/>
          <w:iCs/>
        </w:rPr>
        <w:t xml:space="preserve">stock</w:t>
      </w:r>
      <w:r>
        <w:t xml:space="preserve"> </w:t>
      </w:r>
      <w:r>
        <w:t xml:space="preserve">de LEFI era nulo, frente a 11,1 billones de pesos un año antes (BCRA, 2026).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Tesoro nacional y el BCRA, con identificación estructural de los canales y la tasa de la FED como variable exógena. Sus resultados alimentan una simulación de Monte Carlo que expresa el riesgo con las métricas del propio FMI. La metodología se elige porque reproduce la arquitectura que el FMI usa para evaluar la sostenibilidad, la de Celasun et al. (2006): un VAR que genera los</w:t>
      </w:r>
      <w:r>
        <w:t xml:space="preserve"> </w:t>
      </w:r>
      <w:r>
        <w:rPr>
          <w:i/>
          <w:iCs/>
        </w:rPr>
        <w:t xml:space="preserve">shocks</w:t>
      </w:r>
      <w:r>
        <w:t xml:space="preserve"> </w:t>
      </w:r>
      <w:r>
        <w:t xml:space="preserve">y una función de reacción fiscal que responde a la deuda. Aplicada con datos argentinos y con la métrica de no estabilización del FMI, el resultado de la tesis es comparable con la probabilidad que el organismo informa para Argentina, y las diferencias pueden atribuirse al perímetro de la deuda y a la identificación de los</w:t>
      </w:r>
      <w:r>
        <w:t xml:space="preserve"> </w:t>
      </w:r>
      <w:r>
        <w:rPr>
          <w:i/>
          <w:iCs/>
        </w:rPr>
        <w:t xml:space="preserve">shocks</w:t>
      </w:r>
      <w:r>
        <w:t xml:space="preserve">. Las variables se eligen porque son los impulsores de la deuda en la identidad del FMI (crecimiento, tipo de cambio real, costo del financiamiento a través del riesgo país y resultado primario), a los que se suma la tasa de la FED como el</w:t>
      </w:r>
      <w:r>
        <w:t xml:space="preserve"> </w:t>
      </w:r>
      <w:r>
        <w:rPr>
          <w:i/>
          <w:iCs/>
        </w:rPr>
        <w:t xml:space="preserve">shock</w:t>
      </w:r>
      <w:r>
        <w:t xml:space="preserve"> </w:t>
      </w:r>
      <w:r>
        <w:t xml:space="preserve">externo que la literatura revisada vincula con esos canales.</w:t>
      </w:r>
    </w:p>
    <w:bookmarkEnd w:id="38"/>
    <w:bookmarkEnd w:id="39"/>
    <w:bookmarkStart w:id="52"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40"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En el modelo de estancamiento de Braun y Joy (1968), el balance de pagos, los precios internos y el nivel de actividad se determinan conjuntamente, y Diamand (1972) explica la restricción por una estructura productiva desequilibrada, en la que la industria consume divisas que no genera y la expansión interna termina en una crisis de balanza de pagos y una devaluación. Thirlwall (1979) dio a la idea una forma general: la tasa de crecimiento compatible con el equilibrio de la cuenta corriente en el largo plazo se aproxima por el cociente entre el crecimiento de las exportaciones y la elasticidad ingreso de la demanda de importaciones. Diamand (1972) advertía que el crédito externo posterga la restricción sin resolverla, porque cada crédito agrega intereses al déficit externo, y desde los años setenta la acumulación de deuda en moneda extranjera sumó un problema de vulnerabilidad financiera externa (Aruguete, 2021). Por esa vía la escasez de divisas se convierte en una restricción sobre la deuda pública, cuyos recursos se obtienen en pesos y cuyo servicio se paga en parte en dólares; el FMI reconoce esa limitación para el caso actual, al señalar que la base exportadora es pequeña y que cumplir con las obligaciones en moneda extranjera exige reforzar el balance de pagos (FMI, 2025, anexo II). En esta tesis el enfoque no se contrasta, porque el modelo no incluye el saldo comercial ni las reservas, y cumple un papel de contexto: justifica tratar al tipo de cambio real y al riesgo soberano como determinantes de la deuda con el mismo rango que el resultado primario, ya que un superávit en pesos no se traduce de manera directa en capacidad de pago en dólares.</w:t>
      </w:r>
    </w:p>
    <w:bookmarkEnd w:id="40"/>
    <w:bookmarkStart w:id="45" w:name="Xa279cf3229c29106283bb4d1e58e9229cedcf6a"/>
    <w:p>
      <w:pPr>
        <w:pStyle w:val="Heading2"/>
      </w:pPr>
      <w:r>
        <w:t xml:space="preserve">3.2 Solvencia intertemporal, la regla de Bohn y la identidad de la deuda</w:t>
      </w:r>
    </w:p>
    <w:bookmarkStart w:id="41"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se la interpreta como un indicador de riesgo y nunca como un diagnóstico de insolvencia o de reestructuración.</w:t>
      </w:r>
    </w:p>
    <w:bookmarkEnd w:id="41"/>
    <w:bookmarkStart w:id="42"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w:t>
      </w:r>
      <w:r>
        <w:t xml:space="preserve"> </w:t>
      </w:r>
      <w:r>
        <w:rPr>
          <w:i/>
          <w:iCs/>
        </w:rPr>
        <w:t xml:space="preserve">stock</w:t>
      </w:r>
      <w:r>
        <w:t xml:space="preserve"> </w:t>
      </w:r>
      <w:r>
        <w:t xml:space="preserve">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El mecanismo opera en las dos direcciones. En 2024 la deuda federal bruta pasó de 155,4% a 85,3% del PIB (FMI, 2025). La mayor parte de esa caída se explica por la apreciación real del peso, que redujo el valor en pesos de la deuda en moneda extranjera, y por la inflación, que elevó el PIB nominal del denominador. El ajuste fiscal de más de cinco puntos del PIB aportó una parte menor. Esta simetría muestra que el tipo de cambio real puede mover la ratio más que el resultado primario en cualquiera de los dos sentidos.</w:t>
      </w:r>
    </w:p>
    <w:bookmarkEnd w:id="42"/>
    <w:bookmarkStart w:id="43"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uₜ,</w:t>
      </w:r>
    </w:p>
    <w:p>
      <w:pPr>
        <w:pStyle w:val="BodyText"/>
      </w:pPr>
      <w:r>
        <w:t xml:space="preserve">con zₜ un conjunto de determinantes cíclicos. Si ρ &gt; 0, uₜ está acotado como proporción del PIB y el valor presente del PIB es finito, la política fiscal satisface la restricción presupuestaria intertemporal y la condición de transversalidad. La demostración formal figuraba en un apéndice no publicado de Bohn (1998) y se expone en Bohn (2005) como un resultado de trabajos previos del autor. La idea de la prueba es que una respuesta positiva reduce el crecimiento de la deuda respecto de un esquema</w:t>
      </w:r>
      <w:r>
        <w:t xml:space="preserve"> </w:t>
      </w:r>
      <w:r>
        <w:rPr>
          <w:i/>
          <w:iCs/>
        </w:rPr>
        <w:t xml:space="preserve">Ponzi</w:t>
      </w:r>
      <w:r>
        <w:t xml:space="preserve"> </w:t>
      </w:r>
      <w:r>
        <w:t xml:space="preserve">en un factor (1-ρ) por período, por lo que el valor presente de la deuda tiende a cero (Bohn, 2005).</w:t>
      </w:r>
    </w:p>
    <w:p>
      <w:pPr>
        <w:pStyle w:val="BodyText"/>
      </w:pPr>
      <w:r>
        <w:t xml:space="preserve">Bohn (2005) subraya que la proposición es una condición suficiente y no necesaria: una respuesta ausente o inestable es compatible tanto con una política insostenible como con una muestra insuficiente para identificarla. La regla puede ser no lineal o variar en el tiempo y conservar la propiedad, siempre que la respuesta sea positiva a niveles altos de deuda. Con datos de Estados Unidos entre 1792 y 2003, el autor obtiene una respuesta positiva y robusta del superávit primario a la deuda, que considera la evidencia más creíble a favor de la sostenibilidad (Bohn, 2005). Para el período 1916-1995, Bohn (1998) reporta un coeficiente de alrededor de 0,05.</w:t>
      </w:r>
    </w:p>
    <w:p>
      <w:pPr>
        <w:pStyle w:val="BodyText"/>
      </w:pPr>
      <w:r>
        <w:t xml:space="preserve">Durante años, la ausencia de cointegración entre el resultado primario y la deuda, o entre ingresos y gastos, se leyó como evidencia contra la restricción presupuestaria intertemporal (Hakkio y Rush, 1991; Trehan y Walsh, 1991). Bohn (2007) muestra que esas pruebas no son necesarias: la restricción intertemporal se cumple aunque la deuda, o los ingresos y gastos con intereses, sean integrados de orden arbitrariamente alto, y no hace falta que ingresos y gastos cointegren. La condición suficiente es la reacción fiscal positiva, cuya demostración proviene de Bohn (1998, 2005) y no de Bohn (2007). La lectura de Bohn (2007) tiene una consecuencia para el diseño econométrico: que una prueba de cointegración no rechace la hipótesis nula de no cointegración no permite concluir que la política sea insostenible, y por eso el sistema se estima en niveles sin imponer relaciones de cointegración.</w:t>
      </w:r>
    </w:p>
    <w:bookmarkEnd w:id="43"/>
    <w:bookmarkStart w:id="44"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uₜ .</w:t>
      </w:r>
    </w:p>
    <w:p>
      <w:pPr>
        <w:pStyle w:val="BodyText"/>
      </w:pPr>
      <w:r>
        <w:t xml:space="preserve">La ratio converge a un nivel finito solo si ρ &gt; (r-g)/(1+g). Si 0 &lt; ρ &lt; (r-g)/(1+g), la deuda crece a una tasa inferior a la de un esquema</w:t>
      </w:r>
      <w:r>
        <w:t xml:space="preserve"> </w:t>
      </w:r>
      <w:r>
        <w:rPr>
          <w:i/>
          <w:iCs/>
        </w:rPr>
        <w:t xml:space="preserve">Ponzi</w:t>
      </w:r>
      <w:r>
        <w:t xml:space="preserve"> </w:t>
      </w:r>
      <w:r>
        <w:t xml:space="preserve">y, por lo tanto, la condición de transversalidad se cumple, pero la ratio sigue aumentando. Un coeficiente positivo y significativo es, por lo tanto, compatible con una trayectoria que no se estabiliza en un horizonte de decisión relevante.</w:t>
      </w:r>
    </w:p>
    <w:p>
      <w:pPr>
        <w:pStyle w:val="BodyText"/>
      </w:pPr>
      <w:r>
        <w:t xml:space="preserve">Esta es la lógica de H1a. Con un coeficiente del orden de 0,05, como el que Bohn estima para Estados Unidos, la regla solo estabiliza la deuda si el diferencial (r-g)/(1+g) se mantiene por debajo de unos cinco puntos. En años de depreciación real y suba del riesgo país, ese diferencial supera con frecuencia ese valor en Argentina. En una economía con deuda en moneda extranjera, el término r incluye la depreciación real y el</w:t>
      </w:r>
      <w:r>
        <w:t xml:space="preserve"> </w:t>
      </w:r>
      <w:r>
        <w:rPr>
          <w:i/>
          <w:iCs/>
        </w:rPr>
        <w:t xml:space="preserve">spread</w:t>
      </w:r>
      <w:r>
        <w:t xml:space="preserve"> </w:t>
      </w:r>
      <w:r>
        <w:t xml:space="preserve">soberano, que son variables con</w:t>
      </w:r>
      <w:r>
        <w:t xml:space="preserve"> </w:t>
      </w:r>
      <w:r>
        <w:rPr>
          <w:i/>
          <w:iCs/>
        </w:rPr>
        <w:t xml:space="preserve">shocks</w:t>
      </w:r>
      <w:r>
        <w:t xml:space="preserve"> </w:t>
      </w:r>
      <w:r>
        <w:t xml:space="preserve">grandes y poco predecibles, de modo que (r-g)/(1+g) puede exceder a ρ por márgenes amplios en años de estrés. Si el coeficiente es positivo pero menor que ese diferencial, el gobierno reacciona y esa reacción, por sí sola, no alcanza para estabilizar la deuda cuando dominan el diferencial r-g, los efectos de valuación y los</w:t>
      </w:r>
      <w:r>
        <w:t xml:space="preserve"> </w:t>
      </w:r>
      <w:r>
        <w:rPr>
          <w:i/>
          <w:iCs/>
        </w:rPr>
        <w:t xml:space="preserve">shocks</w:t>
      </w:r>
      <w:r>
        <w:t xml:space="preserve"> </w:t>
      </w:r>
      <w:r>
        <w:t xml:space="preserve">externos. La evidencia de que las consolidaciones fiscales discrecionales tienen en promedio un efecto reducido sobre la ratio de deuda apunta en la misma dirección (Ando et al., 2025).</w:t>
      </w:r>
    </w:p>
    <w:bookmarkEnd w:id="44"/>
    <w:bookmarkEnd w:id="45"/>
    <w:bookmarkStart w:id="46"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w:t>
      </w:r>
      <w:r>
        <w:t xml:space="preserve"> </w:t>
      </w:r>
      <w:r>
        <w:rPr>
          <w:i/>
          <w:iCs/>
        </w:rPr>
        <w:t xml:space="preserve">stock</w:t>
      </w:r>
      <w:r>
        <w:t xml:space="preserve"> </w:t>
      </w:r>
      <w:r>
        <w:t xml:space="preserve">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(no corrige el resultado primario ante la deuda) y la monetaria es pasiva (región II de Leeper, 1991), se asemeja al régimen fiscal dominante de Sargent y Wallace (1981) y suele llamarse dominancia fiscal.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46"/>
    <w:bookmarkStart w:id="47" w:name="X20862c7541b595f20b5f9ddc0e3ce04fa00711b"/>
    <w:p>
      <w:pPr>
        <w:pStyle w:val="Heading2"/>
      </w:pPr>
      <w:r>
        <w:t xml:space="preserve">3.4 Descalce de monedas, pecado original e interrupciones repentinas</w:t>
      </w:r>
    </w:p>
    <w:p>
      <w:pPr>
        <w:pStyle w:val="FirstParagraph"/>
      </w:pPr>
      <w:r>
        <w:t xml:space="preserve">Eichengreen et al.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et al., 2003). El pecado original es la dificultad de los emergentes para endeudarse en el exterior en su propia moneda. La intolerancia a la deuda y el pecado original buscan explicar el origen del problema; la literatura sobre descalce de monedas se ocupa de sus consecuencias y de cómo las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et al.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w:t>
      </w:r>
    </w:p>
    <w:bookmarkEnd w:id="47"/>
    <w:bookmarkStart w:id="48"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El modelo de la tesis incluye los tres primeros.</w:t>
      </w:r>
    </w:p>
    <w:p>
      <w:pPr>
        <w:pStyle w:val="BodyText"/>
      </w:pPr>
      <w:r>
        <w:rPr>
          <w:b/>
          <w:bCs/>
        </w:rPr>
        <w:t xml:space="preserve">Riesgo soberano.</w:t>
      </w:r>
      <w:r>
        <w:t xml:space="preserve"> </w:t>
      </w:r>
      <w:r>
        <w:t xml:space="preserve">Uribe y Yue (2006) estiman que los</w:t>
      </w:r>
      <w:r>
        <w:t xml:space="preserve"> </w:t>
      </w:r>
      <w:r>
        <w:rPr>
          <w:i/>
          <w:iCs/>
        </w:rPr>
        <w:t xml:space="preserve">shocks</w:t>
      </w:r>
      <w:r>
        <w:t xml:space="preserve"> </w:t>
      </w:r>
      <w:r>
        <w:t xml:space="preserve">de la tasa de Estados Unidos explican alrededor de 20% de los movimientos de la actividad en economías emergentes en frecuencias de ciclo económico, y que afectan a las variables domésticas sobre todo a través del</w:t>
      </w:r>
      <w:r>
        <w:t xml:space="preserve"> </w:t>
      </w:r>
      <w:r>
        <w:rPr>
          <w:i/>
          <w:iCs/>
        </w:rPr>
        <w:t xml:space="preserve">spread</w:t>
      </w:r>
      <w:r>
        <w:t xml:space="preserve"> </w:t>
      </w:r>
      <w:r>
        <w:t xml:space="preserve">soberano. Kalemli-Özcan (2019) encuentra que la política monetaria de Estados Unidos afecta el costo del crédito interno de otros países a través de la percepción de riesgo de los inversores globales, con efectos más intensos sobre los emergentes que sobre las economías avanzadas, y que los flujos de capital, muy sensibles a esa percepción, inciden de forma directa sobre los</w:t>
      </w:r>
      <w:r>
        <w:t xml:space="preserve"> </w:t>
      </w:r>
      <w:r>
        <w:rPr>
          <w:i/>
          <w:iCs/>
        </w:rPr>
        <w:t xml:space="preserve">spreads</w:t>
      </w:r>
      <w:r>
        <w:t xml:space="preserve"> </w:t>
      </w:r>
      <w:r>
        <w:t xml:space="preserve">de crédito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w:t>
      </w:r>
      <w:r>
        <w:t xml:space="preserve"> </w:t>
      </w:r>
      <w:r>
        <w:rPr>
          <w:i/>
          <w:iCs/>
        </w:rPr>
        <w:t xml:space="preserve">shocks</w:t>
      </w:r>
      <w:r>
        <w:t xml:space="preserve"> </w:t>
      </w:r>
      <w:r>
        <w:t xml:space="preserve">de Estados Unidos influyen en las economías de América Latina por vía financiera y producen en dos episodios, las crisis de Argentina y de Brasil,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2005). El resultado sugiere que el canal relevante es el</w:t>
      </w:r>
      <w:r>
        <w:t xml:space="preserve"> </w:t>
      </w:r>
      <w:r>
        <w:rPr>
          <w:i/>
          <w:iCs/>
        </w:rPr>
        <w:t xml:space="preserve">spread</w:t>
      </w:r>
      <w:r>
        <w:t xml:space="preserve">, en línea con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w:t>
      </w:r>
      <w:r>
        <w:t xml:space="preserve"> </w:t>
      </w:r>
      <w:r>
        <w:rPr>
          <w:i/>
          <w:iCs/>
        </w:rPr>
        <w:t xml:space="preserve">shocks</w:t>
      </w:r>
      <w:r>
        <w:t xml:space="preserve"> </w:t>
      </w:r>
      <w:r>
        <w:t xml:space="preserve">de Estados Unidos y los trata como exógenos respecto de los países latinoamericanos. La tasa de la FED recoge la orientación de la política monetaria del centro, y el VIX, las condiciones financieras globales a través de las cuales esa política se transmite (Rey, 2013).</w:t>
      </w:r>
    </w:p>
    <w:bookmarkEnd w:id="48"/>
    <w:bookmarkStart w:id="49"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et al. (2006) proponen un algoritmo de simulación de la trayectoria de la deuda con</w:t>
      </w:r>
      <w:r>
        <w:t xml:space="preserve"> </w:t>
      </w:r>
      <w:r>
        <w:rPr>
          <w:i/>
          <w:iCs/>
        </w:rPr>
        <w:t xml:space="preserve">shocks</w:t>
      </w:r>
      <w:r>
        <w:t xml:space="preserve"> </w:t>
      </w:r>
      <w:r>
        <w:t xml:space="preserve">realistas al crecimiento, a las tasas de interés y al tipo de cambio, junto con la respuesta endógena de la política fiscal y los</w:t>
      </w:r>
      <w:r>
        <w:t xml:space="preserve"> </w:t>
      </w:r>
      <w:r>
        <w:rPr>
          <w:i/>
          <w:iCs/>
        </w:rPr>
        <w:t xml:space="preserve">shocks</w:t>
      </w:r>
      <w:r>
        <w:t xml:space="preserve"> </w:t>
      </w:r>
      <w:r>
        <w:t xml:space="preserve">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w:t>
      </w:r>
      <w:r>
        <w:t xml:space="preserve"> </w:t>
      </w:r>
      <w:r>
        <w:rPr>
          <w:i/>
          <w:iCs/>
        </w:rPr>
        <w:t xml:space="preserve">shocks</w:t>
      </w:r>
      <w:r>
        <w:t xml:space="preserve"> </w:t>
      </w:r>
      <w:r>
        <w:t xml:space="preserve">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Sugiere correr los escenarios de sostenibilidad también con una función de reacción fiscal o con una hipótesis equivalente de reversión a la media (Medeiros, 2012).</w:t>
      </w:r>
    </w:p>
    <w:p>
      <w:pPr>
        <w:pStyle w:val="BodyText"/>
      </w:pPr>
      <w:r>
        <w:t xml:space="preserve">El FMI adoptó esa lógica. Su marco de 2021 construye el gráfico de abanico aplicando al escenario base</w:t>
      </w:r>
      <w:r>
        <w:t xml:space="preserve"> </w:t>
      </w:r>
      <w:r>
        <w:rPr>
          <w:i/>
          <w:iCs/>
        </w:rPr>
        <w:t xml:space="preserve">shocks</w:t>
      </w:r>
      <w:r>
        <w:t xml:space="preserve"> </w:t>
      </w:r>
      <w:r>
        <w:t xml:space="preserve">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(2026) estima una probabilidad de estabilización de alrededor de 99% a mediano plazo y superior a 97% en el abanico de diez años que termina en 2035. Esas cifras son los umbrales de H1b.</w:t>
      </w:r>
    </w:p>
    <w:p>
      <w:pPr>
        <w:pStyle w:val="BodyText"/>
      </w:pPr>
      <w:r>
        <w:t xml:space="preserve">Este enfoque tiene una ventaja sobre el análisis puntual: permite separar la dispersión debida a los</w:t>
      </w:r>
      <w:r>
        <w:t xml:space="preserve"> </w:t>
      </w:r>
      <w:r>
        <w:rPr>
          <w:i/>
          <w:iCs/>
        </w:rPr>
        <w:t xml:space="preserve">shocks</w:t>
      </w:r>
      <w:r>
        <w:t xml:space="preserve"> </w:t>
      </w:r>
      <w:r>
        <w:t xml:space="preserve">(los efectos de valuación, de riesgo y de crecimiento) de la trayectoria central. También tiene el límite que se desprende de la sección 3.2: una probabilidad de no estabilización mide el riesgo bajo un escenario base y no prueba la insostenibilidad en el sentido formal del FMI (FMI, 2021, recuadro 2).</w:t>
      </w:r>
    </w:p>
    <w:bookmarkEnd w:id="49"/>
    <w:bookmarkStart w:id="50"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et al. (2013) sostienen que esa respuesta se debilita cuando la deuda crece, porque la capacidad de aumentar el resultado primario no sigue el ritmo de la deuda, y que esa fatiga fiscal genera un límite endógeno más allá del cual la deuda no puede refinanciarse. Su evidencia proviene de 23 economías avanzadas entre 1970 y 2007, por lo que trasladarla a una economía emergente con restricción externa requiere cautela. En esta tesis la fatiga fiscal no se contrasta y cumple el papel de un límite: recuerda que el superávit primario que una sociedad sostiene de manera prolongada tiene un techo realista, de modo que la regla lineal que se estima describe la respuesta fiscal dentro del rango de deuda observado y no debe extrapolarse a niveles muy superiores.</w:t>
      </w:r>
    </w:p>
    <w:bookmarkEnd w:id="50"/>
    <w:bookmarkStart w:id="51" w:name="alcances-y-límites-del-marco"/>
    <w:p>
      <w:pPr>
        <w:pStyle w:val="Heading2"/>
      </w:pPr>
      <w:r>
        <w:t xml:space="preserve">3.8 Alcances y límites del marco</w:t>
      </w:r>
    </w:p>
    <w:p>
      <w:pPr>
        <w:pStyle w:val="FirstParagraph"/>
      </w:pPr>
      <w:r>
        <w:t xml:space="preserve">La restricción externa se usa como enfoque interpretativo y no se contrasta de manera directa, porque el sistema no incluye el saldo comercial ni la disponibilidad de reservas. La regla de Bohn es una condición suficiente de solvencia asintótica que no asegura que la deuda se estabilice en el horizonte 2026-2035, y su interpretación requiere compararla con el diferencial r-g. El canal de las tasas domésticas y del costo cuasifiscal no se identifica por separado y se absorbe en la deuda consolidada y en la tasa efectiva del escenario base. La probabilidad de no estabilización se mide bajo el escenario base del FMI y no mide la insolvencia ni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51"/>
    <w:bookmarkEnd w:id="52"/>
    <w:bookmarkStart w:id="60"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53" w:name="arquitectura-general"/>
    <w:p>
      <w:pPr>
        <w:pStyle w:val="Heading2"/>
      </w:pPr>
      <w:r>
        <w:t xml:space="preserve">4.1 Arquitectura general</w:t>
      </w:r>
    </w:p>
    <w:p>
      <w:pPr>
        <w:pStyle w:val="FirstParagraph"/>
      </w:pPr>
      <w:r>
        <w:t xml:space="preserve">El modelo sigue la arquitectura que el FMI desarrolló para economías emergentes. Celasun et al. (2006) proponen tres piezas:</w:t>
      </w:r>
    </w:p>
    <w:p>
      <w:pPr>
        <w:pStyle w:val="Compact"/>
        <w:numPr>
          <w:ilvl w:val="0"/>
          <w:numId w:val="1002"/>
        </w:numPr>
      </w:pPr>
      <w:r>
        <w:t xml:space="preserve">Un</w:t>
      </w:r>
      <w:r>
        <w:t xml:space="preserve"> </w:t>
      </w:r>
      <w:r>
        <w:rPr>
          <w:b/>
          <w:bCs/>
        </w:rPr>
        <w:t xml:space="preserve">VAR trimestral</w:t>
      </w:r>
      <w:r>
        <w:t xml:space="preserve"> </w:t>
      </w:r>
      <w:r>
        <w:t xml:space="preserve">sobre los determinantes de la dinámica de la deuda: crecimiento, tasas de interés y tipo de cambio. El VAR describe cómo se mueven juntos, estima las varianzas y covarianzas de sus</w:t>
      </w:r>
      <w:r>
        <w:t xml:space="preserve"> </w:t>
      </w:r>
      <w:r>
        <w:rPr>
          <w:i/>
          <w:iCs/>
        </w:rPr>
        <w:t xml:space="preserve">shocks</w:t>
      </w:r>
      <w:r>
        <w:t xml:space="preserve"> </w:t>
      </w:r>
      <w:r>
        <w:t xml:space="preserve">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 en moneda extranjera. Por ella pasan las proyecciones del VAR, anualizadas, para calcular la deuda de manera recursiva y construir los gráficos de abanico.</w:t>
      </w:r>
    </w:p>
    <w:p>
      <w:pPr>
        <w:pStyle w:val="FirstParagraph"/>
      </w:pPr>
      <w:r>
        <w:t xml:space="preserve">El marco vigente del FMI (2021, párr. 52) mantiene la idea central: el gráfico de abanico se arma aplicando al escenario base</w:t>
      </w:r>
      <w:r>
        <w:t xml:space="preserve"> </w:t>
      </w:r>
      <w:r>
        <w:rPr>
          <w:i/>
          <w:iCs/>
        </w:rPr>
        <w:t xml:space="preserve">shocks</w:t>
      </w:r>
      <w:r>
        <w:t xml:space="preserve"> </w:t>
      </w:r>
      <w:r>
        <w:t xml:space="preserve">tomados de la historia de los determinantes de la deuda. El modelo de esta tesis conserva esas tres piezas y agrega dos elementos que justifica la vacancia: los</w:t>
      </w:r>
      <w:r>
        <w:t xml:space="preserve"> </w:t>
      </w:r>
      <w:r>
        <w:rPr>
          <w:i/>
          <w:iCs/>
        </w:rPr>
        <w:t xml:space="preserve">shocks</w:t>
      </w:r>
      <w:r>
        <w:t xml:space="preserve"> </w:t>
      </w:r>
      <w:r>
        <w:t xml:space="preserve">se identifican estructuralmente y la tasa de la FED entra como un</w:t>
      </w:r>
      <w:r>
        <w:t xml:space="preserve"> </w:t>
      </w:r>
      <w:r>
        <w:rPr>
          <w:i/>
          <w:iCs/>
        </w:rPr>
        <w:t xml:space="preserve">shock</w:t>
      </w:r>
      <w:r>
        <w:t xml:space="preserve"> </w:t>
      </w:r>
      <w:r>
        <w:t xml:space="preserve">externo con nombre propio.</w:t>
      </w:r>
    </w:p>
    <w:bookmarkEnd w:id="53"/>
    <w:bookmarkStart w:id="54" w:name="variables-del-sistema"/>
    <w:p>
      <w:pPr>
        <w:pStyle w:val="Heading2"/>
      </w:pPr>
      <w:r>
        <w:t xml:space="preserve">4.2 Variables del sistema</w:t>
      </w:r>
    </w:p>
    <w:p>
      <w:pPr>
        <w:pStyle w:val="FirstParagraph"/>
      </w:pPr>
      <w:r>
        <w:rPr>
          <w:b/>
          <w:bCs/>
        </w:rPr>
        <w:t xml:space="preserve">Tabla 4.1. Variables del SVARX</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y no la brecha del producto porque es lo que entra en la identidad. Se toma la serie original y no la desestacionalizada del INDEC, que empieza en 2004; la estacionalidad la absorben variables binarias trimestrales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la prima de riesgo).</w:t>
            </w:r>
          </w:p>
        </w:tc>
      </w:tr>
      <w:tr>
        <w:tc>
          <w:tcPr/>
          <w:p>
            <w:pPr>
              <w:pStyle w:val="Compact"/>
            </w:pPr>
            <w:r>
              <w:rPr>
                <w:rFonts w:ascii="Calibri" w:hAnsi="Calibri"/>
                <w:sz w:val="20"/>
              </w:rPr>
              <w:t xml:space="preserve">Tipo de cambio real multilateral (TCRM)</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 Se usa el multilateral porque es el índice con el que el FMI mide la contribución del tipo de cambio real a la dinámica de la deuda (FMI, 2026, cuadro 6, nota 1).</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Predeterminada: entra rezagada en las ecuaciones y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Variables binarias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 y Perron (2003) estimados sobre la propia serie de deuda.</w:t>
            </w:r>
          </w:p>
        </w:tc>
      </w:tr>
    </w:tbl>
    <w:p>
      <w:pPr>
        <w:pStyle w:val="BodyText"/>
      </w:pPr>
      <w:r>
        <w:t xml:space="preserve">Fuente: elaboración propia.</w:t>
      </w:r>
    </w:p>
    <w:p>
      <w:pPr>
        <w:pStyle w:val="BodyText"/>
      </w:pPr>
      <w:r>
        <w:rPr>
          <w:b/>
          <w:bCs/>
        </w:rPr>
        <w:t xml:space="preserve">Por qué la deuda entra rezagada y se acumula con la identidad.</w:t>
      </w:r>
      <w:r>
        <w:t xml:space="preserve"> </w:t>
      </w:r>
      <w:r>
        <w:t xml:space="preserve">Favero y Giavazzi (2007) muestran que un VAR fiscal que omite la retroalimentación de la deuda está mal especificado: la restricción presupuestaria hace que el nivel de deuda condicione la política fiscal y las tasas. Su solución es incluir la deuda rezagada en las ecuaciones y hacerla evolucionar con la identidad, no con una ecuación estimada. Eso capta los efectos conjuntos que plantea la pregunta de investigación y mantiene la acumulación contablemente exacta.</w:t>
      </w:r>
    </w:p>
    <w:bookmarkEnd w:id="54"/>
    <w:bookmarkStart w:id="55" w:name="variables-exógenas"/>
    <w:p>
      <w:pPr>
        <w:pStyle w:val="Heading2"/>
      </w:pPr>
      <w:r>
        <w:t xml:space="preserve">4.3 Variables exógenas</w:t>
      </w:r>
    </w:p>
    <w:p>
      <w:pPr>
        <w:pStyle w:val="FirstParagraph"/>
      </w:pPr>
      <w:r>
        <w:t xml:space="preserve">Argentina es una economía pequeña y abierta: sus variables no afectan la tasa de la FED ni el VIX. En los VAR de economías pequeñas y abiertas, el supuesto estándar es que las variables externas forman un bloque exógeno (Cushman y Zha, 1997). Así se modela la transmisión de los</w:t>
      </w:r>
      <w:r>
        <w:t xml:space="preserve"> </w:t>
      </w:r>
      <w:r>
        <w:rPr>
          <w:i/>
          <w:iCs/>
        </w:rPr>
        <w:t xml:space="preserve">shocks</w:t>
      </w:r>
      <w:r>
        <w:t xml:space="preserve"> </w:t>
      </w:r>
      <w:r>
        <w:t xml:space="preserve">de Estados Unidos a América Latina (Canova, 2005) y la relación entre tasas internacionales y primas de riesgo en emergentes (Uribe y Yue, 2006). Una consecuencia es que el efecto de la FED (H2) no depende de cómo se ordenen las variables argentinas entre sí: se calcula como un multiplicador dinámico de la variable exógena.</w:t>
      </w:r>
    </w:p>
    <w:p>
      <w:pPr>
        <w:pStyle w:val="BodyText"/>
      </w:pPr>
      <w:r>
        <w:t xml:space="preserve">La serie es la tasa de fondos federales. En los trimestres en que esa tasa estuvo en el piso de cero se usa la tasa sombra de Wu y Xia (2016), que mide la orientación de la política monetaria cuando la tasa efectiva no puede bajar más.</w:t>
      </w:r>
    </w:p>
    <w:p>
      <w:pPr>
        <w:pStyle w:val="BodyText"/>
      </w:pPr>
      <w:r>
        <w:rPr>
          <w:b/>
          <w:bCs/>
        </w:rPr>
        <w:t xml:space="preserve">Tabla 4.2. Canales por los que opera el</w:t>
      </w:r>
      <w:r>
        <w:rPr>
          <w:b/>
          <w:bCs/>
        </w:rPr>
        <w:t xml:space="preserve"> </w:t>
      </w:r>
      <w:r>
        <w:rPr>
          <w:b/>
          <w:bCs/>
          <w:i/>
          <w:iCs/>
        </w:rPr>
        <w:t xml:space="preserve">shock</w:t>
      </w:r>
      <w:r>
        <w:rPr>
          <w:b/>
          <w:bCs/>
        </w:rPr>
        <w:t xml:space="preserve"> </w:t>
      </w:r>
      <w:r>
        <w:rPr>
          <w:b/>
          <w:bCs/>
        </w:rPr>
        <w:t xml:space="preserve">de la FED</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entre tasa y 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El canal cuasifiscal, que es el mayor costo de los pasivos remunerados del BCRA, operó en el período de estimación a través de la deuda consolidada. No se proyecta como un canal separado porque esos pasivos son mínimos desde 2024 (FMI, 2025, anexo II).</w:t>
      </w:r>
    </w:p>
    <w:bookmarkEnd w:id="55"/>
    <w:bookmarkStart w:id="56" w:name="identificación-de-los-shocks-domésticos"/>
    <w:p>
      <w:pPr>
        <w:pStyle w:val="Heading2"/>
      </w:pPr>
      <w:r>
        <w:t xml:space="preserve">4.4 Identificación de los</w:t>
      </w:r>
      <w:r>
        <w:t xml:space="preserve"> </w:t>
      </w:r>
      <w:r>
        <w:rPr>
          <w:i/>
          <w:iCs/>
        </w:rPr>
        <w:t xml:space="preserve">shocks</w:t>
      </w:r>
      <w:r>
        <w:t xml:space="preserve"> </w:t>
      </w:r>
      <w:r>
        <w:t xml:space="preserve">domésticos</w:t>
      </w:r>
    </w:p>
    <w:p>
      <w:pPr>
        <w:pStyle w:val="FirstParagraph"/>
      </w:pPr>
      <w:r>
        <w:t xml:space="preserve">Los residuos del VAR, u, se relacionan con cuatro</w:t>
      </w:r>
      <w:r>
        <w:t xml:space="preserve"> </w:t>
      </w:r>
      <w:r>
        <w:rPr>
          <w:i/>
          <w:iCs/>
        </w:rPr>
        <w:t xml:space="preserve">shocks</w:t>
      </w:r>
      <w:r>
        <w:t xml:space="preserve"> </w:t>
      </w:r>
      <w:r>
        <w:t xml:space="preserve">estructurales, ε, mediante u = S ε. La matriz S impone las siguientes restricciones en el trimestre del impacto (Tabla 4.3):</w:t>
      </w:r>
    </w:p>
    <w:p>
      <w:pPr>
        <w:pStyle w:val="Compact"/>
        <w:numPr>
          <w:ilvl w:val="0"/>
          <w:numId w:val="1003"/>
        </w:numPr>
      </w:pPr>
      <w:r>
        <w:rPr>
          <w:b/>
          <w:bCs/>
        </w:rPr>
        <w:t xml:space="preserve">Fiscal.</w:t>
      </w:r>
      <w:r>
        <w:t xml:space="preserve"> </w:t>
      </w:r>
      <w:r>
        <w:t xml:space="preserve">Se le descuenta al resultado primario su respuesta automática al ciclo, con una elasticidad de 0,25 respecto del crecimiento (Blanchard y Perotti, 2002; Girouard y André, 2005). Lo que queda es el</w:t>
      </w:r>
      <w:r>
        <w:t xml:space="preserve"> </w:t>
      </w:r>
      <w:r>
        <w:rPr>
          <w:i/>
          <w:iCs/>
        </w:rPr>
        <w:t xml:space="preserve">shock</w:t>
      </w:r>
      <w:r>
        <w:t xml:space="preserve"> </w:t>
      </w:r>
      <w:r>
        <w:t xml:space="preserve">fiscal discrecional. La política discrecional tarda más de un trimestre en reaccionar a la actividad (Blanchard y Perotti, 2002).</w:t>
      </w:r>
    </w:p>
    <w:p>
      <w:pPr>
        <w:pStyle w:val="Compact"/>
        <w:numPr>
          <w:ilvl w:val="0"/>
          <w:numId w:val="1003"/>
        </w:numPr>
      </w:pPr>
      <w:r>
        <w:rPr>
          <w:b/>
          <w:bCs/>
        </w:rPr>
        <w:t xml:space="preserve">Actividad.</w:t>
      </w:r>
      <w:r>
        <w:t xml:space="preserve"> </w:t>
      </w:r>
      <w:r>
        <w:t xml:space="preserve">El crecimiento puede responder al</w:t>
      </w:r>
      <w:r>
        <w:t xml:space="preserve"> </w:t>
      </w:r>
      <w:r>
        <w:rPr>
          <w:i/>
          <w:iCs/>
        </w:rPr>
        <w:t xml:space="preserve">shock</w:t>
      </w:r>
      <w:r>
        <w:t xml:space="preserve"> </w:t>
      </w:r>
      <w:r>
        <w:t xml:space="preserve">fiscal dentro del trimestre; su propio</w:t>
      </w:r>
      <w:r>
        <w:t xml:space="preserve"> </w:t>
      </w:r>
      <w:r>
        <w:rPr>
          <w:i/>
          <w:iCs/>
        </w:rPr>
        <w:t xml:space="preserve">shock</w:t>
      </w:r>
      <w:r>
        <w:t xml:space="preserve"> </w:t>
      </w:r>
      <w:r>
        <w:t xml:space="preserve">es la parte del residuo que el</w:t>
      </w:r>
      <w:r>
        <w:t xml:space="preserve"> </w:t>
      </w:r>
      <w:r>
        <w:rPr>
          <w:i/>
          <w:iCs/>
        </w:rPr>
        <w:t xml:space="preserve">shock</w:t>
      </w:r>
      <w:r>
        <w:t xml:space="preserve"> </w:t>
      </w:r>
      <w:r>
        <w:t xml:space="preserve">fiscal no explica.</w:t>
      </w:r>
    </w:p>
    <w:p>
      <w:pPr>
        <w:pStyle w:val="Compact"/>
        <w:numPr>
          <w:ilvl w:val="0"/>
          <w:numId w:val="1003"/>
        </w:numPr>
      </w:pPr>
      <w:r>
        <w:rPr>
          <w:b/>
          <w:bCs/>
        </w:rPr>
        <w:t xml:space="preserve">Bloque cambiario y de riesgo.</w:t>
      </w:r>
      <w:r>
        <w:t xml:space="preserve"> </w:t>
      </w:r>
      <w:r>
        <w:t xml:space="preserve">El EMBI+ y el TCRM responden en el trimestre a los</w:t>
      </w:r>
      <w:r>
        <w:t xml:space="preserve"> </w:t>
      </w:r>
      <w:r>
        <w:rPr>
          <w:i/>
          <w:iCs/>
        </w:rPr>
        <w:t xml:space="preserve">shocks</w:t>
      </w:r>
      <w:r>
        <w:t xml:space="preserve"> </w:t>
      </w:r>
      <w:r>
        <w:t xml:space="preserve">fiscal y de actividad, pero el resultado primario y el crecimiento no responden en el mismo trimestre a los</w:t>
      </w:r>
      <w:r>
        <w:t xml:space="preserve"> </w:t>
      </w:r>
      <w:r>
        <w:rPr>
          <w:i/>
          <w:iCs/>
        </w:rPr>
        <w:t xml:space="preserve">shocks</w:t>
      </w:r>
      <w:r>
        <w:t xml:space="preserve"> </w:t>
      </w:r>
      <w:r>
        <w:t xml:space="preserve">de ese bloque. Es el supuesto de rezagos de decisión y de información de Blanchard y Perotti (2002) aplicado a la política fiscal, y el de rigidez del producto en el trimestre que usan los VAR monetarios (Christiano et al., 1999). Dentro del bloque no se impone ningún orden con interpretación económica: se usa una ortonormalización arbitraria y solo se informa la contribución conjunta, que no depende de ella (Christiano et al., 1999).</w:t>
      </w:r>
    </w:p>
    <w:p>
      <w:pPr>
        <w:pStyle w:val="FirstParagraph"/>
      </w:pPr>
      <w:r>
        <w:rPr>
          <w:b/>
          <w:bCs/>
        </w:rPr>
        <w:t xml:space="preserve">Tabla 4.3. Restricciones de impacto (S)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fiscal</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actividad</w:t>
            </w:r>
          </w:p>
        </w:tc>
        <w:tc>
          <w:tcPr/>
          <w:p>
            <w:pPr>
              <w:pStyle w:val="Compact"/>
            </w:pPr>
            <w:r>
              <w:rPr>
                <w:rFonts w:ascii="Calibri" w:hAnsi="Calibri"/>
                <w:sz w:val="20"/>
              </w:rPr>
              <w:t xml:space="preserve">Bloque cambiario y de riesgo</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libre</w:t>
            </w:r>
          </w:p>
        </w:tc>
        <w:tc>
          <w:tcPr/>
          <w:p>
            <w:pPr>
              <w:pStyle w:val="Compact"/>
            </w:pPr>
            <w:r>
              <w:rPr>
                <w:rFonts w:ascii="Calibri" w:hAnsi="Calibri"/>
                <w:sz w:val="20"/>
              </w:rPr>
              <w:t xml:space="preserve">0,25 × respuesta del crecimiento</w:t>
            </w:r>
          </w:p>
        </w:tc>
        <w:tc>
          <w:tcPr/>
          <w:p>
            <w:pPr>
              <w:pStyle w:val="Compact"/>
            </w:pPr>
            <w:r>
              <w:rPr>
                <w:rFonts w:ascii="Calibri" w:hAnsi="Calibri"/>
                <w:sz w:val="20"/>
              </w:rPr>
              <w:t xml:space="preserve">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La elasticidad de 0,25 proviene de estimaciones para países de la OCDE (Girouard y André, 2005); para acotar su efecto, la simulación se repite con elasticidades de 0 y 0,5. La identificación también supone que el resultado primario no responda en el trimestre al tipo de cambio, cuando en Argentina los derechos de exportación dependen de él. Para evaluarlo se usan dos ordenamientos de Cholesky como robustez: uno que pone primero al resultado primario y otro que lo pone último.</w:t>
      </w:r>
    </w:p>
    <w:bookmarkEnd w:id="56"/>
    <w:bookmarkStart w:id="57" w:name="niveles-rezagos-e-inferencia"/>
    <w:p>
      <w:pPr>
        <w:pStyle w:val="Heading2"/>
      </w:pPr>
      <w:r>
        <w:t xml:space="preserve">4.5 Niveles, rezagos e inferencia</w:t>
      </w:r>
    </w:p>
    <w:p>
      <w:pPr>
        <w:pStyle w:val="Compact"/>
        <w:numPr>
          <w:ilvl w:val="0"/>
          <w:numId w:val="1004"/>
        </w:numPr>
      </w:pPr>
      <w:r>
        <w:rPr>
          <w:b/>
          <w:bCs/>
        </w:rPr>
        <w:t xml:space="preserve">Variables en niveles.</w:t>
      </w:r>
      <w:r>
        <w:t xml:space="preserve"> </w:t>
      </w:r>
      <w:r>
        <w:t xml:space="preserve">El VAR se estima en niveles aunque algunas variables tengan raíz unitaria. Sims et al. (1990) muestran que las estimaciones siguen siendo consistentes sin imponer relaciones de cointegración, aunque la distribución de algunos estimadores no es la estándar; por eso la inferencia se hace con</w:t>
      </w:r>
      <w:r>
        <w:t xml:space="preserve"> </w:t>
      </w:r>
      <w:r>
        <w:rPr>
          <w:i/>
          <w:iCs/>
        </w:rPr>
        <w:t xml:space="preserve">bootstrap</w:t>
      </w:r>
      <w:r>
        <w:t xml:space="preserve"> </w:t>
      </w:r>
      <w:r>
        <w:t xml:space="preserve">y no con los errores de mínimos cuadrados. Las pruebas de raíz unitaria (ADF y KPSS) no permiten clasificar con claridad la mayoría de las series, y la prueba de Johansen (1991) sobre las variables en niveles no rechaza la ausencia de cointegración (Apéndice, sección A.2). Esa prueba no incluye los quiebres, que sesgan los valores críticos (Johansen et al., 2000), de modo que su resultado se toma como indicativo.</w:t>
      </w:r>
    </w:p>
    <w:p>
      <w:pPr>
        <w:pStyle w:val="Compact"/>
        <w:numPr>
          <w:ilvl w:val="0"/>
          <w:numId w:val="1004"/>
        </w:numPr>
      </w:pPr>
      <w:r>
        <w:rPr>
          <w:b/>
          <w:bCs/>
        </w:rPr>
        <w:t xml:space="preserve">Muestra de estimación.</w:t>
      </w:r>
      <w:r>
        <w:t xml:space="preserve"> </w:t>
      </w:r>
      <w:r>
        <w:t xml:space="preserve">Todas las series cubren 1996-2025, y todas las especificaciones se estiman sobre la misma muestra efectiva, 1998T2-2025T4 (111 trimestres). Los primeros trimestres se usan como condiciones iniciales de los rezagos (la variación de la tasa de la FED con dos rezagos y hasta seis rezagos del VAR). Reservar el mismo número de observaciones para cualquier orden permite comparar los criterios de información entre órdenes (Lütkepohl, 2005, sec. 4.3).</w:t>
      </w:r>
    </w:p>
    <w:p>
      <w:pPr>
        <w:pStyle w:val="Compact"/>
        <w:numPr>
          <w:ilvl w:val="0"/>
          <w:numId w:val="1004"/>
        </w:numPr>
      </w:pPr>
      <w:r>
        <w:rPr>
          <w:b/>
          <w:bCs/>
        </w:rPr>
        <w:t xml:space="preserve">Rezagos.</w:t>
      </w:r>
      <w:r>
        <w:t xml:space="preserve"> </w:t>
      </w:r>
      <w:r>
        <w:t xml:space="preserve">Se toma el mayor orden estable que no supera al que elige el criterio de información de Akaike (AIC). Un VAR es estable si todos los autovalores de su matriz compañera tienen módulo menor que uno, que es lo mismo que pedir que las raíces del polinomio característico queden fuera del círculo unitario; la estabilidad es la condición para que existan las respuestas al impulso y la simulación de largo plazo (Lütkepohl, 2005, cap. 2). Con datos trimestrales, Ivanov y Kilian (2005) recomiendan el AIC para el análisis de respuestas al impulso, porque usar menos rezagos de los necesarios distorsiona más las respuestas que usar de más. El AIC alcanza su mínimo en seis rezagos, el máximo considerado, pero los órdenes desde cuatro son inestables (autovalor máximo de 1,02 a 1,03). Se usan tres rezagos (autovalor máximo de 0,96). Entre los órdenes estables, el AIC, el criterio de Hannan-Quinn y el de Schwarz eligen dos, dos y uno; por eso la simulación se repite con dos rezagos (Capítulo 6). La prueba de Portmanteau multivariada (Hosking, 1980) rechaza la ausencia de autocorrelación residual al 5% (p = 0,036). Como el remuestreo de</w:t>
      </w:r>
      <w:r>
        <w:t xml:space="preserve"> </w:t>
      </w:r>
      <w:r>
        <w:rPr>
          <w:i/>
          <w:iCs/>
        </w:rPr>
        <w:t xml:space="preserve">shocks</w:t>
      </w:r>
      <w:r>
        <w:t xml:space="preserve"> </w:t>
      </w:r>
      <w:r>
        <w:t xml:space="preserve">supone independencia entre trimestres, se trata como una limitación de la simulación.</w:t>
      </w:r>
    </w:p>
    <w:p>
      <w:pPr>
        <w:pStyle w:val="Compact"/>
        <w:numPr>
          <w:ilvl w:val="0"/>
          <w:numId w:val="1004"/>
        </w:numPr>
      </w:pPr>
      <w:r>
        <w:rPr>
          <w:b/>
          <w:bCs/>
        </w:rPr>
        <w:t xml:space="preserve">Intervalos de confianza.</w:t>
      </w:r>
      <w:r>
        <w:t xml:space="preserve"> </w:t>
      </w:r>
      <w:r>
        <w:t xml:space="preserve">Los residuos rechazan la normalidad (Jarque y Bera, 1987), y la volatilidad de las variables cambia entre subperíodos. Los intervalos se calculan con un</w:t>
      </w:r>
      <w:r>
        <w:t xml:space="preserve"> </w:t>
      </w:r>
      <w:r>
        <w:rPr>
          <w:i/>
          <w:iCs/>
        </w:rPr>
        <w:t xml:space="preserve">bootstrap</w:t>
      </w:r>
      <w:r>
        <w:t xml:space="preserve"> </w:t>
      </w:r>
      <w:r>
        <w:t xml:space="preserve">salvaje de diseño recursivo, válido con heterocedasticidad condicional de forma desconocida (Gonçalves y Kilian, 2004). En cada réplica se regenera también la deuda, con un VAR auxiliar que la incluye como quinta variable, de modo que la retroalimentación entre la deuda y el sistema esté presente en los datos simulados. Los coeficientes de rezago se corrigen por el sesgo de muestra pequeña con el procedimiento de Kilian (1998): una primera etapa de 100 réplicas mide el sesgo, y la estimación y cada réplica de la segunda etapa se corrigen por él, con una corrección reducida cuando la completa volvería inestable al VAR. La semilla es fija para que los resultados se puedan reproducir.</w:t>
      </w:r>
    </w:p>
    <w:p>
      <w:pPr>
        <w:pStyle w:val="Compact"/>
        <w:numPr>
          <w:ilvl w:val="0"/>
          <w:numId w:val="1004"/>
        </w:numPr>
      </w:pPr>
      <w:r>
        <w:rPr>
          <w:b/>
          <w:bCs/>
        </w:rPr>
        <w:t xml:space="preserve">Persistencia de la estimación central.</w:t>
      </w:r>
      <w:r>
        <w:t xml:space="preserve"> </w:t>
      </w:r>
      <w:r>
        <w:t xml:space="preserve">El autovalor de mayor módulo del VAR estimado por mínimos cuadrados es 0,964. La estimación central usa los coeficientes corregidos por sesgo, con la corrección multiplicada por un factor δ = 0,9 para mantener la estabilidad, y su autovalor máximo es 0,9998, prácticamente una raíz unitaria. Con esa dinámica los</w:t>
      </w:r>
      <w:r>
        <w:t xml:space="preserve"> </w:t>
      </w:r>
      <w:r>
        <w:rPr>
          <w:i/>
          <w:iCs/>
        </w:rPr>
        <w:t xml:space="preserve">shocks</w:t>
      </w:r>
      <w:r>
        <w:t xml:space="preserve"> </w:t>
      </w:r>
      <w:r>
        <w:t xml:space="preserve">son muy persistentes, lo que eleva las probabilidades de no estabilización. Las réplicas del</w:t>
      </w:r>
      <w:r>
        <w:t xml:space="preserve"> </w:t>
      </w:r>
      <w:r>
        <w:rPr>
          <w:i/>
          <w:iCs/>
        </w:rPr>
        <w:t xml:space="preserve">bootstrap</w:t>
      </w:r>
      <w:r>
        <w:t xml:space="preserve"> </w:t>
      </w:r>
      <w:r>
        <w:t xml:space="preserve">generan los datos con un proceso cuyo factor δ es menor, de modo que los intervalos percentiles no quedan centrados en la estimación central, que se ubica cerca de su límite superior.</w:t>
      </w:r>
    </w:p>
    <w:bookmarkEnd w:id="57"/>
    <w:bookmarkStart w:id="58" w:name="simulación-de-monte-carlo"/>
    <w:p>
      <w:pPr>
        <w:pStyle w:val="Heading2"/>
      </w:pPr>
      <w:r>
        <w:t xml:space="preserve">4.6 Simulación de Monte Carlo</w:t>
      </w:r>
    </w:p>
    <w:p>
      <w:pPr>
        <w:pStyle w:val="FirstParagraph"/>
      </w:pPr>
      <w:r>
        <w:rPr>
          <w:b/>
          <w:bCs/>
        </w:rPr>
        <w:t xml:space="preserve">Escenario base.</w:t>
      </w:r>
      <w:r>
        <w:t xml:space="preserve"> </w:t>
      </w:r>
      <w:r>
        <w:t xml:space="preserve">Los senderos son los del análisis de sostenibilidad más reciente del FMI (2026, cuadro 6), publicado en mayo de 2026: crecimiento real g, deflactor del PIB π, tasa de interés efectiva i, resultado primario pb, ajuste stock-flujo sf e inflación relativa ri, que es la contribución de la depreciación nominal del escenario a la deuda en moneda extranjera. Antes de simular se verifica que la identidad, aplicada al</w:t>
      </w:r>
      <w:r>
        <w:t xml:space="preserve"> </w:t>
      </w:r>
      <w:r>
        <w:rPr>
          <w:i/>
          <w:iCs/>
        </w:rPr>
        <w:t xml:space="preserve">stock</w:t>
      </w:r>
      <w:r>
        <w:t xml:space="preserve"> </w:t>
      </w:r>
      <w:r>
        <w:t xml:space="preserve">de deuda del FMI, reproduzca su senda; el desvío máximo es de 0,1 puntos del PIB. Como robustez se usa el escenario de abril de 2025 (FMI, 2025, anexo II).</w:t>
      </w:r>
    </w:p>
    <w:p>
      <w:pPr>
        <w:pStyle w:val="BodyText"/>
      </w:pPr>
      <w:r>
        <w:rPr>
          <w:b/>
          <w:bCs/>
        </w:rPr>
        <w:t xml:space="preserve">Identidad de la deuda.</w:t>
      </w:r>
      <w:r>
        <w:t xml:space="preserve"> </w:t>
      </w:r>
      <w:r>
        <w:t xml:space="preserve">Para cada año t de 2026 a 2035:</w:t>
      </w:r>
    </w:p>
    <w:p>
      <w:pPr>
        <w:pStyle w:val="BodyText"/>
      </w:pPr>
      <w:r>
        <w:t xml:space="preserve">d_t = d_{t-1} M_t − pb_t + sf_t + ri_t d_{t-1} / d^FMI_{t-1}</w:t>
      </w:r>
    </w:p>
    <w:p>
      <w:pPr>
        <w:pStyle w:val="BodyText"/>
      </w:pPr>
      <w:r>
        <w:t xml:space="preserve">M_t = (1 + i_t + (1 − a) x_t)(1 + (1 − a) e_t) / ((1 + π_t)(1 + g_t))</w:t>
      </w:r>
    </w:p>
    <w:p>
      <w:pPr>
        <w:pStyle w:val="BodyText"/>
      </w:pPr>
      <w:r>
        <w:t xml:space="preserve">donde a = 0,42 es la proporción de la deuda en pesos (diciembre de 2025), e_t es el desvío de la depreciación real que simula el SVARX y x_t es el desvío de la tasa en dólares (EMBI+ y FED). La inflación relativa del FMI se escala por el cociente entre la deuda simulada y la del FMI, porque es proporcional al</w:t>
      </w:r>
      <w:r>
        <w:t xml:space="preserve"> </w:t>
      </w:r>
      <w:r>
        <w:rPr>
          <w:i/>
          <w:iCs/>
        </w:rPr>
        <w:t xml:space="preserve">stock</w:t>
      </w:r>
      <w:r>
        <w:t xml:space="preserve"> </w:t>
      </w:r>
      <w:r>
        <w:t xml:space="preserve">en moneda extranjera. La tasa en dólares se reprecia gradualmente: cada año se refinancia la fracción λ = 18,0/63,6 ≈ 0,28, cociente entre las necesidades brutas de financiamiento promedio y la deuda promedio de los seis primeros años del escenario del FMI. Como esa fracción incluye la refinanciación de letras en pesos de corto plazo, se informa la sensibilidad a λ = 0,15 y 0,40.</w:t>
      </w:r>
    </w:p>
    <w:p>
      <w:pPr>
        <w:pStyle w:val="BodyText"/>
      </w:pPr>
      <w:r>
        <w:rPr>
          <w:b/>
          <w:bCs/>
        </w:rPr>
        <w:t xml:space="preserve">Algoritmo.</w:t>
      </w:r>
    </w:p>
    <w:p>
      <w:pPr>
        <w:pStyle w:val="Compact"/>
        <w:numPr>
          <w:ilvl w:val="0"/>
          <w:numId w:val="1005"/>
        </w:numPr>
      </w:pPr>
      <w:r>
        <w:t xml:space="preserve">El SVARX se simula trimestre a trimestre, en desvíos respecto del escenario base, durante 40 trimestres. Como la simulación es en desvíos, la constante, las variables binarias estacionales y las de quiebre no intervienen.</w:t>
      </w:r>
    </w:p>
    <w:p>
      <w:pPr>
        <w:pStyle w:val="Compact"/>
        <w:numPr>
          <w:ilvl w:val="0"/>
          <w:numId w:val="1005"/>
        </w:numPr>
      </w:pPr>
      <w:r>
        <w:t xml:space="preserve">Los</w:t>
      </w:r>
      <w:r>
        <w:t xml:space="preserve"> </w:t>
      </w:r>
      <w:r>
        <w:rPr>
          <w:i/>
          <w:iCs/>
        </w:rPr>
        <w:t xml:space="preserve">shocks</w:t>
      </w:r>
      <w:r>
        <w:t xml:space="preserve"> </w:t>
      </w:r>
      <w:r>
        <w:t xml:space="preserve">estructurales se remuestrean de los 111 trimestres históricos, con reposición y como vectores, para conservar las colas gordas y la correlación entre variables (FMI, 2021, párr. 52).</w:t>
      </w:r>
    </w:p>
    <w:p>
      <w:pPr>
        <w:pStyle w:val="Compact"/>
        <w:numPr>
          <w:ilvl w:val="0"/>
          <w:numId w:val="1005"/>
        </w:numPr>
      </w:pPr>
      <w:r>
        <w:t xml:space="preserve">Al final de cada año, los desvíos trimestrales se anualizan (suma para el crecimiento, promedio para el resultado primario y el EMBI+, variación de fin de año para el TCRM) y entran en la identidad.</w:t>
      </w:r>
    </w:p>
    <w:p>
      <w:pPr>
        <w:pStyle w:val="Compact"/>
        <w:numPr>
          <w:ilvl w:val="0"/>
          <w:numId w:val="1005"/>
        </w:numPr>
      </w:pPr>
      <w:r>
        <w:t xml:space="preserve">La deuda simulada vuelve al sistema como desvío acumulado respecto de la senda base, multiplicada por los coeficientes de la deuda rezagada.</w:t>
      </w:r>
    </w:p>
    <w:p>
      <w:pPr>
        <w:pStyle w:val="FirstParagraph"/>
      </w:pPr>
      <w:r>
        <w:rPr>
          <w:b/>
          <w:bCs/>
        </w:rPr>
        <w:t xml:space="preserve">Métrica de no estabilización.</w:t>
      </w:r>
      <w:r>
        <w:t xml:space="preserve"> </w:t>
      </w:r>
      <w:r>
        <w:t xml:space="preserve">Es la del FMI (2021, párr. 53 y anexo VI, nota 9): la deuda no se estabiliza en el año T si el resultado primario del escenario base es menor que el que la estabilizaría en esa trayectoria,</w:t>
      </w:r>
    </w:p>
    <w:p>
      <w:pPr>
        <w:pStyle w:val="BodyText"/>
      </w:pPr>
      <w:r>
        <w:t xml:space="preserve">pb*</w:t>
      </w:r>
      <w:r>
        <w:rPr>
          <w:i/>
          <w:iCs/>
        </w:rPr>
        <w:t xml:space="preserve">T = d</w:t>
      </w:r>
      <w:r>
        <w:t xml:space="preserve">{T-1} (M_T − 1) + ri_T d_{T-1} / d^FMI_{T-1}.</w:t>
      </w:r>
    </w:p>
    <w:p>
      <w:pPr>
        <w:pStyle w:val="BodyText"/>
      </w:pPr>
      <w:r>
        <w:t xml:space="preserve">Se mide en 2031, que es el último año del abanico de mediano plazo del informe del FMI (t + 5 desde 2026), y en 2035, el último año de su abanico de diez años.</w:t>
      </w:r>
    </w:p>
    <w:p>
      <w:pPr>
        <w:pStyle w:val="BodyText"/>
      </w:pPr>
      <w:r>
        <w:rPr>
          <w:b/>
          <w:bCs/>
        </w:rPr>
        <w:t xml:space="preserve">Estimación e intervalos.</w:t>
      </w:r>
      <w:r>
        <w:t xml:space="preserve"> </w:t>
      </w:r>
      <w:r>
        <w:t xml:space="preserve">La estimación central usa los parámetros corregidos por sesgo y 20.000 trayectorias; se informa su error de Monte Carlo. Los intervalos de 90% salen de 200 réplicas de parámetros con 1.000 trayectorias cada una.</w:t>
      </w:r>
    </w:p>
    <w:p>
      <w:pPr>
        <w:pStyle w:val="BodyText"/>
      </w:pPr>
      <w:r>
        <w:rPr>
          <w:b/>
          <w:bCs/>
        </w:rPr>
        <w:t xml:space="preserve">Tamaño del</w:t>
      </w:r>
      <w:r>
        <w:rPr>
          <w:b/>
          <w:bCs/>
        </w:rPr>
        <w:t xml:space="preserve"> </w:t>
      </w:r>
      <w:r>
        <w:rPr>
          <w:b/>
          <w:bCs/>
          <w:i/>
          <w:iCs/>
        </w:rPr>
        <w:t xml:space="preserve">shock</w:t>
      </w:r>
      <w:r>
        <w:rPr>
          <w:b/>
          <w:bCs/>
        </w:rPr>
        <w:t xml:space="preserve"> </w:t>
      </w:r>
      <w:r>
        <w:rPr>
          <w:b/>
          <w:bCs/>
        </w:rPr>
        <w:t xml:space="preserve">de la FED.</w:t>
      </w:r>
      <w:r>
        <w:t xml:space="preserve"> </w:t>
      </w:r>
      <w:r>
        <w:t xml:space="preserve">La tasa de la FED entra al modelo como variación trimestral, de modo que el desvío del nivel de la tasa respecto del escenario base es la suma acumulada de esas variaciones y persiste mientras no se revierta. Se usan dos escenarios. El primero es una suba de un desvío estándar de la variación trimestral de la tasa (0,50 puntos), la convención para medir respuestas en estos modelos: el nivel de la tasa queda 0,50 puntos por encima del base de 2026 a 2035. El segundo repite las variaciones trimestrales efectivas de la tasa de fondos federales de 2022 a 2025 (de 0,08% a 5,33% hasta fines de 2023 y a 3,90% en 2025): en 2026-2029 el nivel sube 5,25 puntos y luego baja 1,43, y desde entonces queda 3,82 puntos por encima del base hasta 2035.</w:t>
      </w:r>
    </w:p>
    <w:p>
      <w:pPr>
        <w:pStyle w:val="BodyText"/>
      </w:pPr>
      <w:r>
        <w:rPr>
          <w:b/>
          <w:bCs/>
        </w:rPr>
        <w:t xml:space="preserve">Variantes.</w:t>
      </w:r>
    </w:p>
    <w:p>
      <w:pPr>
        <w:pStyle w:val="Compact"/>
        <w:numPr>
          <w:ilvl w:val="0"/>
          <w:numId w:val="1006"/>
        </w:numPr>
      </w:pPr>
      <w:r>
        <w:rPr>
          <w:b/>
          <w:bCs/>
        </w:rPr>
        <w:t xml:space="preserve">Canal de tasas domésticas.</w:t>
      </w:r>
      <w:r>
        <w:t xml:space="preserve"> </w:t>
      </w:r>
      <w:r>
        <w:t xml:space="preserve">El mismo desvío del EMBI+ también reprecia la deuda en pesos, con la misma velocidad λ. El fundamento es la tasa de interés del país de Neumeyer y Perri (2005) y Uribe y Yue (2006): el costo del crédito para el soberano es la tasa internacional más la prima de riesgo, cualquiera sea la moneda. No se agrega una tasa en pesos como variable del VAR porque no hay una serie homogénea para 1996-2025.</w:t>
      </w:r>
    </w:p>
    <w:p>
      <w:pPr>
        <w:pStyle w:val="Compact"/>
        <w:numPr>
          <w:ilvl w:val="0"/>
          <w:numId w:val="1006"/>
        </w:numPr>
      </w:pPr>
      <w:r>
        <w:rPr>
          <w:b/>
          <w:bCs/>
          <w:i/>
          <w:iCs/>
        </w:rPr>
        <w:t xml:space="preserve">Shocks</w:t>
      </w:r>
      <w:r>
        <w:rPr>
          <w:b/>
          <w:bCs/>
        </w:rPr>
        <w:t xml:space="preserve"> </w:t>
      </w:r>
      <w:r>
        <w:rPr>
          <w:b/>
          <w:bCs/>
        </w:rPr>
        <w:t xml:space="preserve">como los del FMI.</w:t>
      </w:r>
      <w:r>
        <w:t xml:space="preserve"> </w:t>
      </w:r>
      <w:r>
        <w:t xml:space="preserve">Para saber cuánto del resultado depende de la forma de generar los</w:t>
      </w:r>
      <w:r>
        <w:t xml:space="preserve"> </w:t>
      </w:r>
      <w:r>
        <w:rPr>
          <w:i/>
          <w:iCs/>
        </w:rPr>
        <w:t xml:space="preserve">shocks</w:t>
      </w:r>
      <w:r>
        <w:t xml:space="preserve">, se repite la simulación con el procedimiento del abanico del FMI (FMI, 2021, anexo VI; FMI y Mecanismo Europeo de Estabilidad, 2023). Se calculan los desvíos respecto de la media histórica de los cuatro impulsores anuales de la deuda (tasa real efectiva, crecimiento real, depreciación real y resultado primario, 1997-2025) y se los remuestrea como vectores en bloques de dos años consecutivos. La identidad, el punto de partida y la métrica son los mismos.</w:t>
      </w:r>
    </w:p>
    <w:p>
      <w:pPr>
        <w:pStyle w:val="Compact"/>
        <w:numPr>
          <w:ilvl w:val="0"/>
          <w:numId w:val="1006"/>
        </w:numPr>
      </w:pPr>
      <w:r>
        <w:rPr>
          <w:b/>
          <w:bCs/>
        </w:rPr>
        <w:t xml:space="preserve">Otras.</w:t>
      </w:r>
      <w:r>
        <w:t xml:space="preserve"> </w:t>
      </w:r>
      <w:r>
        <w:t xml:space="preserve">Sin la retroalimentación de la deuda; deuda neta a valor libros, deuda bruta y deuda solo del Tesoro; sin los</w:t>
      </w:r>
      <w:r>
        <w:t xml:space="preserve"> </w:t>
      </w:r>
      <w:r>
        <w:rPr>
          <w:i/>
          <w:iCs/>
        </w:rPr>
        <w:t xml:space="preserve">shocks</w:t>
      </w:r>
      <w:r>
        <w:t xml:space="preserve"> </w:t>
      </w:r>
      <w:r>
        <w:t xml:space="preserve">del período de cesación de pagos y canje (2001T4-2005T3); ajuste stock-flujo en cero; resultado primario sin rentas de la propiedad (que incluyen las utilidades del BCRA, internas al perímetro consolidado); muestra desde 2004; punto de partida igual a la deuda consolidada neta del FMI (52,1% del PIB), que descuenta el FGS.</w:t>
      </w:r>
    </w:p>
    <w:p>
      <w:pPr>
        <w:pStyle w:val="FirstParagraph"/>
      </w:pPr>
      <w:r>
        <w:rPr>
          <w:b/>
          <w:bCs/>
        </w:rPr>
        <w:t xml:space="preserve">Por qué la especificación principal es el SVARX.</w:t>
      </w:r>
      <w:r>
        <w:t xml:space="preserve"> </w:t>
      </w:r>
      <w:r>
        <w:t xml:space="preserve">El procedimiento del FMI genera</w:t>
      </w:r>
      <w:r>
        <w:t xml:space="preserve"> </w:t>
      </w:r>
      <w:r>
        <w:rPr>
          <w:i/>
          <w:iCs/>
        </w:rPr>
        <w:t xml:space="preserve">shocks</w:t>
      </w:r>
      <w:r>
        <w:t xml:space="preserve"> </w:t>
      </w:r>
      <w:r>
        <w:t xml:space="preserve">en forma reducida: no distingue un</w:t>
      </w:r>
      <w:r>
        <w:t xml:space="preserve"> </w:t>
      </w:r>
      <w:r>
        <w:rPr>
          <w:i/>
          <w:iCs/>
        </w:rPr>
        <w:t xml:space="preserve">shock</w:t>
      </w:r>
      <w:r>
        <w:t xml:space="preserve"> </w:t>
      </w:r>
      <w:r>
        <w:t xml:space="preserve">fiscal de uno cambiario ni aísla la tasa de la FED, de modo que no permite descomponer la incertidumbre por origen ni contrastar H2. La identificación sirve para separar la varianza de la deuda por bloque de</w:t>
      </w:r>
      <w:r>
        <w:t xml:space="preserve"> </w:t>
      </w:r>
      <w:r>
        <w:rPr>
          <w:i/>
          <w:iCs/>
        </w:rPr>
        <w:t xml:space="preserve">shocks</w:t>
      </w:r>
      <w:r>
        <w:t xml:space="preserve"> </w:t>
      </w:r>
      <w:r>
        <w:t xml:space="preserve">y para definir el</w:t>
      </w:r>
      <w:r>
        <w:t xml:space="preserve"> </w:t>
      </w:r>
      <w:r>
        <w:rPr>
          <w:i/>
          <w:iCs/>
        </w:rPr>
        <w:t xml:space="preserve">shock</w:t>
      </w:r>
      <w:r>
        <w:t xml:space="preserve"> </w:t>
      </w:r>
      <w:r>
        <w:t xml:space="preserve">fiscal. La probabilidad de no estabilización no depende de ella: los</w:t>
      </w:r>
      <w:r>
        <w:t xml:space="preserve"> </w:t>
      </w:r>
      <w:r>
        <w:rPr>
          <w:i/>
          <w:iCs/>
        </w:rPr>
        <w:t xml:space="preserve">shocks</w:t>
      </w:r>
      <w:r>
        <w:t xml:space="preserve"> </w:t>
      </w:r>
      <w:r>
        <w:t xml:space="preserve">estructurales reconstruyen los mismos residuos históricos, cualquiera sea la matriz S.</w:t>
      </w:r>
    </w:p>
    <w:bookmarkEnd w:id="58"/>
    <w:bookmarkStart w:id="59" w:name="contraste-de-las-hipótesis"/>
    <w:p>
      <w:pPr>
        <w:pStyle w:val="Heading2"/>
      </w:pPr>
      <w:r>
        <w:t xml:space="preserve">4.7 Contraste de las hipótesis</w:t>
      </w:r>
    </w:p>
    <w:p>
      <w:pPr>
        <w:pStyle w:val="FirstParagraph"/>
      </w:pPr>
      <w:r>
        <w:rPr>
          <w:b/>
          <w:bCs/>
        </w:rPr>
        <w:t xml:space="preserve">Tabla 4.4. Medidas y criterios de contraste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(i) Resultado primario necesario en 2031 para que la probabilidad de no estabilización en 2031 baje a la estimación puntual del FMI para Argentina (1%), desplazando en la misma magnitud el resultado primario de todos los años 2026-2035 del escenario base, y (ii) contribución de cada bloque de</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a la varianza de la deuda simulada en 2035</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el necesario supera el máximo del Sector Público Nacional en 1996-2025: 3,6% del PIB en la suma de los cuatro trimestres a diciembre de 2004, con rentas de la propiedad (el máximo de la suma móvil de cuatro trimestres es 3,93%, en 2004T3, y sin rentas de la propiedad es 3,29%). La descomposición de la varianza se informa como complemento.</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 en 2031 y en 2035</w:t>
            </w:r>
          </w:p>
        </w:tc>
        <w:tc>
          <w:tcPr/>
          <w:p>
            <w:pPr>
              <w:pStyle w:val="Compact"/>
            </w:pPr>
            <w:r>
              <w:rPr>
                <w:rFonts w:ascii="Calibri" w:hAnsi="Calibri"/>
                <w:sz w:val="20"/>
              </w:rPr>
              <w:t xml:space="preserve">El límite inferior del intervalo de 90% supera la probabilidad del FMI para el mismo horizonte (contraste unilateral al 5%): 1,0% a mediano plazo y menos de 3% en el abanico de diez años (FMI, 2026).</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cada escenario de la FED y el base</w:t>
            </w:r>
          </w:p>
        </w:tc>
        <w:tc>
          <w:tcPr/>
          <w:p>
            <w:pPr>
              <w:pStyle w:val="Compact"/>
            </w:pPr>
            <w:r>
              <w:rPr>
                <w:rFonts w:ascii="Calibri" w:hAnsi="Calibri"/>
                <w:sz w:val="20"/>
              </w:rPr>
              <w:t xml:space="preserve">El intervalo de 90% de la diferencia excluye el cero.</w:t>
            </w:r>
          </w:p>
        </w:tc>
      </w:tr>
    </w:tbl>
    <w:p>
      <w:pPr>
        <w:pStyle w:val="BodyText"/>
      </w:pPr>
      <w:r>
        <w:t xml:space="preserve">Fuente: elaboración propia.</w:t>
      </w:r>
    </w:p>
    <w:p>
      <w:pPr>
        <w:pStyle w:val="BodyText"/>
      </w:pPr>
      <w:r>
        <w:t xml:space="preserve">El criterio (i) de H1a mide directamente lo que afirma la hipótesis: si con un superávit de la magnitud que la Argentina alcanzó en su mejor año la probabilidad de no estabilización sigue por encima de la que el FMI estima para el país, el superávit, por sí solo, no basta. El 1% es la estimación puntual del FMI para Argentina (FMI, 2026), no un umbral de riesgo bajo definido por el FMI. Como H1b se contrasta en dos horizontes y H2 en dos escenarios, se informa también si las conclusiones se sostienen con la corrección de Bonferroni, que usa los límites de 2,5%.</w:t>
      </w:r>
    </w:p>
    <w:p>
      <w:pPr>
        <w:pStyle w:val="BodyText"/>
      </w:pPr>
      <w:r>
        <w:rPr>
          <w:b/>
          <w:bCs/>
        </w:rPr>
        <w:t xml:space="preserve">Revisión de los criterios.</w:t>
      </w:r>
      <w:r>
        <w:t xml:space="preserve"> </w:t>
      </w:r>
      <w:r>
        <w:t xml:space="preserve">Los criterios de la Tabla 4.4 se revisaron después de la primera estimación, en octubre de 2026. El criterio original de H1a era la descomposición de la varianza: la hipótesis se consideraba respaldada si el intervalo de 90% de la diferencia entre la contribución de los</w:t>
      </w:r>
      <w:r>
        <w:t xml:space="preserve"> </w:t>
      </w:r>
      <w:r>
        <w:rPr>
          <w:i/>
          <w:iCs/>
        </w:rPr>
        <w:t xml:space="preserve">shocks</w:t>
      </w:r>
      <w:r>
        <w:t xml:space="preserve"> </w:t>
      </w:r>
      <w:r>
        <w:t xml:space="preserve">no fiscales y la del fiscal excluía el cero. Ese intervalo, [-4,8; 91,2], no cumple el criterio. Se adoptó el criterio de suficiencia porque mide directamente lo que afirma la hipótesis, y el Capítulo 6 informa los dos. Los tamaños de los</w:t>
      </w:r>
      <w:r>
        <w:t xml:space="preserve"> </w:t>
      </w:r>
      <w:r>
        <w:rPr>
          <w:i/>
          <w:iCs/>
        </w:rPr>
        <w:t xml:space="preserve">shocks</w:t>
      </w:r>
      <w:r>
        <w:t xml:space="preserve"> </w:t>
      </w:r>
      <w:r>
        <w:t xml:space="preserve">de la FED también se definieron en octubre de 2026.</w:t>
      </w:r>
    </w:p>
    <w:bookmarkEnd w:id="59"/>
    <w:bookmarkEnd w:id="60"/>
    <w:bookmarkStart w:id="79" w:name="datos"/>
    <w:p>
      <w:pPr>
        <w:pStyle w:val="Heading1"/>
      </w:pPr>
      <w:r>
        <w:t xml:space="preserve">5. Datos</w:t>
      </w:r>
    </w:p>
    <w:p>
      <w:pPr>
        <w:pStyle w:val="FirstParagraph"/>
      </w:pPr>
      <w:r>
        <w:t xml:space="preserve">Las series son trimestrales y cubren 1996T1-2025T4; la muestra de estimación es 1998T2-2025T4 (111 trimestres). Provienen de fuentes secundarias, oficiales en su mayoría: el Ministerio de Economía de la Nación (MECON), el BCRA, el Instituto Nacional de Estadística y Censos (INDEC), la Reserva Federal de Estados Unidos y J.P. Morgan. Casi todas se construyen con procedimientos reproducibles a partir de los archivos descargados. La excepción es el riesgo país de 1996T1-1998T3, cuyos valores trimestrales están transcriptos en el código de construcción (sección 5.4). Este capítulo resume qué mide cada serie, de dónde sale y por qué se la construyó así, y la contrasta con las cifras del FMI. Los estadísticos descriptivos de la muestra de estimación están en el Apéndice.</w:t>
      </w:r>
    </w:p>
    <w:bookmarkStart w:id="61" w:name="series-y-fuentes"/>
    <w:p>
      <w:pPr>
        <w:pStyle w:val="Heading2"/>
      </w:pPr>
      <w:r>
        <w:t xml:space="preserve">5.1 Series y fuentes</w:t>
      </w:r>
    </w:p>
    <w:p>
      <w:pPr>
        <w:pStyle w:val="FirstParagraph"/>
      </w:pPr>
      <w:r>
        <w:rPr>
          <w:b/>
          <w:bCs/>
        </w:rPr>
        <w:t xml:space="preserve">Tabla 5.1. Series del modelo: rol, fuente y construcción</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 en el modelo</w:t>
            </w:r>
          </w:p>
        </w:tc>
        <w:tc>
          <w:tcPr/>
          <w:p>
            <w:pPr>
              <w:pStyle w:val="Compact"/>
            </w:pPr>
            <w:r>
              <w:rPr>
                <w:rFonts w:ascii="Calibri" w:hAnsi="Calibri"/>
                <w:sz w:val="20"/>
              </w:rPr>
              <w:t xml:space="preserve">Fuente</w:t>
            </w:r>
          </w:p>
        </w:tc>
        <w:tc>
          <w:tcPr/>
          <w:p>
            <w:pPr>
              <w:pStyle w:val="Compact"/>
            </w:pPr>
            <w:r>
              <w:rPr>
                <w:rFonts w:ascii="Calibri" w:hAnsi="Calibri"/>
                <w:sz w:val="20"/>
              </w:rPr>
              <w:t xml:space="preserve">Construcción</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Rezagada en las ecuaciones y acumulada en la simulación</w:t>
            </w:r>
          </w:p>
        </w:tc>
        <w:tc>
          <w:tcPr/>
          <w:p>
            <w:pPr>
              <w:pStyle w:val="Compact"/>
            </w:pPr>
            <w:r>
              <w:rPr>
                <w:rFonts w:ascii="Calibri" w:hAnsi="Calibri"/>
                <w:sz w:val="20"/>
              </w:rPr>
              <w:t xml:space="preserve">MECON (deuda de la Administración Central) y BCRA (balance y estadísticas monetarias)</w:t>
            </w:r>
          </w:p>
        </w:tc>
        <w:tc>
          <w:tcPr/>
          <w:p>
            <w:pPr>
              <w:pStyle w:val="Compact"/>
            </w:pPr>
            <w:r>
              <w:rPr>
                <w:rFonts w:ascii="Calibri" w:hAnsi="Calibri"/>
                <w:sz w:val="20"/>
              </w:rPr>
              <w:t xml:space="preserve">Sección 5.2</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MECON, esquema ahorro-inversión-financiamiento del Sector Público Nacional, base caja</w:t>
            </w:r>
          </w:p>
        </w:tc>
        <w:tc>
          <w:tcPr/>
          <w:p>
            <w:pPr>
              <w:pStyle w:val="Compact"/>
            </w:pPr>
            <w:r>
              <w:rPr>
                <w:rFonts w:ascii="Calibri" w:hAnsi="Calibri"/>
                <w:sz w:val="20"/>
              </w:rPr>
              <w:t xml:space="preserve">Suma mensual por trimestre, anualizada sobre el PIB de cuatro trimestres</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INDEC, PIB a precios constantes</w:t>
            </w:r>
          </w:p>
        </w:tc>
        <w:tc>
          <w:tcPr/>
          <w:p>
            <w:pPr>
              <w:pStyle w:val="Compact"/>
            </w:pPr>
            <w:r>
              <w:rPr>
                <w:rFonts w:ascii="Calibri" w:hAnsi="Calibri"/>
                <w:sz w:val="20"/>
              </w:rPr>
              <w:t xml:space="preserve">Variación logarítmica trimestral; 1996-2003 en base 1993 empalmada a base 2004</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Endógena</w:t>
            </w:r>
          </w:p>
        </w:tc>
        <w:tc>
          <w:tcPr/>
          <w:p>
            <w:pPr>
              <w:pStyle w:val="Compact"/>
            </w:pPr>
            <w:r>
              <w:rPr>
                <w:rFonts w:ascii="Calibri" w:hAnsi="Calibri"/>
                <w:sz w:val="20"/>
              </w:rPr>
              <w:t xml:space="preserve">J.P. Morgan, EMBI+ desde 1998 (desde 1998T4, serie diaria publicada por Ámbito Financiero; 1998T1-1998T3, valores transcriptos); 1996-1997,</w:t>
            </w:r>
            <w:r>
              <w:rPr>
                <w:rFonts w:ascii="Calibri" w:hAnsi="Calibri"/>
                <w:sz w:val="20"/>
              </w:rPr>
              <w:t xml:space="preserve"> </w:t>
            </w:r>
            <w:r>
              <w:rPr>
                <w:rFonts w:ascii="Calibri" w:hAnsi="Calibri"/>
                <w:i/>
                <w:iCs/>
                <w:sz w:val="20"/>
              </w:rPr>
              <w:t xml:space="preserve">stripped spread</w:t>
            </w:r>
            <w:r>
              <w:rPr>
                <w:rFonts w:ascii="Calibri" w:hAnsi="Calibri"/>
                <w:sz w:val="20"/>
              </w:rPr>
              <w:t xml:space="preserve"> </w:t>
            </w:r>
            <w:r>
              <w:rPr>
                <w:rFonts w:ascii="Calibri" w:hAnsi="Calibri"/>
                <w:sz w:val="20"/>
              </w:rPr>
              <w:t xml:space="preserve">de los bonos</w:t>
            </w:r>
            <w:r>
              <w:rPr>
                <w:rFonts w:ascii="Calibri" w:hAnsi="Calibri"/>
                <w:sz w:val="20"/>
              </w:rPr>
              <w:t xml:space="preserve"> </w:t>
            </w:r>
            <w:r>
              <w:rPr>
                <w:rFonts w:ascii="Calibri" w:hAnsi="Calibri"/>
                <w:i/>
                <w:iCs/>
                <w:sz w:val="20"/>
              </w:rPr>
              <w:t xml:space="preserve">Brady</w:t>
            </w:r>
          </w:p>
        </w:tc>
        <w:tc>
          <w:tcPr/>
          <w:p>
            <w:pPr>
              <w:pStyle w:val="Compact"/>
            </w:pPr>
            <w:r>
              <w:rPr>
                <w:rFonts w:ascii="Calibri" w:hAnsi="Calibri"/>
                <w:sz w:val="20"/>
              </w:rPr>
              <w:t xml:space="preserve">Promedio trimestral, con empalme en 1998</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BCRA</w:t>
            </w:r>
          </w:p>
        </w:tc>
        <w:tc>
          <w:tcPr/>
          <w:p>
            <w:pPr>
              <w:pStyle w:val="Compact"/>
            </w:pPr>
            <w:r>
              <w:rPr>
                <w:rFonts w:ascii="Calibri" w:hAnsi="Calibri"/>
                <w:sz w:val="20"/>
              </w:rPr>
              <w:t xml:space="preserve">Promedio trimestral del índice</w:t>
            </w:r>
          </w:p>
        </w:tc>
      </w:tr>
      <w:tr>
        <w:tc>
          <w:tcPr/>
          <w:p>
            <w:pPr>
              <w:pStyle w:val="Compact"/>
            </w:pPr>
            <w:r>
              <w:rPr>
                <w:rFonts w:ascii="Calibri" w:hAnsi="Calibri"/>
                <w:sz w:val="20"/>
              </w:rPr>
              <w:t xml:space="preserve">Tasa de política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Tasa de fondos federales de la Junta de Gobernadores de la Reserva Federal, obtenida de FRED, la base de datos del Banco de la Reserva Federal de St. Louis (Board of Governors of the Federal Reserve System, s. f.); tasa sombra de Wu y Xia (2016), publicada por el Banco de la Reserva Federal de Atlanta (Federal Reserve Bank of Atlanta, s. f.)</w:t>
            </w:r>
          </w:p>
        </w:tc>
        <w:tc>
          <w:tcPr/>
          <w:p>
            <w:pPr>
              <w:pStyle w:val="Compact"/>
            </w:pPr>
            <w:r>
              <w:rPr>
                <w:rFonts w:ascii="Calibri" w:hAnsi="Calibri"/>
                <w:sz w:val="20"/>
              </w:rPr>
              <w:t xml:space="preserve">Promedio trimestral; tasa sombra en el límite cero</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Índice VIX de la</w:t>
            </w:r>
            <w:r>
              <w:rPr>
                <w:rFonts w:ascii="Calibri" w:hAnsi="Calibri"/>
                <w:sz w:val="20"/>
              </w:rPr>
              <w:t xml:space="preserve"> </w:t>
            </w:r>
            <w:r>
              <w:rPr>
                <w:rFonts w:ascii="Calibri" w:hAnsi="Calibri"/>
                <w:i/>
                <w:iCs/>
                <w:sz w:val="20"/>
              </w:rPr>
              <w:t xml:space="preserve">Chicago Board Options Exchange</w:t>
            </w:r>
            <w:r>
              <w:rPr>
                <w:rFonts w:ascii="Calibri" w:hAnsi="Calibri"/>
                <w:sz w:val="20"/>
              </w:rPr>
              <w:t xml:space="preserve"> </w:t>
            </w:r>
            <w:r>
              <w:rPr>
                <w:rFonts w:ascii="Calibri" w:hAnsi="Calibri"/>
                <w:sz w:val="20"/>
              </w:rPr>
              <w:t xml:space="preserve">(CBOE), descargado de Yahoo Finance</w:t>
            </w:r>
          </w:p>
        </w:tc>
        <w:tc>
          <w:tcPr/>
          <w:p>
            <w:pPr>
              <w:pStyle w:val="Compact"/>
            </w:pPr>
            <w:r>
              <w:rPr>
                <w:rFonts w:ascii="Calibri" w:hAnsi="Calibri"/>
                <w:sz w:val="20"/>
              </w:rPr>
              <w:t xml:space="preserve">Promedio trimestral</w:t>
            </w:r>
          </w:p>
        </w:tc>
      </w:tr>
    </w:tbl>
    <w:p>
      <w:pPr>
        <w:pStyle w:val="BodyText"/>
      </w:pPr>
      <w:r>
        <w:t xml:space="preserve">Fuente: elaboración propia.</w:t>
      </w:r>
    </w:p>
    <w:p>
      <w:pPr>
        <w:pStyle w:val="BodyText"/>
      </w:pPr>
      <w:r>
        <w:rPr>
          <w:b/>
          <w:bCs/>
        </w:rPr>
        <w:t xml:space="preserve">Denominador.</w:t>
      </w:r>
      <w:r>
        <w:t xml:space="preserve"> </w:t>
      </w:r>
      <w:r>
        <w:t xml:space="preserve">Todos los cocientes usan como denominador el promedio móvil de cuatro trimestres del PIB nominal trimestral anualizado, equivalente a la suma del PIB de los últimos cuatro trimestres. Dividir un</w:t>
      </w:r>
      <w:r>
        <w:t xml:space="preserve"> </w:t>
      </w:r>
      <w:r>
        <w:rPr>
          <w:i/>
          <w:iCs/>
        </w:rPr>
        <w:t xml:space="preserve">stock</w:t>
      </w:r>
      <w:r>
        <w:t xml:space="preserve"> </w:t>
      </w:r>
      <w:r>
        <w:t xml:space="preserve">por el PIB de un solo trimestre anualizado mezcla estacionalidad y, con inflación alta, distorsiona el cociente. En el cuarto trimestre, el denominador coincide con el PIB del año, de modo que los cocientes de diciembre son comparables con las cifras anuales del FMI. Con inflación de tres dígitos (2023-2024), este denominador rezaga al PIB de fin de período y sobreestima el cociente en la aceleración.</w:t>
      </w:r>
    </w:p>
    <w:bookmarkEnd w:id="61"/>
    <w:bookmarkStart w:id="66" w:name="deuda-consolidada-neta"/>
    <w:p>
      <w:pPr>
        <w:pStyle w:val="Heading2"/>
      </w:pPr>
      <w:r>
        <w:t xml:space="preserve">5.2 Deuda consolidada neta</w:t>
      </w:r>
    </w:p>
    <w:p>
      <w:pPr>
        <w:pStyle w:val="FirstParagraph"/>
      </w:pPr>
      <w:r>
        <w:t xml:space="preserve">La deuda bruta es la de la Administración Central (Tesoro nacional). El resultado primario, en cambio, es el del Sector Público Nacional (SPN), un perímetro más amplio (sección 5.3). Se sigue la consolidación con el banco central del FMI (2021, anexo II): se restan los créditos del banco central contra el gobierno y se suman los pasivos de deuda del banco central.</w:t>
      </w:r>
    </w:p>
    <w:p>
      <w:pPr>
        <w:pStyle w:val="BodyText"/>
      </w:pPr>
      <w:r>
        <w:t xml:space="preserve">D = B − T + L − DEP</w:t>
      </w:r>
    </w:p>
    <w:p>
      <w:pPr>
        <w:pStyle w:val="Compact"/>
        <w:numPr>
          <w:ilvl w:val="0"/>
          <w:numId w:val="1007"/>
        </w:numPr>
      </w:pPr>
      <w:r>
        <w:rPr>
          <w:b/>
          <w:bCs/>
        </w:rPr>
        <w:t xml:space="preserve">B, deuda bruta de la Administración Central.</w:t>
      </w:r>
      <w:r>
        <w:t xml:space="preserve"> </w:t>
      </w:r>
      <w:r>
        <w:t xml:space="preserve">Informe de Deuda Pública del MECON (Ministerio de Economía de la Nación, 2025), convertida a pesos con el tipo de cambio de fin de trimestre. En 1996-2001 el tipo de cambio es 1, por la convertibilidad. Los seis trimestres de 1996-1997 que no son cierre de año se interpolan en dólares. Incluye la deuda en poder del BCRA, del Fondo de Garantía de Sustentabilidad (FGS) de la Administración Nacional de la Seguridad Social (ANSES) y de otros organismos públicos.</w:t>
      </w:r>
    </w:p>
    <w:p>
      <w:pPr>
        <w:pStyle w:val="Compact"/>
        <w:numPr>
          <w:ilvl w:val="0"/>
          <w:numId w:val="1007"/>
        </w:numPr>
      </w:pPr>
      <w:r>
        <w:rPr>
          <w:b/>
          <w:bCs/>
        </w:rPr>
        <w:t xml:space="preserve">T, deuda del Tesoro en poder del BCRA.</w:t>
      </w:r>
      <w:r>
        <w:t xml:space="preserve"> </w:t>
      </w:r>
      <w:r>
        <w:t xml:space="preserve">Adelantos transitorios, títulos en pesos y Letras Intransferibles. Las Letras se valúan a su valor nominal, que publica el MECON, y no al valor contable del balance del BCRA (Banco Central de la República Argentina, s. f.). La razón es que la deuda bruta del MECON está a valor nominal, y restarle tenencias valuadas con otro criterio mezcla dos medidas. Cuando el valor contable supera al nominal, porque incluye otros créditos en dólares, se conserva el contable (variante</w:t>
      </w:r>
      <w:r>
        <w:t xml:space="preserve"> </w:t>
      </w:r>
      <w:r>
        <w:t xml:space="preserve">“piso”</w:t>
      </w:r>
      <w:r>
        <w:t xml:space="preserve">). Se la llama así porque el valor contable funciona como cota inferior: en cada trimestre se resta el mayor de los dos valores.</w:t>
      </w:r>
    </w:p>
    <w:p>
      <w:pPr>
        <w:pStyle w:val="Compact"/>
        <w:numPr>
          <w:ilvl w:val="0"/>
          <w:numId w:val="1007"/>
        </w:numPr>
      </w:pPr>
      <w:r>
        <w:rPr>
          <w:b/>
          <w:bCs/>
        </w:rPr>
        <w:t xml:space="preserve">L, pasivos remunerados del BCRA.</w:t>
      </w:r>
      <w:r>
        <w:t xml:space="preserve"> </w:t>
      </w:r>
      <w:r>
        <w:t xml:space="preserve">LEBAC y NOBAC, LELIQ y NOTALIQ, posición neta de pases y letras en moneda extranjera (BCRA, estadísticas monetarias). El</w:t>
      </w:r>
      <w:r>
        <w:t xml:space="preserve"> </w:t>
      </w:r>
      <w:r>
        <w:rPr>
          <w:i/>
          <w:iCs/>
        </w:rPr>
        <w:t xml:space="preserve">swap</w:t>
      </w:r>
      <w:r>
        <w:rPr>
          <w:rStyle w:val="FootnoteReference"/>
        </w:rPr>
        <w:footnoteReference w:id="62"/>
      </w:r>
      <w:r>
        <w:t xml:space="preserve"> </w:t>
      </w:r>
      <w:r>
        <w:t xml:space="preserve">con el Banco Popular de China no tiene serie pública y queda excluido.</w:t>
      </w:r>
    </w:p>
    <w:p>
      <w:pPr>
        <w:pStyle w:val="Compact"/>
        <w:numPr>
          <w:ilvl w:val="0"/>
          <w:numId w:val="1007"/>
        </w:numPr>
      </w:pPr>
      <w:r>
        <w:rPr>
          <w:b/>
          <w:bCs/>
        </w:rPr>
        <w:t xml:space="preserve">DEP, depósitos del Tesoro en el BCRA.</w:t>
      </w:r>
    </w:p>
    <w:p>
      <w:pPr>
        <w:pStyle w:val="FirstParagraph"/>
      </w:pPr>
      <w:r>
        <w:t xml:space="preserve">La Figura 5.1 muestra la serie principal, la variante con las Letras a valor contable y la deuda consolidada bruta (B + L).</w:t>
      </w:r>
    </w:p>
    <w:p>
      <w:pPr>
        <w:pStyle w:val="CaptionedFigure"/>
      </w:pPr>
      <w:r>
        <w:drawing>
          <wp:inline>
            <wp:extent cx="5334000" cy="2743200"/>
            <wp:effectExtent b="0" l="0" r="0" t="0"/>
            <wp:docPr descr="Figura 5.1. Deuda pública consolidada, 1996-2025 (% del PIB de los últimos cuatro trimestres). Los puntos son la deuda consolidada neta del FMI (2025, anexo II, cuadro 2) a diciembre de 2023 y de 2024. Fuente: elaboración propia con datos del MECON, el BCRA y el INDEC, y FMI (2025, anexo II, cuadro 2)." title="" id="64" name="Picture"/>
            <a:graphic>
              <a:graphicData uri="http://schemas.openxmlformats.org/drawingml/2006/picture">
                <pic:pic>
                  <pic:nvPicPr>
                    <pic:cNvPr descr="../tesis/figuras/fig5_1_deuda_consolidada_1996_2025.png" id="65" name="Picture"/>
                    <pic:cNvPicPr>
                      <a:picLocks noChangeArrowheads="1" noChangeAspect="1"/>
                    </pic:cNvPicPr>
                  </pic:nvPicPr>
                  <pic:blipFill>
                    <a:blip r:embed="rId6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pública consolidada, 1996-2025 (% del PIB de los últimos cuatro trimestres). Los puntos son la deuda consolidada neta del FMI (2025, anexo II, cuadro 2) a diciembre de 2023 y de 2024. Fuente: elaboración propia con datos del MECON, el BCRA y el INDEC, y FMI (2025, anexo II, cuadro 2).</w:t>
      </w:r>
    </w:p>
    <w:bookmarkEnd w:id="66"/>
    <w:bookmarkStart w:id="67" w:name="resultado-primario-y-crecimiento"/>
    <w:p>
      <w:pPr>
        <w:pStyle w:val="Heading2"/>
      </w:pPr>
      <w:r>
        <w:t xml:space="preserve">5.3 Resultado primario y crecimiento</w:t>
      </w:r>
    </w:p>
    <w:p>
      <w:pPr>
        <w:pStyle w:val="FirstParagraph"/>
      </w:pPr>
      <w:r>
        <w:rPr>
          <w:b/>
          <w:bCs/>
        </w:rPr>
        <w:t xml:space="preserve">Resultado primario.</w:t>
      </w:r>
      <w:r>
        <w:t xml:space="preserve"> </w:t>
      </w:r>
      <w:r>
        <w:t xml:space="preserve">La serie del MECON es mensual desde 1993 y se publica en tres tramos metodológicos (1993-2006, 2007-2014 y desde 2015). Cada trimestre es la suma de sus tres meses, sin interpolar. La medida que entra al modelo es el flujo trimestral anualizado, no la suma móvil de cuatro trimestres: la suma móvil superpone trimestres y crea una autocorrelación artificial (0,97 de orden 1, contra 0,65 del flujo trimestral). La estacionalidad que conserva el flujo trimestral la absorben las variables binarias del modelo. La serie incluye las rentas de la propiedad, entre ellas las transferencias de utilidades del BCRA al Tesoro, porque la fuente no permite separar estas últimas. Dentro del perímetro consolidado del Tesoro y el BCRA esas transferencias son un movimiento interno, que no cambia los recursos del conjunto. Por eso se informa también una variante sin rentas de la propiedad, que excluye más que esas transferencias (Tabla 6.6). La serie principal es la que incluye las rentas.</w:t>
      </w:r>
    </w:p>
    <w:p>
      <w:pPr>
        <w:pStyle w:val="BodyText"/>
      </w:pPr>
      <w:r>
        <w:rPr>
          <w:b/>
          <w:bCs/>
        </w:rPr>
        <w:t xml:space="preserve">Crecimiento.</w:t>
      </w:r>
      <w:r>
        <w:t xml:space="preserve"> </w:t>
      </w:r>
      <w:r>
        <w:t xml:space="preserve">El PIB real de 2004-2025 es la serie del INDEC en base 2004. El de 1996-2003 es la serie en base 1993, empalmada con un coeficiente de enlace de 1,751 (la razón media entre las dos bases en 2004). El coeficiente afecta el nivel anterior a 2004, pero no las tasas de crecimiento, que es lo que entra al modelo. Se usa la serie original y no la desestacionalizada del INDEC, porque esta empieza en 2004; la estacionalidad la absorben las variables binarias trimestrales.</w:t>
      </w:r>
    </w:p>
    <w:bookmarkEnd w:id="67"/>
    <w:bookmarkStart w:id="76" w:name="variables-financieras-y-externas"/>
    <w:p>
      <w:pPr>
        <w:pStyle w:val="Heading2"/>
      </w:pPr>
      <w:r>
        <w:t xml:space="preserve">5.4 Variables financieras y externas</w:t>
      </w:r>
    </w:p>
    <w:p>
      <w:pPr>
        <w:pStyle w:val="Compact"/>
        <w:numPr>
          <w:ilvl w:val="0"/>
          <w:numId w:val="1008"/>
        </w:numPr>
      </w:pPr>
      <w:r>
        <w:rPr>
          <w:b/>
          <w:bCs/>
        </w:rPr>
        <w:t xml:space="preserve">EMBI+.</w:t>
      </w:r>
      <w:r>
        <w:t xml:space="preserve"> </w:t>
      </w:r>
      <w:r>
        <w:t xml:space="preserve">Desde 1998T4 es el EMBI+ de J.P. Morgan, promedio trimestral de la serie diaria que publica Ámbito Financiero. Los valores de 1998T1-1998T3 corresponden al mismo índice, pero no provienen de esa serie diaria: están transcriptos en el código de construcción. Para 1996-1997 se usa el</w:t>
      </w:r>
      <w:r>
        <w:t xml:space="preserve"> </w:t>
      </w:r>
      <w:r>
        <w:rPr>
          <w:i/>
          <w:iCs/>
        </w:rPr>
        <w:t xml:space="preserve">stripped spread</w:t>
      </w:r>
      <w:r>
        <w:rPr>
          <w:rStyle w:val="FootnoteReference"/>
        </w:rPr>
        <w:footnoteReference w:id="68"/>
      </w:r>
      <w:r>
        <w:t xml:space="preserve"> </w:t>
      </w:r>
      <w:r>
        <w:t xml:space="preserve">de los bonos</w:t>
      </w:r>
      <w:r>
        <w:t xml:space="preserve"> </w:t>
      </w:r>
      <w:r>
        <w:rPr>
          <w:i/>
          <w:iCs/>
        </w:rPr>
        <w:t xml:space="preserve">Brady</w:t>
      </w:r>
      <w:r>
        <w:rPr>
          <w:rStyle w:val="FootnoteReference"/>
        </w:rPr>
        <w:footnoteReference w:id="69"/>
      </w:r>
      <w:r>
        <w:t xml:space="preserve">, también transcripto en el código, que atribuye los valores al índice EMBI de J.P. Morgan tal como lo emplean Neumeyer y Perri (2005) y Uribe y Yue (2006). Esos ocho trimestres se ajustan con una corrección proporcional en el punto de unión (factor 0,871, el cociente entre el EMBI+ de 1998T1 y el</w:t>
      </w:r>
      <w:r>
        <w:t xml:space="preserve"> </w:t>
      </w:r>
      <w:r>
        <w:rPr>
          <w:i/>
          <w:iCs/>
        </w:rPr>
        <w:t xml:space="preserve">stripped spread</w:t>
      </w:r>
      <w:r>
        <w:t xml:space="preserve"> </w:t>
      </w:r>
      <w:r>
        <w:t xml:space="preserve">de 1997T4) para que el empalme no introduzca un salto de nivel.</w:t>
      </w:r>
    </w:p>
    <w:p>
      <w:pPr>
        <w:pStyle w:val="Compact"/>
        <w:numPr>
          <w:ilvl w:val="0"/>
          <w:numId w:val="1008"/>
        </w:numPr>
      </w:pPr>
      <w:r>
        <w:rPr>
          <w:b/>
          <w:bCs/>
        </w:rPr>
        <w:t xml:space="preserve">Tipo de cambio real multilateral.</w:t>
      </w:r>
      <w:r>
        <w:t xml:space="preserve"> </w:t>
      </w:r>
      <w:r>
        <w:t xml:space="preserve">Índice del BCRA, disponible desde 1997. Los cuatro trimestres de 1996 se retropolan con la tendencia de 1997-1999.</w:t>
      </w:r>
    </w:p>
    <w:p>
      <w:pPr>
        <w:pStyle w:val="Compact"/>
        <w:numPr>
          <w:ilvl w:val="0"/>
          <w:numId w:val="1008"/>
        </w:numPr>
      </w:pPr>
      <w:r>
        <w:rPr>
          <w:b/>
          <w:bCs/>
        </w:rPr>
        <w:t xml:space="preserve">Tasa de la FED.</w:t>
      </w:r>
      <w:r>
        <w:t xml:space="preserve"> </w:t>
      </w:r>
      <w:r>
        <w:t xml:space="preserve">Tasa de fondos federales, salvo en los trimestres en que está en el límite cero (2009-2015 y 2020-2021), donde se usa la tasa sombra de Wu y Xia (2016). En el límite cero la tasa efectiva deja de reflejar la orientación de la política, y la tasa sombra la recupera. En el modelo entra la variación trimestral, cuyo desvío estándar (0,50 puntos) es el tamaño del</w:t>
      </w:r>
      <w:r>
        <w:t xml:space="preserve"> </w:t>
      </w:r>
      <w:r>
        <w:rPr>
          <w:i/>
          <w:iCs/>
        </w:rPr>
        <w:t xml:space="preserve">shock</w:t>
      </w:r>
      <w:r>
        <w:t xml:space="preserve"> </w:t>
      </w:r>
      <w:r>
        <w:t xml:space="preserve">de la sección 4.6.</w:t>
      </w:r>
    </w:p>
    <w:p>
      <w:pPr>
        <w:pStyle w:val="Compact"/>
        <w:numPr>
          <w:ilvl w:val="0"/>
          <w:numId w:val="1008"/>
        </w:numPr>
      </w:pPr>
      <w:r>
        <w:rPr>
          <w:b/>
          <w:bCs/>
        </w:rPr>
        <w:t xml:space="preserve">VIX.</w:t>
      </w:r>
      <w:r>
        <w:t xml:space="preserve"> </w:t>
      </w:r>
      <w:r>
        <w:t xml:space="preserve">Volatilidad implícita del índice S&amp;P 500, promedio trimestral del cierre diario descargado de Yahoo Finance.</w:t>
      </w:r>
    </w:p>
    <w:p>
      <w:pPr>
        <w:pStyle w:val="FirstParagraph"/>
      </w:pPr>
      <w:r>
        <w:t xml:space="preserve">La Figura 5.2 muestra las variables endógenas y la Figura 5.3, las exógenas.</w:t>
      </w:r>
    </w:p>
    <w:p>
      <w:pPr>
        <w:pStyle w:val="CaptionedFigure"/>
      </w:pPr>
      <w:r>
        <w:drawing>
          <wp:inline>
            <wp:extent cx="5334000" cy="3657600"/>
            <wp:effectExtent b="0" l="0" r="0" t="0"/>
            <wp:docPr descr="Figura 5.2. Variables endógenas del SVARX, 1996-2025. El crecimiento es la variación trimestral del PIB real sin desestacionalizar; la estacionalidad la absorben las variables binarias del modelo. Las líneas punteadas marcan los quiebres de Bai y Perron. Fuente: elaboración propia con datos del INDEC, el MECON, el BCRA y J.P. Morgan (sección 5.4)." title="" id="71" name="Picture"/>
            <a:graphic>
              <a:graphicData uri="http://schemas.openxmlformats.org/drawingml/2006/picture">
                <pic:pic>
                  <pic:nvPicPr>
                    <pic:cNvPr descr="../tesis/figuras/fig5_2_variables_endogenas.png" id="72" name="Picture"/>
                    <pic:cNvPicPr>
                      <a:picLocks noChangeArrowheads="1" noChangeAspect="1"/>
                    </pic:cNvPicPr>
                  </pic:nvPicPr>
                  <pic:blipFill>
                    <a:blip r:embed="rId70"/>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Figura 5.2. Variables endógenas del SVARX, 1996-2025. El crecimiento es la variación trimestral del PIB real sin desestacionalizar; la estacionalidad la absorben las variables binarias del modelo. Las líneas punteadas marcan los quiebres de Bai y Perron. Fuente: elaboración propia con datos del INDEC, el MECON, el BCRA y J.P. Morgan (sección 5.4).</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 title="" id="74" name="Picture"/>
            <a:graphic>
              <a:graphicData uri="http://schemas.openxmlformats.org/drawingml/2006/picture">
                <pic:pic>
                  <pic:nvPicPr>
                    <pic:cNvPr descr="../tesis/figuras/fig5_3_fed_y_vix.png" id="75" name="Picture"/>
                    <pic:cNvPicPr>
                      <a:picLocks noChangeArrowheads="1" noChangeAspect="1"/>
                    </pic:cNvPicPr>
                  </pic:nvPicPr>
                  <pic:blipFill>
                    <a:blip r:embed="rId7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w:t>
      </w:r>
    </w:p>
    <w:bookmarkEnd w:id="76"/>
    <w:bookmarkStart w:id="77" w:name="contraste-con-el-fmi"/>
    <w:p>
      <w:pPr>
        <w:pStyle w:val="Heading2"/>
      </w:pPr>
      <w:r>
        <w:t xml:space="preserve">5.5 Contraste con el FMI</w:t>
      </w:r>
    </w:p>
    <w:p>
      <w:pPr>
        <w:pStyle w:val="FirstParagraph"/>
      </w:pPr>
      <w:r>
        <w:t xml:space="preserve">El FMI (2025, anexo II, cuadro 2) publica la deuda consolidada para 2023 y 2024. La Tabla 5.2 la compara con la de esta tesis.</w:t>
      </w:r>
    </w:p>
    <w:p>
      <w:pPr>
        <w:pStyle w:val="BodyText"/>
      </w:pPr>
      <w:r>
        <w:rPr>
          <w:b/>
          <w:bCs/>
        </w:rPr>
        <w:t xml:space="preserve">Tabla 5.2. Deuda consolidada: esta tesis y FMI (% del PIB,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tesis</w:t>
            </w:r>
          </w:p>
        </w:tc>
        <w:tc>
          <w:tcPr/>
          <w:p>
            <w:pPr>
              <w:pStyle w:val="Compact"/>
            </w:pPr>
            <w:r>
              <w:rPr>
                <w:rFonts w:ascii="Calibri" w:hAnsi="Calibri"/>
                <w:sz w:val="20"/>
              </w:rPr>
              <w:t xml:space="preserve">2023, FMI</w:t>
            </w:r>
          </w:p>
        </w:tc>
        <w:tc>
          <w:tcPr/>
          <w:p>
            <w:pPr>
              <w:pStyle w:val="Compact"/>
            </w:pPr>
            <w:r>
              <w:rPr>
                <w:rFonts w:ascii="Calibri" w:hAnsi="Calibri"/>
                <w:sz w:val="20"/>
              </w:rPr>
              <w:t xml:space="preserve">2024, tesis</w:t>
            </w:r>
          </w:p>
        </w:tc>
        <w:tc>
          <w:tcPr/>
          <w:p>
            <w:pPr>
              <w:pStyle w:val="Compact"/>
            </w:pPr>
            <w:r>
              <w:rPr>
                <w:rFonts w:ascii="Calibri" w:hAnsi="Calibri"/>
                <w:sz w:val="20"/>
              </w:rPr>
              <w:t xml:space="preserve">2024, FMI</w:t>
            </w:r>
          </w:p>
        </w:tc>
      </w:tr>
      <w:tr>
        <w:tc>
          <w:tcPr/>
          <w:p>
            <w:pPr>
              <w:pStyle w:val="Compact"/>
            </w:pPr>
            <w:r>
              <w:rPr>
                <w:rFonts w:ascii="Calibri" w:hAnsi="Calibri"/>
                <w:sz w:val="20"/>
              </w:rPr>
              <w:t xml:space="preserve">Deuda bruta de la Administración Central</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r>
      <w:tr>
        <w:tc>
          <w:tcPr/>
          <w:p>
            <w:pPr>
              <w:pStyle w:val="Compact"/>
            </w:pPr>
            <w:r>
              <w:rPr>
                <w:rFonts w:ascii="Calibri" w:hAnsi="Calibri"/>
                <w:sz w:val="20"/>
              </w:rPr>
              <w:t xml:space="preserve">Deuda del Tesoro en poder del sector público</w:t>
            </w:r>
          </w:p>
        </w:tc>
        <w:tc>
          <w:tcPr/>
          <w:p>
            <w:pPr>
              <w:pStyle w:val="Compact"/>
            </w:pPr>
            <w:r>
              <w:rPr>
                <w:rFonts w:ascii="Calibri" w:hAnsi="Calibri"/>
                <w:sz w:val="20"/>
              </w:rPr>
              <w:t xml:space="preserve">48,6 (solo BCRA)</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20,4 (solo BCRA)</w:t>
            </w:r>
          </w:p>
        </w:tc>
        <w:tc>
          <w:tcPr/>
          <w:p>
            <w:pPr>
              <w:pStyle w:val="Compact"/>
            </w:pPr>
            <w:r>
              <w:rPr>
                <w:rFonts w:ascii="Calibri" w:hAnsi="Calibri"/>
                <w:sz w:val="20"/>
              </w:rPr>
              <w:t xml:space="preserve">33,9 (BCRA y FGS)</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0,5</w:t>
            </w:r>
          </w:p>
        </w:tc>
        <w:tc>
          <w:tcPr/>
          <w:p>
            <w:pPr>
              <w:pStyle w:val="Compact"/>
            </w:pPr>
            <w:r>
              <w:rPr>
                <w:rFonts w:ascii="Calibri" w:hAnsi="Calibri"/>
                <w:sz w:val="20"/>
              </w:rPr>
              <w:t xml:space="preserve">0,5</w:t>
            </w:r>
          </w:p>
        </w:tc>
        <w:tc>
          <w:tcPr/>
          <w:p>
            <w:pPr>
              <w:pStyle w:val="Compact"/>
            </w:pPr>
            <w:r>
              <w:rPr>
                <w:rFonts w:ascii="Calibri" w:hAnsi="Calibri"/>
                <w:sz w:val="20"/>
              </w:rPr>
              <w:t xml:space="preserve">2,1</w:t>
            </w:r>
          </w:p>
        </w:tc>
        <w:tc>
          <w:tcPr/>
          <w:p>
            <w:pPr>
              <w:pStyle w:val="Compact"/>
            </w:pPr>
            <w:r>
              <w:rPr>
                <w:rFonts w:ascii="Calibri" w:hAnsi="Calibri"/>
                <w:sz w:val="20"/>
              </w:rPr>
              <w:t xml:space="preserve">2,1</w:t>
            </w:r>
          </w:p>
        </w:tc>
      </w:tr>
      <w:tr>
        <w:tc>
          <w:tcPr/>
          <w:p>
            <w:pPr>
              <w:pStyle w:val="Compact"/>
            </w:pPr>
            <w:r>
              <w:rPr>
                <w:rFonts w:ascii="Calibri" w:hAnsi="Calibri"/>
                <w:b/>
                <w:bCs/>
                <w:sz w:val="20"/>
              </w:rPr>
              <w:t xml:space="preserve">Deuda consolidada neta</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61,1</w:t>
            </w:r>
          </w:p>
        </w:tc>
        <w:tc>
          <w:tcPr/>
          <w:p>
            <w:pPr>
              <w:pStyle w:val="Compact"/>
            </w:pPr>
            <w:r>
              <w:rPr>
                <w:rFonts w:ascii="Calibri" w:hAnsi="Calibri"/>
                <w:b/>
                <w:bCs/>
                <w:sz w:val="20"/>
              </w:rPr>
              <w:t xml:space="preserve">51,5</w:t>
            </w:r>
          </w:p>
        </w:tc>
      </w:tr>
    </w:tbl>
    <w:p>
      <w:pPr>
        <w:pStyle w:val="BodyText"/>
      </w:pPr>
      <w:r>
        <w:t xml:space="preserve">Fuente: elaboración propia con datos del MECON, el BCRA y el INDEC, y FMI (2025, anexo II, cuadro 2).</w:t>
      </w:r>
    </w:p>
    <w:p>
      <w:pPr>
        <w:pStyle w:val="BodyText"/>
      </w:pPr>
      <w:r>
        <w:t xml:space="preserve">La deuda bruta y los depósitos coinciden con el FMI dentro de 3,2 puntos. La deuda bruta del FMI es algo mayor porque suma intereses capitalizados, deuda con acreedores que no entraron a los canjes (</w:t>
      </w:r>
      <w:r>
        <w:rPr>
          <w:i/>
          <w:iCs/>
        </w:rPr>
        <w:t xml:space="preserve">holdouts</w:t>
      </w:r>
      <w:r>
        <w:t xml:space="preserve">) y reclamos por el cupón PIB, que no figuran en el informe del MECON. Los pasivos del BCRA son algo menores porque falta el</w:t>
      </w:r>
      <w:r>
        <w:t xml:space="preserve"> </w:t>
      </w:r>
      <w:r>
        <w:rPr>
          <w:i/>
          <w:iCs/>
        </w:rPr>
        <w:t xml:space="preserve">swap</w:t>
      </w:r>
      <w:r>
        <w:t xml:space="preserve"> </w:t>
      </w:r>
      <w:r>
        <w:t xml:space="preserve">con China. La diferencia principal está en la segunda línea: el FMI resta también la deuda del Tesoro en poder del FGS, que la serie principal de esta tesis no resta. Por eso, la deuda neta de esta tesis queda 8,2 puntos por encima de la del FMI en 2023 y 9,6 puntos en 2024. Es esperable que la brecha aparezca desde 2007, cuando se creó el FGS (Poder Ejecutivo Nacional, 2007), aunque la comparación directa con el FMI solo es posible en los años que este publica. La Secretaría de Finanzas del MECON publica, en su presentación trimestral de la deuda, la deuda bruta de la Administración Central por acreedor, con la parte en poder de agencias del sector público, entre ellas el FGS. Ese dato es anual entre 2004 y 2020 y trimestral desde el cuarto trimestre de 2021. La serie principal no descuenta esas tenencias, y una variante que las descuente queda pendiente.</w:t>
      </w:r>
    </w:p>
    <w:p>
      <w:pPr>
        <w:pStyle w:val="BodyText"/>
      </w:pPr>
      <w:r>
        <w:t xml:space="preserve">El informe más reciente del FMI (2026, cuadro 2) actualiza esas cifras y agrega 2025: 111,1% en 2023, 53,6% en 2024 y 52,1% en 2025, frente a 119,0%, 61,1% y 61,0% de esta tesis. La diferencia, de 7,5 a 8,9 puntos, se mantiene estable, lo que es compatible con una brecha que viene sobre todo del FGS.</w:t>
      </w:r>
    </w:p>
    <w:p>
      <w:pPr>
        <w:pStyle w:val="BodyText"/>
      </w:pPr>
      <w:r>
        <w:t xml:space="preserve">El resultado primario de esta tesis da −2,7% del PIB en 2023 y 1,8% en 2024, frente a −2,8% y 1,8% del FMI (2025, cuadro 3b). El crecimiento real da −1,9% y −1,4%, frente a −1,6% y −1,7% del FMI.</w:t>
      </w:r>
    </w:p>
    <w:bookmarkEnd w:id="77"/>
    <w:bookmarkStart w:id="78" w:name="limitaciones-de-los-datos"/>
    <w:p>
      <w:pPr>
        <w:pStyle w:val="Heading2"/>
      </w:pPr>
      <w:r>
        <w:t xml:space="preserve">5.6 Limitaciones de los datos</w:t>
      </w:r>
    </w:p>
    <w:p>
      <w:pPr>
        <w:pStyle w:val="Compact"/>
        <w:numPr>
          <w:ilvl w:val="0"/>
          <w:numId w:val="1009"/>
        </w:numPr>
      </w:pPr>
      <w:r>
        <w:rPr>
          <w:b/>
          <w:bCs/>
        </w:rPr>
        <w:t xml:space="preserve">FGS.</w:t>
      </w:r>
      <w:r>
        <w:t xml:space="preserve"> </w:t>
      </w:r>
      <w:r>
        <w:t xml:space="preserve">La deuda neta no descuenta la deuda del Tesoro en poder del FGS ni la de otras agencias del sector público, y por eso queda por encima de la del FMI (sección 5.5). Como en el modelo la deuda entra rezagada y la diferencia es estable, su efecto sobre la dinámica estimada debería ser acotado. El modelo se estima también con la deuda bruta. Para acotar el efecto sobre la proyección, la simulación se repite partiendo de la deuda consolidada neta del FMI (52,1% del PIB en 2025), que sí descuenta el FGS (Capítulo 6).</w:t>
      </w:r>
    </w:p>
    <w:p>
      <w:pPr>
        <w:pStyle w:val="Compact"/>
        <w:numPr>
          <w:ilvl w:val="0"/>
          <w:numId w:val="1009"/>
        </w:numPr>
      </w:pPr>
      <w:r>
        <w:rPr>
          <w:b/>
          <w:bCs/>
        </w:rPr>
        <w:t xml:space="preserve">Valuación de las Letras Intransferibles.</w:t>
      </w:r>
      <w:r>
        <w:t xml:space="preserve"> </w:t>
      </w:r>
      <w:r>
        <w:t xml:space="preserve">El valor nominal está disponible en 80 de los 120 trimestres: 17 son anclas oficiales del MECON, 39 se reconstruyen con las fechas de emisión de cada letra y 24 se interpolan entre anclas con canjes o cambios de monto. Los 40 trimestres anteriores a 2006, cuando las Letras no existían, conservan el valor contable. La serie con valor contable se usa como robustez.</w:t>
      </w:r>
    </w:p>
    <w:p>
      <w:pPr>
        <w:pStyle w:val="Compact"/>
        <w:numPr>
          <w:ilvl w:val="0"/>
          <w:numId w:val="1009"/>
        </w:numPr>
      </w:pPr>
      <w:r>
        <w:rPr>
          <w:b/>
          <w:bCs/>
        </w:rPr>
        <w:t xml:space="preserve">Empalmes y valores transcriptos.</w:t>
      </w:r>
      <w:r>
        <w:t xml:space="preserve"> </w:t>
      </w:r>
      <w:r>
        <w:t xml:space="preserve">El PIB de 1996-2003 (cambio de base) tiene incertidumbre de nivel, pero el empalme no afecta las tasas de crecimiento que entran al modelo. El EMBI+, en cambio, entra en niveles. Los ocho trimestres de 1996-1997 provienen del</w:t>
      </w:r>
      <w:r>
        <w:t xml:space="preserve"> </w:t>
      </w:r>
      <w:r>
        <w:rPr>
          <w:i/>
          <w:iCs/>
        </w:rPr>
        <w:t xml:space="preserve">stripped spread</w:t>
      </w:r>
      <w:r>
        <w:t xml:space="preserve"> </w:t>
      </w:r>
      <w:r>
        <w:t xml:space="preserve">empalmado y quedan fuera de la muestra de estimación (1998T2-2025T4), en la que entran a lo sumo como rezagos iniciales. Los valores transcriptos de 1998T1-1998T3 no tienen una serie diaria de respaldo, y dos de ellos (1998T2 y 1998T3) caen dentro de la muestra.</w:t>
      </w:r>
    </w:p>
    <w:p>
      <w:pPr>
        <w:pStyle w:val="Compact"/>
        <w:numPr>
          <w:ilvl w:val="0"/>
          <w:numId w:val="1009"/>
        </w:numPr>
      </w:pPr>
      <w:r>
        <w:rPr>
          <w:b/>
          <w:bCs/>
        </w:rPr>
        <w:t xml:space="preserve">Resultado primario.</w:t>
      </w:r>
      <w:r>
        <w:t xml:space="preserve"> </w:t>
      </w:r>
      <w:r>
        <w:t xml:space="preserve">Incluye las utilidades del BCRA, cubre el Sector Público Nacional, que es un perímetro más amplio que el del gobierno federal del FMI, y tiene dos cambios de metodología (2007 y 2015) sin período de superposición.</w:t>
      </w:r>
    </w:p>
    <w:p>
      <w:pPr>
        <w:pStyle w:val="Compact"/>
        <w:numPr>
          <w:ilvl w:val="0"/>
          <w:numId w:val="1009"/>
        </w:numPr>
      </w:pPr>
      <w:r>
        <w:rPr>
          <w:b/>
          <w:bCs/>
        </w:rPr>
        <w:t xml:space="preserve">Pasivos del BCRA.</w:t>
      </w:r>
      <w:r>
        <w:t xml:space="preserve"> </w:t>
      </w:r>
      <w:r>
        <w:t xml:space="preserve">Falta el</w:t>
      </w:r>
      <w:r>
        <w:t xml:space="preserve"> </w:t>
      </w:r>
      <w:r>
        <w:rPr>
          <w:i/>
          <w:iCs/>
        </w:rPr>
        <w:t xml:space="preserve">swap</w:t>
      </w:r>
      <w:r>
        <w:t xml:space="preserve"> </w:t>
      </w:r>
      <w:r>
        <w:t xml:space="preserve">con China, y la posición de pases es neta, de modo que en algunos trimestres resta.</w:t>
      </w:r>
    </w:p>
    <w:p>
      <w:pPr>
        <w:pStyle w:val="FirstParagraph"/>
      </w:pPr>
      <w:r>
        <w:t xml:space="preserve">El detalle de cada construcción, con sus controles, está en el informe de datos del repositorio de la tesis.</w:t>
      </w:r>
    </w:p>
    <w:bookmarkEnd w:id="78"/>
    <w:bookmarkEnd w:id="79"/>
    <w:bookmarkStart w:id="101" w:name="resultados"/>
    <w:p>
      <w:pPr>
        <w:pStyle w:val="Heading1"/>
      </w:pPr>
      <w:r>
        <w:t xml:space="preserve">6. Resultados</w:t>
      </w:r>
    </w:p>
    <w:p>
      <w:pPr>
        <w:pStyle w:val="FirstParagraph"/>
      </w:pPr>
      <w:r>
        <w:t xml:space="preserve">Todos los resultados de este capítulo provienen de la misma muestra efectiva, 1998T2-2025T4 (111 trimestres), y del escenario base del análisis de sostenibilidad más reciente del FMI (2026). La especificación principal usa la deuda consolidada neta con las Letras Intransferibles a valor nominal, que parte de 61,0% del PIB en diciembre de 2025. Los intervalos son de 90% y salen del</w:t>
      </w:r>
      <w:r>
        <w:t xml:space="preserve"> </w:t>
      </w:r>
      <w:r>
        <w:rPr>
          <w:i/>
          <w:iCs/>
        </w:rPr>
        <w:t xml:space="preserve">bootstrap</w:t>
      </w:r>
      <w:r>
        <w:t xml:space="preserve"> </w:t>
      </w:r>
      <w:r>
        <w:t xml:space="preserve">descripto en la sección 4.5.</w:t>
      </w:r>
    </w:p>
    <w:bookmarkStart w:id="83" w:name="el-svarx-estimado"/>
    <w:p>
      <w:pPr>
        <w:pStyle w:val="Heading2"/>
      </w:pPr>
      <w:r>
        <w:t xml:space="preserve">6.1 El SVARX estimado</w:t>
      </w:r>
    </w:p>
    <w:p>
      <w:pPr>
        <w:pStyle w:val="FirstParagraph"/>
      </w:pPr>
      <w:r>
        <w:rPr>
          <w:b/>
          <w:bCs/>
        </w:rPr>
        <w:t xml:space="preserve">Propiedades de las series.</w:t>
      </w:r>
      <w:r>
        <w:t xml:space="preserve"> </w:t>
      </w:r>
      <w:r>
        <w:t xml:space="preserve">Las pruebas de raíz unitaria no clasifican con claridad la mayoría de las series: el resultado primario se comporta como una serie con raíz unitaria, el VIX como estacionaria, y en el resto ADF y KPSS no coinciden (Apéndice, sección A.2). Es lo esperable en series cortas con cambios de régimen (Perron, 1989), y es la razón por la que el VAR se estima en niveles. La prueba de Zivot y Andrews (1992) rechaza la raíz unitaria del TCRM cuando admite un quiebre, que ubica en 2001T4, el mismo trimestre que el primero de los tres quiebres que el procedimiento de Bai y Perron (2003) encuentra en la deuda (2001T4, 2006T2 y 2018T1). Para la propia deuda, en cambio, Zivot y Andrews ubican el quiebre en 2005T1 sin rechazar la raíz unitaria. La prueba de Johansen no rechaza la ausencia de cointegración entre las variables en niveles.</w:t>
      </w:r>
    </w:p>
    <w:p>
      <w:pPr>
        <w:pStyle w:val="BodyText"/>
      </w:pPr>
      <w:r>
        <w:rPr>
          <w:b/>
          <w:bCs/>
        </w:rPr>
        <w:t xml:space="preserve">Rezagos y diagnósticos.</w:t>
      </w:r>
      <w:r>
        <w:t xml:space="preserve"> </w:t>
      </w:r>
      <w:r>
        <w:t xml:space="preserve">El modelo usa tres rezagos (sección 4.5); el autovalor de mayor módulo de la matriz compañera es 0,96, de modo que el sistema es estable. La estimación central de la simulación usa los coeficientes corregidos por sesgo (sección 4.5), cuyo autovalor máximo es 0,9998, prácticamente una raíz unitaria. Con esa dinámica los</w:t>
      </w:r>
      <w:r>
        <w:t xml:space="preserve"> </w:t>
      </w:r>
      <w:r>
        <w:rPr>
          <w:i/>
          <w:iCs/>
        </w:rPr>
        <w:t xml:space="preserve">shocks</w:t>
      </w:r>
      <w:r>
        <w:t xml:space="preserve"> </w:t>
      </w:r>
      <w:r>
        <w:t xml:space="preserve">son muy persistentes, lo que eleva las probabilidades de no estabilización. Como las réplicas del</w:t>
      </w:r>
      <w:r>
        <w:t xml:space="preserve"> </w:t>
      </w:r>
      <w:r>
        <w:rPr>
          <w:i/>
          <w:iCs/>
        </w:rPr>
        <w:t xml:space="preserve">bootstrap</w:t>
      </w:r>
      <w:r>
        <w:t xml:space="preserve"> </w:t>
      </w:r>
      <w:r>
        <w:t xml:space="preserve">usan una corrección menor, los intervalos percentiles no quedan centrados en la estimación central, que se ubica cerca de su límite superior. La prueba de Portmanteau con 12 rezagos rechaza la ausencia de autocorrelación al 5% (p = 0,036). Los residuos no son normales (p &lt; 0,001), lo que justifica remuestrear</w:t>
      </w:r>
      <w:r>
        <w:t xml:space="preserve"> </w:t>
      </w:r>
      <w:r>
        <w:rPr>
          <w:i/>
          <w:iCs/>
        </w:rPr>
        <w:t xml:space="preserve">shocks</w:t>
      </w:r>
      <w:r>
        <w:t xml:space="preserve"> </w:t>
      </w:r>
      <w:r>
        <w:t xml:space="preserve">históricos en lugar de suponer normalidad. La prueba ARCH-LM (Engle, 1982) con cuatro rezagos no detecta heterocedasticidad condicional en ninguna ecuación (p entre 0,87 y 0,99).</w:t>
      </w:r>
    </w:p>
    <w:p>
      <w:pPr>
        <w:pStyle w:val="BodyText"/>
      </w:pPr>
      <w:r>
        <w:rPr>
          <w:b/>
          <w:bCs/>
        </w:rPr>
        <w:t xml:space="preserve">Reacción fiscal.</w:t>
      </w:r>
      <w:r>
        <w:t xml:space="preserve"> </w:t>
      </w:r>
      <w:r>
        <w:t xml:space="preserve">El coeficiente de la deuda rezagada en la ecuación del resultado primario es 0,051, con un intervalo de [0,010; 0,103]. Es el efecto de impacto de la deuda del trimestre anterior sobre el resultado primario trimestral, en un VAR con tres rezagos. Como el resultado primario depende también de sus propios rezagos (coeficientes de 0,340, 0,374 y 0,015 en la estimación por mínimos cuadrados), el multiplicador de largo plazo es 0,051/(1 − 0,340 − 0,374 − 0,015) ≈ 0,19. Es una estimación puntual: no se calculó su intervalo (Apéndice, sección A.6). El coeficiente de impacto casi no cambia con el perímetro de la deuda (Tabla 6.1).</w:t>
      </w:r>
    </w:p>
    <w:p>
      <w:pPr>
        <w:pStyle w:val="BodyText"/>
      </w:pPr>
      <w:r>
        <w:rPr>
          <w:b/>
          <w:bCs/>
        </w:rPr>
        <w:t xml:space="preserve">Tabla 6.1. Reacción fiscal según la serie de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 de deuda</w:t>
            </w:r>
          </w:p>
        </w:tc>
        <w:tc>
          <w:tcPr/>
          <w:p>
            <w:pPr>
              <w:pStyle w:val="Compact"/>
            </w:pPr>
            <w:r>
              <w:rPr>
                <w:rFonts w:ascii="Calibri" w:hAnsi="Calibri"/>
                <w:sz w:val="20"/>
              </w:rPr>
              <w:t xml:space="preserve">Rezagos</w:t>
            </w:r>
          </w:p>
        </w:tc>
        <w:tc>
          <w:tcPr/>
          <w:p>
            <w:pPr>
              <w:pStyle w:val="Compact"/>
            </w:pPr>
            <w:r>
              <w:rPr>
                <w:rFonts w:ascii="Calibri" w:hAnsi="Calibri"/>
                <w:sz w:val="20"/>
              </w:rPr>
              <w:t xml:space="preserve">Reacción fiscal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Consolidada neta, Letras a valor nominal (principal)</w:t>
            </w:r>
          </w:p>
        </w:tc>
        <w:tc>
          <w:tcPr/>
          <w:p>
            <w:pPr>
              <w:pStyle w:val="Compact"/>
            </w:pPr>
            <w:r>
              <w:rPr>
                <w:rFonts w:ascii="Calibri" w:hAnsi="Calibri"/>
                <w:sz w:val="20"/>
              </w:rPr>
              <w:t xml:space="preserve">3</w:t>
            </w:r>
          </w:p>
        </w:tc>
        <w:tc>
          <w:tcPr/>
          <w:p>
            <w:pPr>
              <w:pStyle w:val="Compact"/>
            </w:pPr>
            <w:r>
              <w:rPr>
                <w:rFonts w:ascii="Calibri" w:hAnsi="Calibri"/>
                <w:sz w:val="20"/>
              </w:rPr>
              <w:t xml:space="preserve">0,051</w:t>
            </w:r>
          </w:p>
        </w:tc>
        <w:tc>
          <w:tcPr/>
          <w:p>
            <w:pPr>
              <w:pStyle w:val="Compact"/>
            </w:pPr>
            <w:r>
              <w:rPr>
                <w:rFonts w:ascii="Calibri" w:hAnsi="Calibri"/>
                <w:sz w:val="20"/>
              </w:rPr>
              <w:t xml:space="preserve">[0,010; 0,103]</w:t>
            </w:r>
          </w:p>
        </w:tc>
      </w:tr>
      <w:tr>
        <w:tc>
          <w:tcPr/>
          <w:p>
            <w:pPr>
              <w:pStyle w:val="Compact"/>
            </w:pPr>
            <w:r>
              <w:rPr>
                <w:rFonts w:ascii="Calibri" w:hAnsi="Calibri"/>
                <w:sz w:val="20"/>
              </w:rPr>
              <w:t xml:space="preserve">Consolidada neta, Letras a valor libros</w:t>
            </w:r>
          </w:p>
        </w:tc>
        <w:tc>
          <w:tcPr/>
          <w:p>
            <w:pPr>
              <w:pStyle w:val="Compact"/>
            </w:pPr>
            <w:r>
              <w:rPr>
                <w:rFonts w:ascii="Calibri" w:hAnsi="Calibri"/>
                <w:sz w:val="20"/>
              </w:rPr>
              <w:t xml:space="preserve">3</w:t>
            </w:r>
          </w:p>
        </w:tc>
        <w:tc>
          <w:tcPr/>
          <w:p>
            <w:pPr>
              <w:pStyle w:val="Compact"/>
            </w:pPr>
            <w:r>
              <w:rPr>
                <w:rFonts w:ascii="Calibri" w:hAnsi="Calibri"/>
                <w:sz w:val="20"/>
              </w:rPr>
              <w:t xml:space="preserve">0,053</w:t>
            </w:r>
          </w:p>
        </w:tc>
        <w:tc>
          <w:tcPr/>
          <w:p>
            <w:pPr>
              <w:pStyle w:val="Compact"/>
            </w:pPr>
            <w:r>
              <w:rPr>
                <w:rFonts w:ascii="Calibri" w:hAnsi="Calibri"/>
                <w:sz w:val="20"/>
              </w:rPr>
              <w:t xml:space="preserve">[0,012; 0,105]</w:t>
            </w:r>
          </w:p>
        </w:tc>
      </w:tr>
      <w:tr>
        <w:tc>
          <w:tcPr/>
          <w:p>
            <w:pPr>
              <w:pStyle w:val="Compact"/>
            </w:pPr>
            <w:r>
              <w:rPr>
                <w:rFonts w:ascii="Calibri" w:hAnsi="Calibri"/>
                <w:sz w:val="20"/>
              </w:rPr>
              <w:t xml:space="preserve">Consolidada bruta (Tesoro y BCRA)</w:t>
            </w:r>
          </w:p>
        </w:tc>
        <w:tc>
          <w:tcPr/>
          <w:p>
            <w:pPr>
              <w:pStyle w:val="Compact"/>
            </w:pPr>
            <w:r>
              <w:rPr>
                <w:rFonts w:ascii="Calibri" w:hAnsi="Calibri"/>
                <w:sz w:val="20"/>
              </w:rPr>
              <w:t xml:space="preserve">4</w:t>
            </w:r>
          </w:p>
        </w:tc>
        <w:tc>
          <w:tcPr/>
          <w:p>
            <w:pPr>
              <w:pStyle w:val="Compact"/>
            </w:pPr>
            <w:r>
              <w:rPr>
                <w:rFonts w:ascii="Calibri" w:hAnsi="Calibri"/>
                <w:sz w:val="20"/>
              </w:rPr>
              <w:t xml:space="preserve">0,054</w:t>
            </w:r>
          </w:p>
        </w:tc>
        <w:tc>
          <w:tcPr/>
          <w:p>
            <w:pPr>
              <w:pStyle w:val="Compact"/>
            </w:pPr>
            <w:r>
              <w:rPr>
                <w:rFonts w:ascii="Calibri" w:hAnsi="Calibri"/>
                <w:sz w:val="20"/>
              </w:rPr>
              <w:t xml:space="preserve">[0,023; 0,099]</w:t>
            </w:r>
          </w:p>
        </w:tc>
      </w:tr>
      <w:tr>
        <w:tc>
          <w:tcPr/>
          <w:p>
            <w:pPr>
              <w:pStyle w:val="Compact"/>
            </w:pPr>
            <w:r>
              <w:rPr>
                <w:rFonts w:ascii="Calibri" w:hAnsi="Calibri"/>
                <w:sz w:val="20"/>
              </w:rPr>
              <w:t xml:space="preserve">Bruta del Tesoro, sin el BCRA</w:t>
            </w:r>
          </w:p>
        </w:tc>
        <w:tc>
          <w:tcPr/>
          <w:p>
            <w:pPr>
              <w:pStyle w:val="Compact"/>
            </w:pPr>
            <w:r>
              <w:rPr>
                <w:rFonts w:ascii="Calibri" w:hAnsi="Calibri"/>
                <w:sz w:val="20"/>
              </w:rPr>
              <w:t xml:space="preserve">4</w:t>
            </w:r>
          </w:p>
        </w:tc>
        <w:tc>
          <w:tcPr/>
          <w:p>
            <w:pPr>
              <w:pStyle w:val="Compact"/>
            </w:pPr>
            <w:r>
              <w:rPr>
                <w:rFonts w:ascii="Calibri" w:hAnsi="Calibri"/>
                <w:sz w:val="20"/>
              </w:rPr>
              <w:t xml:space="preserve">0,057</w:t>
            </w:r>
          </w:p>
        </w:tc>
        <w:tc>
          <w:tcPr/>
          <w:p>
            <w:pPr>
              <w:pStyle w:val="Compact"/>
            </w:pPr>
            <w:r>
              <w:rPr>
                <w:rFonts w:ascii="Calibri" w:hAnsi="Calibri"/>
                <w:sz w:val="20"/>
              </w:rPr>
              <w:t xml:space="preserve">[0,024; 0,098]</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(1998, 2005), pero no dice si alcanza para estabilizar la deuda frente a los</w:t>
      </w:r>
      <w:r>
        <w:t xml:space="preserve"> </w:t>
      </w:r>
      <w:r>
        <w:rPr>
          <w:i/>
          <w:iCs/>
        </w:rPr>
        <w:t xml:space="preserve">shocks</w:t>
      </w:r>
      <w:r>
        <w:t xml:space="preserve"> </w:t>
      </w:r>
      <w:r>
        <w:t xml:space="preserve">que enfrenta; eso es lo que contrasta H1a.</w:t>
      </w:r>
    </w:p>
    <w:p>
      <w:pPr>
        <w:pStyle w:val="BodyText"/>
      </w:pPr>
      <w:r>
        <w:rPr>
          <w:b/>
          <w:bCs/>
        </w:rPr>
        <w:t xml:space="preserve">Retroalimentación de la deuda.</w:t>
      </w:r>
      <w:r>
        <w:t xml:space="preserve"> </w:t>
      </w:r>
      <w:r>
        <w:t xml:space="preserve">La deuda rezagada entra en las cuatro ecuaciones del sistema (Favero y Giavazzi, 2007). Además del superávit primario, la deuda se asocia con el crecimiento del trimestre siguiente, con un intervalo de [0,010; 0,141]. Con el riesgo país, la estimación puntual es de 22 puntos básicos por punto de deuda, pero el intervalo, [-0,1; 48,6], incluye el cero: con 111 trimestres no se puede afirmar que una deuda mayor eleve el EMBI+. Con el tipo de cambio real no hay relación.</w:t>
      </w:r>
    </w:p>
    <w:p>
      <w:pPr>
        <w:pStyle w:val="BodyText"/>
      </w:pPr>
      <w:r>
        <w:rPr>
          <w:b/>
          <w:bCs/>
        </w:rPr>
        <w:t xml:space="preserve">Respuesta a la tasa de la FED.</w:t>
      </w:r>
      <w:r>
        <w:t xml:space="preserve"> </w:t>
      </w:r>
      <w:r>
        <w:t xml:space="preserve">Un aumento de un desvío estándar en la tasa de política de la FED (0,50 puntos) no produce respuestas sistemáticas de las variables domésticas (Figura 6.1). El EMBI+ sube 6 puntos básicos en el trimestre del</w:t>
      </w:r>
      <w:r>
        <w:t xml:space="preserve"> </w:t>
      </w:r>
      <w:r>
        <w:rPr>
          <w:i/>
          <w:iCs/>
        </w:rPr>
        <w:t xml:space="preserve">shock</w:t>
      </w:r>
      <w:r>
        <w:t xml:space="preserve">, con un intervalo de [-110; 98], y 28 puntos básicos a los dos años, con un intervalo de [-32; 55]. De las 84 respuestas estimadas (cuatro variables en 21 horizontes), cinco tienen una banda que excluye el cero: el crecimiento en el trimestre del</w:t>
      </w:r>
      <w:r>
        <w:t xml:space="preserve"> </w:t>
      </w:r>
      <w:r>
        <w:rPr>
          <w:i/>
          <w:iCs/>
        </w:rPr>
        <w:t xml:space="preserve">shock</w:t>
      </w:r>
      <w:r>
        <w:t xml:space="preserve">, el resultado primario un trimestre después y el tipo de cambio real entre uno y tres trimestres después, que se aprecia levemente. Con bandas de 90%, el azar ya produciría unas ocho exclusiones aunque la FED no tuviera ningún efecto, y los signos del crecimiento y del tipo de cambio real son los contrarios a los que predice la teoría. Con 111 trimestres y un</w:t>
      </w:r>
      <w:r>
        <w:t xml:space="preserve"> </w:t>
      </w:r>
      <w:r>
        <w:rPr>
          <w:i/>
          <w:iCs/>
        </w:rPr>
        <w:t xml:space="preserve">shock</w:t>
      </w:r>
      <w:r>
        <w:t xml:space="preserve"> </w:t>
      </w:r>
      <w:r>
        <w:t xml:space="preserve">de magnitud acotada, el modelo no distingue los efectos indirectos de la FED del ruido.</w:t>
      </w:r>
    </w:p>
    <w:p>
      <w:pPr>
        <w:pStyle w:val="CaptionedFigure"/>
      </w:pPr>
      <w:r>
        <w:drawing>
          <wp:inline>
            <wp:extent cx="5334000" cy="3501390"/>
            <wp:effectExtent b="0" l="0" r="0" t="0"/>
            <wp:docPr descr="Figura 6.1. Respuestas al impulso ante una suba de la tasa de la FED. Aumento de un desvío estándar (0,50 puntos porcentuales) de la tasa de política; deuda consolidada neta, tres rezagos; coeficientes corregidos por sesgo; bandas de 90% del bootstrap (1.000 réplicas)." title="" id="81" name="Picture"/>
            <a:graphic>
              <a:graphicData uri="http://schemas.openxmlformats.org/drawingml/2006/picture">
                <pic:pic>
                  <pic:nvPicPr>
                    <pic:cNvPr descr="../tesis/figuras/fig6_1_respuesta_fed.png" id="82" name="Picture"/>
                    <pic:cNvPicPr>
                      <a:picLocks noChangeArrowheads="1" noChangeAspect="1"/>
                    </pic:cNvPicPr>
                  </pic:nvPicPr>
                  <pic:blipFill>
                    <a:blip r:embed="rId80"/>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 puntos porcentuales) de la tasa de política; deuda consolidada neta, tres rezagos; coeficientes corregidos por sesgo; bandas de 90% del</w:t>
      </w:r>
      <w:r>
        <w:t xml:space="preserve"> </w:t>
      </w:r>
      <w:r>
        <w:rPr>
          <w:i/>
          <w:iCs/>
        </w:rPr>
        <w:t xml:space="preserve">bootstrap</w:t>
      </w:r>
      <w:r>
        <w:t xml:space="preserve"> </w:t>
      </w:r>
      <w:r>
        <w:t xml:space="preserve">(1.000 réplicas).</w:t>
      </w:r>
    </w:p>
    <w:bookmarkEnd w:id="83"/>
    <w:bookmarkStart w:id="87" w:name="el-gráfico-de-abanico"/>
    <w:p>
      <w:pPr>
        <w:pStyle w:val="Heading2"/>
      </w:pPr>
      <w:r>
        <w:t xml:space="preserve">6.2 El gráfico de abanico</w:t>
      </w:r>
    </w:p>
    <w:p>
      <w:pPr>
        <w:pStyle w:val="FirstParagraph"/>
      </w:pPr>
      <w:r>
        <w:t xml:space="preserve">La Tabla 6.2 resume la distribución de la deuda simulada (Figura 6.2). La mediana baja de 61,0% del PIB en 2025 a 39,5% en 2031 y a 29,9% en 2035, prácticamente la senda determinista del escenario base aplicada al punto de partida de esta tesis (40,2% y 30,3%). La caída la determina el escenario del FMI (2026, cuadro 6): un superávit primario que sube de 1,4% del PIB en 2026 a 2,3% desde 2029 y una tasa de interés efectiva de entre 2,6% y 5,1%, mientras el deflactor del PIB pasa de 30,2% en 2026 a 7,5% desde 2029. La inflación relativa, que es la valuación de la deuda en moneda extranjera por la depreciación nominal del escenario, suma en sentido contrario, sobre todo en 2026 y 2027.</w:t>
      </w:r>
    </w:p>
    <w:p>
      <w:pPr>
        <w:pStyle w:val="BodyText"/>
      </w:pPr>
      <w:r>
        <w:rPr>
          <w:b/>
          <w:bCs/>
        </w:rPr>
        <w:t xml:space="preserve">Tabla 6.2. Deuda consolidada neta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49,7</w:t>
            </w:r>
          </w:p>
        </w:tc>
        <w:tc>
          <w:tcPr/>
          <w:p>
            <w:pPr>
              <w:pStyle w:val="Compact"/>
            </w:pPr>
            <w:r>
              <w:rPr>
                <w:rFonts w:ascii="Calibri" w:hAnsi="Calibri"/>
                <w:sz w:val="20"/>
              </w:rPr>
              <w:t xml:space="preserve">53,3</w:t>
            </w:r>
          </w:p>
        </w:tc>
        <w:tc>
          <w:tcPr/>
          <w:p>
            <w:pPr>
              <w:pStyle w:val="Compact"/>
            </w:pPr>
            <w:r>
              <w:rPr>
                <w:rFonts w:ascii="Calibri" w:hAnsi="Calibri"/>
                <w:sz w:val="20"/>
              </w:rPr>
              <w:t xml:space="preserve">55,9</w:t>
            </w:r>
          </w:p>
        </w:tc>
        <w:tc>
          <w:tcPr/>
          <w:p>
            <w:pPr>
              <w:pStyle w:val="Compact"/>
            </w:pPr>
            <w:r>
              <w:rPr>
                <w:rFonts w:ascii="Calibri" w:hAnsi="Calibri"/>
                <w:sz w:val="20"/>
              </w:rPr>
              <w:t xml:space="preserve">59,0</w:t>
            </w:r>
          </w:p>
        </w:tc>
        <w:tc>
          <w:tcPr/>
          <w:p>
            <w:pPr>
              <w:pStyle w:val="Compact"/>
            </w:pPr>
            <w:r>
              <w:rPr>
                <w:rFonts w:ascii="Calibri" w:hAnsi="Calibri"/>
                <w:sz w:val="20"/>
              </w:rPr>
              <w:t xml:space="preserve">65,2</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39,6</w:t>
            </w:r>
          </w:p>
        </w:tc>
        <w:tc>
          <w:tcPr/>
          <w:p>
            <w:pPr>
              <w:pStyle w:val="Compact"/>
            </w:pPr>
            <w:r>
              <w:rPr>
                <w:rFonts w:ascii="Calibri" w:hAnsi="Calibri"/>
                <w:sz w:val="20"/>
              </w:rPr>
              <w:t xml:space="preserve">45,4</w:t>
            </w:r>
          </w:p>
        </w:tc>
        <w:tc>
          <w:tcPr/>
          <w:p>
            <w:pPr>
              <w:pStyle w:val="Compact"/>
            </w:pPr>
            <w:r>
              <w:rPr>
                <w:rFonts w:ascii="Calibri" w:hAnsi="Calibri"/>
                <w:sz w:val="20"/>
              </w:rPr>
              <w:t xml:space="preserve">49,7</w:t>
            </w:r>
          </w:p>
        </w:tc>
        <w:tc>
          <w:tcPr/>
          <w:p>
            <w:pPr>
              <w:pStyle w:val="Compact"/>
            </w:pPr>
            <w:r>
              <w:rPr>
                <w:rFonts w:ascii="Calibri" w:hAnsi="Calibri"/>
                <w:sz w:val="20"/>
              </w:rPr>
              <w:t xml:space="preserve">54,7</w:t>
            </w:r>
          </w:p>
        </w:tc>
        <w:tc>
          <w:tcPr/>
          <w:p>
            <w:pPr>
              <w:pStyle w:val="Compact"/>
            </w:pPr>
            <w:r>
              <w:rPr>
                <w:rFonts w:ascii="Calibri" w:hAnsi="Calibri"/>
                <w:sz w:val="20"/>
              </w:rPr>
              <w:t xml:space="preserve">63,3</w:t>
            </w:r>
          </w:p>
        </w:tc>
      </w:tr>
      <w:tr>
        <w:tc>
          <w:tcPr/>
          <w:p>
            <w:pPr>
              <w:pStyle w:val="Compact"/>
            </w:pPr>
            <w:r>
              <w:rPr>
                <w:rFonts w:ascii="Calibri" w:hAnsi="Calibri"/>
                <w:sz w:val="20"/>
              </w:rPr>
              <w:t xml:space="preserve">2031</w:t>
            </w:r>
          </w:p>
        </w:tc>
        <w:tc>
          <w:tcPr/>
          <w:p>
            <w:pPr>
              <w:pStyle w:val="Compact"/>
            </w:pPr>
            <w:r>
              <w:rPr>
                <w:rFonts w:ascii="Calibri" w:hAnsi="Calibri"/>
                <w:sz w:val="20"/>
              </w:rPr>
              <w:t xml:space="preserve">23,4</w:t>
            </w:r>
          </w:p>
        </w:tc>
        <w:tc>
          <w:tcPr/>
          <w:p>
            <w:pPr>
              <w:pStyle w:val="Compact"/>
            </w:pPr>
            <w:r>
              <w:rPr>
                <w:rFonts w:ascii="Calibri" w:hAnsi="Calibri"/>
                <w:sz w:val="20"/>
              </w:rPr>
              <w:t xml:space="preserve">32,7</w:t>
            </w:r>
          </w:p>
        </w:tc>
        <w:tc>
          <w:tcPr/>
          <w:p>
            <w:pPr>
              <w:pStyle w:val="Compact"/>
            </w:pPr>
            <w:r>
              <w:rPr>
                <w:rFonts w:ascii="Calibri" w:hAnsi="Calibri"/>
                <w:sz w:val="20"/>
              </w:rPr>
              <w:t xml:space="preserve">39,5</w:t>
            </w:r>
          </w:p>
        </w:tc>
        <w:tc>
          <w:tcPr/>
          <w:p>
            <w:pPr>
              <w:pStyle w:val="Compact"/>
            </w:pPr>
            <w:r>
              <w:rPr>
                <w:rFonts w:ascii="Calibri" w:hAnsi="Calibri"/>
                <w:sz w:val="20"/>
              </w:rPr>
              <w:t xml:space="preserve">46,8</w:t>
            </w:r>
          </w:p>
        </w:tc>
        <w:tc>
          <w:tcPr/>
          <w:p>
            <w:pPr>
              <w:pStyle w:val="Compact"/>
            </w:pPr>
            <w:r>
              <w:rPr>
                <w:rFonts w:ascii="Calibri" w:hAnsi="Calibri"/>
                <w:sz w:val="20"/>
              </w:rPr>
              <w:t xml:space="preserve">58,7</w:t>
            </w:r>
          </w:p>
        </w:tc>
      </w:tr>
      <w:tr>
        <w:tc>
          <w:tcPr/>
          <w:p>
            <w:pPr>
              <w:pStyle w:val="Compact"/>
            </w:pPr>
            <w:r>
              <w:rPr>
                <w:rFonts w:ascii="Calibri" w:hAnsi="Calibri"/>
                <w:sz w:val="20"/>
              </w:rPr>
              <w:t xml:space="preserve">2033</w:t>
            </w:r>
          </w:p>
        </w:tc>
        <w:tc>
          <w:tcPr/>
          <w:p>
            <w:pPr>
              <w:pStyle w:val="Compact"/>
            </w:pPr>
            <w:r>
              <w:rPr>
                <w:rFonts w:ascii="Calibri" w:hAnsi="Calibri"/>
                <w:sz w:val="20"/>
              </w:rPr>
              <w:t xml:space="preserve">15,0</w:t>
            </w:r>
          </w:p>
        </w:tc>
        <w:tc>
          <w:tcPr/>
          <w:p>
            <w:pPr>
              <w:pStyle w:val="Compact"/>
            </w:pPr>
            <w:r>
              <w:rPr>
                <w:rFonts w:ascii="Calibri" w:hAnsi="Calibri"/>
                <w:sz w:val="20"/>
              </w:rPr>
              <w:t xml:space="preserve">26,2</w:t>
            </w:r>
          </w:p>
        </w:tc>
        <w:tc>
          <w:tcPr/>
          <w:p>
            <w:pPr>
              <w:pStyle w:val="Compact"/>
            </w:pPr>
            <w:r>
              <w:rPr>
                <w:rFonts w:ascii="Calibri" w:hAnsi="Calibri"/>
                <w:sz w:val="20"/>
              </w:rPr>
              <w:t xml:space="preserve">34,7</w:t>
            </w:r>
          </w:p>
        </w:tc>
        <w:tc>
          <w:tcPr/>
          <w:p>
            <w:pPr>
              <w:pStyle w:val="Compact"/>
            </w:pPr>
            <w:r>
              <w:rPr>
                <w:rFonts w:ascii="Calibri" w:hAnsi="Calibri"/>
                <w:sz w:val="20"/>
              </w:rPr>
              <w:t xml:space="preserve">43,9</w:t>
            </w:r>
          </w:p>
        </w:tc>
        <w:tc>
          <w:tcPr/>
          <w:p>
            <w:pPr>
              <w:pStyle w:val="Compact"/>
            </w:pPr>
            <w:r>
              <w:rPr>
                <w:rFonts w:ascii="Calibri" w:hAnsi="Calibri"/>
                <w:sz w:val="20"/>
              </w:rPr>
              <w:t xml:space="preserve">58,5</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6,2</w:t>
            </w:r>
          </w:p>
        </w:tc>
        <w:tc>
          <w:tcPr/>
          <w:p>
            <w:pPr>
              <w:pStyle w:val="Compact"/>
            </w:pPr>
            <w:r>
              <w:rPr>
                <w:rFonts w:ascii="Calibri" w:hAnsi="Calibri"/>
                <w:sz w:val="20"/>
              </w:rPr>
              <w:t xml:space="preserve">19,5</w:t>
            </w:r>
          </w:p>
        </w:tc>
        <w:tc>
          <w:tcPr/>
          <w:p>
            <w:pPr>
              <w:pStyle w:val="Compact"/>
            </w:pPr>
            <w:r>
              <w:rPr>
                <w:rFonts w:ascii="Calibri" w:hAnsi="Calibri"/>
                <w:sz w:val="20"/>
              </w:rPr>
              <w:t xml:space="preserve">29,9</w:t>
            </w:r>
          </w:p>
        </w:tc>
        <w:tc>
          <w:tcPr/>
          <w:p>
            <w:pPr>
              <w:pStyle w:val="Compact"/>
            </w:pPr>
            <w:r>
              <w:rPr>
                <w:rFonts w:ascii="Calibri" w:hAnsi="Calibri"/>
                <w:sz w:val="20"/>
              </w:rPr>
              <w:t xml:space="preserve">41,5</w:t>
            </w:r>
          </w:p>
        </w:tc>
        <w:tc>
          <w:tcPr/>
          <w:p>
            <w:pPr>
              <w:pStyle w:val="Compact"/>
            </w:pPr>
            <w:r>
              <w:rPr>
                <w:rFonts w:ascii="Calibri" w:hAnsi="Calibri"/>
                <w:sz w:val="20"/>
              </w:rPr>
              <w:t xml:space="preserve">61,4</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consolidada neta simulada, 2025-2035 (% del PIB). Escenario base del FMI (2026) con shocks estructurales del SVARX; estimación central con parámetros corregidos por sesgo y 20.000 trayectorias." title="" id="85" name="Picture"/>
            <a:graphic>
              <a:graphicData uri="http://schemas.openxmlformats.org/drawingml/2006/picture">
                <pic:pic>
                  <pic:nvPicPr>
                    <pic:cNvPr descr="../tesis/figuras/fig6_2_abanico_deuda_neta.png" id="86" name="Picture"/>
                    <pic:cNvPicPr>
                      <a:picLocks noChangeArrowheads="1" noChangeAspect="1"/>
                    </pic:cNvPicPr>
                  </pic:nvPicPr>
                  <pic:blipFill>
                    <a:blip r:embed="rId8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consolidada neta simulada, 2025-2035 (% del PIB). Escenario base del FMI (2026) con</w:t>
      </w:r>
      <w:r>
        <w:t xml:space="preserve"> </w:t>
      </w:r>
      <w:r>
        <w:rPr>
          <w:i/>
          <w:iCs/>
        </w:rPr>
        <w:t xml:space="preserve">shocks</w:t>
      </w:r>
      <w:r>
        <w:t xml:space="preserve"> </w:t>
      </w:r>
      <w:r>
        <w:t xml:space="preserve">estructurales del SVARX; estimación central con parámetros corregidos por sesgo y 20.000 trayectorias.</w:t>
      </w:r>
    </w:p>
    <w:p>
      <w:pPr>
        <w:pStyle w:val="BodyText"/>
      </w:pPr>
      <w:r>
        <w:t xml:space="preserve">El ancho del abanico entre los percentiles 5 y 95 es de 35,3 puntos en 2031, con un intervalo de [19,1; 37,6]. El del FMI para la deuda federal bruta es 71,5 (FMI, 2026, cuadro 7). El Capítulo 7 analiza esta diferencia.</w:t>
      </w:r>
    </w:p>
    <w:bookmarkEnd w:id="87"/>
    <w:bookmarkStart w:id="94"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tipo de cambio real y el riesgo país.</w:t>
      </w:r>
    </w:p>
    <w:p>
      <w:pPr>
        <w:pStyle w:val="BodyText"/>
      </w:pPr>
      <w:r>
        <w:rPr>
          <w:b/>
          <w:bCs/>
        </w:rPr>
        <w:t xml:space="preserve">Suficiencia del superávit.</w:t>
      </w:r>
      <w:r>
        <w:t xml:space="preserve"> </w:t>
      </w:r>
      <w:r>
        <w:t xml:space="preserve">Con el superávit del escenario base (1,4% del PIB en 2026 y 2,3% desde 2029), la probabilidad de que la deuda no se estabilice en 2031 es de 25,2%. El contraste desplaza en la misma magnitud el resultado primario de todos los años de 2026 a 2035, y la Figura 6.3 muestra cómo baja la probabilidad de 2031 a medida que crece ese desplazamiento. Para llevarla al 1%, que es la estimación puntual del FMI para Argentina (FMI, 2026), el desplazamiento tiene que ser de alrededor de 4,75 puntos: un superávit primario de 6,15% del PIB en 2026 que sube a 7,05% en 2031. El máximo del Sector Público Nacional en 1996-2025 es 3,6% del PIB, la suma de los cuatro trimestres a diciembre de 2004, que incluye las rentas de la propiedad; el máximo de la suma móvil de cuatro trimestres es 3,93% (2004T3), y sin rentas de la propiedad es 3,29%. Con un superávit de 3,6% en 2031, la probabilidad de no estabilización sería de alrededor de 15%. Con este criterio, H1a queda respaldada: ningún superávit dentro del rango observado en tres décadas lleva la probabilidad a la estimación del FMI.</w:t>
      </w:r>
    </w:p>
    <w:p>
      <w:pPr>
        <w:pStyle w:val="BodyText"/>
      </w:pPr>
      <w:r>
        <w:t xml:space="preserve">En 2035 la probabilidad no baja de manera monótona: cae hasta 1,15% con un desplazamiento de 4,5 puntos y vuelve a subir, hasta 1,93% con 6,0 puntos. Con superávits tan altos la deuda queda cerca de cero, y la métrica, que se evalúa año por año, se activa con</w:t>
      </w:r>
      <w:r>
        <w:t xml:space="preserve"> </w:t>
      </w:r>
      <w:r>
        <w:rPr>
          <w:i/>
          <w:iCs/>
        </w:rPr>
        <w:t xml:space="preserve">shocks</w:t>
      </w:r>
      <w:r>
        <w:t xml:space="preserve"> </w:t>
      </w:r>
      <w:r>
        <w:t xml:space="preserve">pequeños.</w:t>
      </w:r>
    </w:p>
    <w:p>
      <w:pPr>
        <w:pStyle w:val="CaptionedFigure"/>
      </w:pPr>
      <w:r>
        <w:drawing>
          <wp:inline>
            <wp:extent cx="5334000" cy="2790092"/>
            <wp:effectExtent b="0" l="0" r="0" t="0"/>
            <wp:docPr descr="Figura 6.3. Contraste de suficiencia del superávit. Probabilidad de no estabilización en 2031 según el resultado primario de 2031, con el resultado primario de todos los años del escenario base del FMI (2026) desplazado en la misma magnitud. Estimación central, 10.000 trayectorias." title="" id="89" name="Picture"/>
            <a:graphic>
              <a:graphicData uri="http://schemas.openxmlformats.org/drawingml/2006/picture">
                <pic:pic>
                  <pic:nvPicPr>
                    <pic:cNvPr descr="../tesis/figuras/fig6_5_suficiencia_superavit.png" id="90" name="Picture"/>
                    <pic:cNvPicPr>
                      <a:picLocks noChangeArrowheads="1" noChangeAspect="1"/>
                    </pic:cNvPicPr>
                  </pic:nvPicPr>
                  <pic:blipFill>
                    <a:blip r:embed="rId88"/>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6.3. Contraste de suficiencia del superávit. Probabilidad de no estabilización en 2031 según el resultado primario de 2031, con el resultado primario de todos los años del escenario base del FMI (2026) desplazado en la misma magnitud. Estimación central, 10.000 trayectorias.</w:t>
      </w:r>
    </w:p>
    <w:p>
      <w:pPr>
        <w:pStyle w:val="BodyText"/>
      </w:pPr>
      <w:r>
        <w:rPr>
          <w:b/>
          <w:bCs/>
        </w:rPr>
        <w:t xml:space="preserve">De dónde viene el riesgo.</w:t>
      </w:r>
      <w:r>
        <w:t xml:space="preserve"> </w:t>
      </w:r>
      <w:r>
        <w:t xml:space="preserve">La Tabla 6.3 descompone la varianza de la deuda simulada en 2035 según el bloque de</w:t>
      </w:r>
      <w:r>
        <w:t xml:space="preserve"> </w:t>
      </w:r>
      <w:r>
        <w:rPr>
          <w:i/>
          <w:iCs/>
        </w:rPr>
        <w:t xml:space="preserve">shocks</w:t>
      </w:r>
      <w:r>
        <w:t xml:space="preserve"> </w:t>
      </w:r>
      <w:r>
        <w:t xml:space="preserve">(Figura 6.4). En la estimación central, el bloque cambiario y de riesgo explica 58,7%, el fiscal 32,1% y el de actividad 9,3%. Los intervalos son amplios y se superponen: la diferencia entre los</w:t>
      </w:r>
      <w:r>
        <w:t xml:space="preserve"> </w:t>
      </w:r>
      <w:r>
        <w:rPr>
          <w:i/>
          <w:iCs/>
        </w:rPr>
        <w:t xml:space="preserve">shocks</w:t>
      </w:r>
      <w:r>
        <w:t xml:space="preserve"> </w:t>
      </w:r>
      <w:r>
        <w:t xml:space="preserve">no fiscales y el fiscal es de 35,9 puntos, pero su intervalo, [-4,8; 91,2], incluye el cero. La descomposición indica que el riesgo cambiario y de riesgo país es el componente más grande en la estimación central, pero no permite afirmar con el nivel de confianza fijado que domine al fiscal.</w:t>
      </w:r>
    </w:p>
    <w:p>
      <w:pPr>
        <w:pStyle w:val="BodyText"/>
      </w:pPr>
      <w:r>
        <w:rPr>
          <w:b/>
          <w:bCs/>
        </w:rPr>
        <w:t xml:space="preserve">Tabla 6.3. Participación de cada bloque de</w:t>
      </w:r>
      <w:r>
        <w:rPr>
          <w:b/>
          <w:bCs/>
        </w:rPr>
        <w:t xml:space="preserve"> </w:t>
      </w:r>
      <w:r>
        <w:rPr>
          <w:b/>
          <w:bCs/>
          <w:i/>
          <w:iCs/>
        </w:rPr>
        <w:t xml:space="preserve">shocks</w:t>
      </w:r>
      <w:r>
        <w:rPr>
          <w:b/>
          <w:bCs/>
        </w:rPr>
        <w:t xml:space="preserve"> </w:t>
      </w:r>
      <w:r>
        <w:rPr>
          <w:b/>
          <w:bCs/>
        </w:rPr>
        <w:t xml:space="preserve">en la varianza de la deuda en 2035</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w:t>
            </w:r>
            <w:r>
              <w:rPr>
                <w:rFonts w:ascii="Calibri" w:hAnsi="Calibri"/>
                <w:sz w:val="20"/>
              </w:rPr>
              <w:t xml:space="preserve"> </w:t>
            </w:r>
            <w:r>
              <w:rPr>
                <w:rFonts w:ascii="Calibri" w:hAnsi="Calibri"/>
                <w:i/>
                <w:iCs/>
                <w:sz w:val="20"/>
              </w:rPr>
              <w:t xml:space="preserve">shocks</w:t>
            </w:r>
          </w:p>
        </w:tc>
        <w:tc>
          <w:tcPr/>
          <w:p>
            <w:pPr>
              <w:pStyle w:val="Compact"/>
            </w:pPr>
            <w:r>
              <w:rPr>
                <w:rFonts w:ascii="Calibri" w:hAnsi="Calibri"/>
                <w:sz w:val="20"/>
              </w:rPr>
              <w:t xml:space="preserve">Participación</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32,1%</w:t>
            </w:r>
          </w:p>
        </w:tc>
        <w:tc>
          <w:tcPr/>
          <w:p>
            <w:pPr>
              <w:pStyle w:val="Compact"/>
            </w:pPr>
            <w:r>
              <w:rPr>
                <w:rFonts w:ascii="Calibri" w:hAnsi="Calibri"/>
                <w:sz w:val="20"/>
              </w:rPr>
              <w:t xml:space="preserve">[4,4; 52,4]</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9,3%</w:t>
            </w:r>
          </w:p>
        </w:tc>
        <w:tc>
          <w:tcPr/>
          <w:p>
            <w:pPr>
              <w:pStyle w:val="Compact"/>
            </w:pPr>
            <w:r>
              <w:rPr>
                <w:rFonts w:ascii="Calibri" w:hAnsi="Calibri"/>
                <w:sz w:val="20"/>
              </w:rPr>
              <w:t xml:space="preserve">[3,8; 43,1]</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58,7%</w:t>
            </w:r>
          </w:p>
        </w:tc>
        <w:tc>
          <w:tcPr/>
          <w:p>
            <w:pPr>
              <w:pStyle w:val="Compact"/>
            </w:pPr>
            <w:r>
              <w:rPr>
                <w:rFonts w:ascii="Calibri" w:hAnsi="Calibri"/>
                <w:sz w:val="20"/>
              </w:rPr>
              <w:t xml:space="preserve">[17,2; 86,0]</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35,9 puntos</w:t>
            </w:r>
          </w:p>
        </w:tc>
        <w:tc>
          <w:tcPr/>
          <w:p>
            <w:pPr>
              <w:pStyle w:val="Compact"/>
            </w:pPr>
            <w:r>
              <w:rPr>
                <w:rFonts w:ascii="Calibri" w:hAnsi="Calibri"/>
                <w:sz w:val="20"/>
              </w:rPr>
              <w:t xml:space="preserve">[-4,8; 91,2]</w:t>
            </w:r>
          </w:p>
        </w:tc>
      </w:tr>
    </w:tbl>
    <w:p>
      <w:pPr>
        <w:pStyle w:val="BodyText"/>
      </w:pPr>
      <w:r>
        <w:t xml:space="preserve">Fuente: elaboración propia.</w:t>
      </w:r>
    </w:p>
    <w:p>
      <w:pPr>
        <w:pStyle w:val="CaptionedFigure"/>
      </w:pPr>
      <w:r>
        <w:drawing>
          <wp:inline>
            <wp:extent cx="5334000" cy="2667000"/>
            <wp:effectExtent b="0" l="0" r="0" t="0"/>
            <wp:docPr descr="Figura 6.4. Varianza de la deuda en 2035 por bloque de shocks. Participación de cada bloque de shocks estructurales en la varianza de la deuda simulada en 2035; estimación central y barras de error hasta los percentiles 5 y 95 entre réplicas." title="" id="92" name="Picture"/>
            <a:graphic>
              <a:graphicData uri="http://schemas.openxmlformats.org/drawingml/2006/picture">
                <pic:pic>
                  <pic:nvPicPr>
                    <pic:cNvPr descr="../tesis/figuras/fig6_3_varianza_por_bloque.png" id="93" name="Picture"/>
                    <pic:cNvPicPr>
                      <a:picLocks noChangeArrowheads="1" noChangeAspect="1"/>
                    </pic:cNvPicPr>
                  </pic:nvPicPr>
                  <pic:blipFill>
                    <a:blip r:embed="rId9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6.4. Varianza de la deuda en 2035 por bloque de</w:t>
      </w:r>
      <w:r>
        <w:t xml:space="preserve"> </w:t>
      </w:r>
      <w:r>
        <w:rPr>
          <w:i/>
          <w:iCs/>
        </w:rPr>
        <w:t xml:space="preserve">shocks</w:t>
      </w:r>
      <w:r>
        <w:t xml:space="preserve">. Participación de cada bloque de</w:t>
      </w:r>
      <w:r>
        <w:t xml:space="preserve"> </w:t>
      </w:r>
      <w:r>
        <w:rPr>
          <w:i/>
          <w:iCs/>
        </w:rPr>
        <w:t xml:space="preserve">shocks</w:t>
      </w:r>
      <w:r>
        <w:t xml:space="preserve"> </w:t>
      </w:r>
      <w:r>
        <w:t xml:space="preserve">estructurales en la varianza de la deuda simulada en 2035; estimación central y barras de error hasta los percentiles 5 y 95 entre réplicas.</w:t>
      </w:r>
    </w:p>
    <w:bookmarkEnd w:id="94"/>
    <w:bookmarkStart w:id="95" w:name="contraste-de-h1b"/>
    <w:p>
      <w:pPr>
        <w:pStyle w:val="Heading2"/>
      </w:pPr>
      <w:r>
        <w:t xml:space="preserve">6.4 Contraste de H1b</w:t>
      </w:r>
    </w:p>
    <w:p>
      <w:pPr>
        <w:pStyle w:val="FirstParagraph"/>
      </w:pPr>
      <w:r>
        <w:t xml:space="preserve">El FMI (2026) estima una probabilidad de estabilización de alrededor de 99% en su abanico de mediano plazo (no estabilización de 1,0%, cuadro 7) y superior a 97% en su abanico de diez años, que termina en 2035. Cada horizonte se contrasta contra la cifra del FMI correspondiente (Tabla 6.4).</w:t>
      </w:r>
    </w:p>
    <w:p>
      <w:pPr>
        <w:pStyle w:val="BodyText"/>
      </w:pPr>
      <w:r>
        <w:rPr>
          <w:b/>
          <w:bCs/>
        </w:rPr>
        <w:t xml:space="preserve">Tabla 6.4. Contraste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Cifra del FMI</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2031 (mediano plazo)</w:t>
            </w:r>
          </w:p>
        </w:tc>
        <w:tc>
          <w:tcPr/>
          <w:p>
            <w:pPr>
              <w:pStyle w:val="Compact"/>
            </w:pPr>
            <w:r>
              <w:rPr>
                <w:rFonts w:ascii="Calibri" w:hAnsi="Calibri"/>
                <w:sz w:val="20"/>
              </w:rPr>
              <w:t xml:space="preserve">25,2%</w:t>
            </w:r>
          </w:p>
        </w:tc>
        <w:tc>
          <w:tcPr/>
          <w:p>
            <w:pPr>
              <w:pStyle w:val="Compact"/>
            </w:pPr>
            <w:r>
              <w:rPr>
                <w:rFonts w:ascii="Calibri" w:hAnsi="Calibri"/>
                <w:sz w:val="20"/>
              </w:rPr>
              <w:t xml:space="preserve">[19,0; 27,7]</w:t>
            </w:r>
          </w:p>
        </w:tc>
        <w:tc>
          <w:tcPr/>
          <w:p>
            <w:pPr>
              <w:pStyle w:val="Compact"/>
            </w:pPr>
            <w:r>
              <w:rPr>
                <w:rFonts w:ascii="Calibri" w:hAnsi="Calibri"/>
                <w:sz w:val="20"/>
              </w:rPr>
              <w:t xml:space="preserve">1,0%</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22,3%</w:t>
            </w:r>
          </w:p>
        </w:tc>
        <w:tc>
          <w:tcPr/>
          <w:p>
            <w:pPr>
              <w:pStyle w:val="Compact"/>
            </w:pPr>
            <w:r>
              <w:rPr>
                <w:rFonts w:ascii="Calibri" w:hAnsi="Calibri"/>
                <w:sz w:val="20"/>
              </w:rPr>
              <w:t xml:space="preserve">[15,6; 24,9]</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Se cumple</w:t>
            </w:r>
          </w:p>
        </w:tc>
      </w:tr>
    </w:tbl>
    <w:p>
      <w:pPr>
        <w:pStyle w:val="BodyText"/>
      </w:pPr>
      <w:r>
        <w:t xml:space="preserve">Fuente: elaboración propia. Error de Monte Carlo de la estimación central: 0,3 puntos en los dos horizontes.</w:t>
      </w:r>
    </w:p>
    <w:p>
      <w:pPr>
        <w:pStyle w:val="BodyText"/>
      </w:pPr>
      <w:r>
        <w:t xml:space="preserve">En los dos horizontes, el intervalo queda entero muy por encima de la cifra del FMI, y la conclusión se mantiene con la corrección de Bonferroni (límites inferiores de 2,5%: 18,0% y 14,6%). Con dos medidas alternativas el resultado es el mismo: si se usa el resultado primario simulado en lugar del previsto, la probabilidad en 2031 es de 29,2%, y la probabilidad de que la deuda de 2031 supere a la de 2029 es de 22,0%. H1b queda respaldada en los dos horizontes.</w:t>
      </w:r>
    </w:p>
    <w:p>
      <w:pPr>
        <w:pStyle w:val="BodyText"/>
      </w:pPr>
      <w:r>
        <w:t xml:space="preserve">La comparación con el FMI tiene un límite. Las cifras del FMI corresponden a la deuda federal bruta, que parte de 80,3% del PIB, y esta tesis mide la deuda consolidada neta, que parte de 61,0%. Con un procedimiento de</w:t>
      </w:r>
      <w:r>
        <w:t xml:space="preserve"> </w:t>
      </w:r>
      <w:r>
        <w:rPr>
          <w:i/>
          <w:iCs/>
        </w:rPr>
        <w:t xml:space="preserve">shocks</w:t>
      </w:r>
      <w:r>
        <w:t xml:space="preserve"> </w:t>
      </w:r>
      <w:r>
        <w:t xml:space="preserve">a la manera del FMI aplicado a los datos de esta tesis, la probabilidad en 2031 es de 23,7% y el ancho del abanico de 114 puntos, frente a 1% y 71,5 del FMI (sección 6.6). La tesis no reproduce la cifra del FMI ni siquiera con ese procedimiento, de modo que no puede identificar de dónde viene la diferencia.</w:t>
      </w:r>
    </w:p>
    <w:bookmarkEnd w:id="95"/>
    <w:bookmarkStart w:id="96" w:name="contraste-de-h2"/>
    <w:p>
      <w:pPr>
        <w:pStyle w:val="Heading2"/>
      </w:pPr>
      <w:r>
        <w:t xml:space="preserve">6.5 Contraste de H2</w:t>
      </w:r>
    </w:p>
    <w:p>
      <w:pPr>
        <w:pStyle w:val="FirstParagraph"/>
      </w:pPr>
      <w:r>
        <w:rPr>
          <w:b/>
          <w:bCs/>
        </w:rPr>
        <w:t xml:space="preserve">Tabla 6.5. Efecto de la FED sobre la deuda en 2035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Diferencia en la probabilidad de no estabilización</w:t>
            </w:r>
          </w:p>
        </w:tc>
        <w:tc>
          <w:tcPr/>
          <w:p>
            <w:pPr>
              <w:pStyle w:val="Compact"/>
            </w:pPr>
            <w:r>
              <w:rPr>
                <w:rFonts w:ascii="Calibri" w:hAnsi="Calibri"/>
                <w:sz w:val="20"/>
              </w:rPr>
              <w:t xml:space="preserve">Diferencia en la deuda media</w:t>
            </w:r>
          </w:p>
        </w:tc>
      </w:tr>
      <w:tr>
        <w:tc>
          <w:tcPr/>
          <w:p>
            <w:pPr>
              <w:pStyle w:val="Compact"/>
            </w:pPr>
            <w:r>
              <w:rPr>
                <w:rFonts w:ascii="Calibri" w:hAnsi="Calibri"/>
                <w:sz w:val="20"/>
              </w:rPr>
              <w:t xml:space="preserve">Nivel 0,50 pp más alto en 2026-2035 (un desvío estándar)</w:t>
            </w:r>
          </w:p>
        </w:tc>
        <w:tc>
          <w:tcPr/>
          <w:p>
            <w:pPr>
              <w:pStyle w:val="Compact"/>
            </w:pPr>
            <w:r>
              <w:rPr>
                <w:rFonts w:ascii="Calibri" w:hAnsi="Calibri"/>
                <w:sz w:val="20"/>
              </w:rPr>
              <w:t xml:space="preserve">+1,5 pp [0,1; 3,1]</w:t>
            </w:r>
          </w:p>
        </w:tc>
        <w:tc>
          <w:tcPr/>
          <w:p>
            <w:pPr>
              <w:pStyle w:val="Compact"/>
            </w:pPr>
            <w:r>
              <w:rPr>
                <w:rFonts w:ascii="Calibri" w:hAnsi="Calibri"/>
                <w:sz w:val="20"/>
              </w:rPr>
              <w:t xml:space="preserve">+1,0 pp del PIB [-0,1; 2,4]</w:t>
            </w:r>
          </w:p>
        </w:tc>
      </w:tr>
      <w:tr>
        <w:tc>
          <w:tcPr/>
          <w:p>
            <w:pPr>
              <w:pStyle w:val="Compact"/>
            </w:pPr>
            <w:r>
              <w:rPr>
                <w:rFonts w:ascii="Calibri" w:hAnsi="Calibri"/>
                <w:sz w:val="20"/>
              </w:rPr>
              <w:t xml:space="preserve">Variaciones de 2022-2025 (nivel 3,82 pp más alto desde 2029)</w:t>
            </w:r>
          </w:p>
        </w:tc>
        <w:tc>
          <w:tcPr/>
          <w:p>
            <w:pPr>
              <w:pStyle w:val="Compact"/>
            </w:pPr>
            <w:r>
              <w:rPr>
                <w:rFonts w:ascii="Calibri" w:hAnsi="Calibri"/>
                <w:sz w:val="20"/>
              </w:rPr>
              <w:t xml:space="preserve">+13,0 pp [1,0; 24,8]</w:t>
            </w:r>
          </w:p>
        </w:tc>
        <w:tc>
          <w:tcPr/>
          <w:p>
            <w:pPr>
              <w:pStyle w:val="Compact"/>
            </w:pPr>
            <w:r>
              <w:rPr>
                <w:rFonts w:ascii="Calibri" w:hAnsi="Calibri"/>
                <w:sz w:val="20"/>
              </w:rPr>
              <w:t xml:space="preserve">+7,8 pp del PIB [-1,4; 20,4]</w:t>
            </w:r>
          </w:p>
        </w:tc>
      </w:tr>
    </w:tbl>
    <w:p>
      <w:pPr>
        <w:pStyle w:val="BodyText"/>
      </w:pPr>
      <w:r>
        <w:t xml:space="preserve">Fuente: elaboración propia.</w:t>
      </w:r>
    </w:p>
    <w:p>
      <w:pPr>
        <w:pStyle w:val="BodyText"/>
      </w:pPr>
      <w:r>
        <w:t xml:space="preserve">Los dos escenarios dejan el nivel de la tasa de la FED por encima del base hasta 2035: 0,50 puntos en el primero; en el segundo, el nivel sube 5,25 puntos y baja 1,43 en 2026-2029, y queda 3,82 puntos por encima del base hasta 2035 (sección 4.6). En los dos, la suba eleva la probabilidad de no estabilización en 2035 con un intervalo de 90% que excluye el cero, con límites inferiores de 0,1 y 1,0 puntos. El efecto sobre la deuda esperada tiene el signo previsto, pero sus intervalos incluyen el cero, de modo que no cumple el criterio de la Tabla 4.4. Con la corrección de Bonferroni, ninguno de los efectos sobre la probabilidad se sostiene (límites inferiores de 2,5% de -0,1 y -0,2 puntos). En las respuestas al impulso, 5 de las 84 bandas excluyen el cero, menos que las ocho que produciría el azar (sección 6.1).</w:t>
      </w:r>
    </w:p>
    <w:p>
      <w:pPr>
        <w:pStyle w:val="BodyText"/>
      </w:pPr>
      <w:r>
        <w:t xml:space="preserve">Para saber por qué canal pasa el efecto, se repitió el escenario de 2022-2025 anulando la respuesta de las variables domésticas a la FED, de modo que solo actúa el mayor costo de refinanciar la deuda en dólares. Ese costo directo explica 4,7 de los 7,8 puntos de aumento de la deuda en 2035 (60%). El resto corresponde a la respuesta del riesgo país, el tipo de cambio real y el crecimiento, ninguna de ellas significativa por separado (sección 6.1).</w:t>
      </w:r>
    </w:p>
    <w:p>
      <w:pPr>
        <w:pStyle w:val="BodyText"/>
      </w:pPr>
      <w:r>
        <w:t xml:space="preserve">H2 queda respaldada solo en parte: el efecto sobre la probabilidad cumple el criterio al 90%, pero no el efecto sobre la deuda esperada, no resiste la corrección por contrastes múltiples y los canales que nombra la hipótesis (riesgo, tipo de cambio real, crecimiento) no se distinguen del azar; la mayor parte del efecto es el costo directo de la deuda en dólares, que el modelo incorpora por construcción.</w:t>
      </w:r>
    </w:p>
    <w:bookmarkEnd w:id="96"/>
    <w:bookmarkStart w:id="100" w:name="robustez"/>
    <w:p>
      <w:pPr>
        <w:pStyle w:val="Heading2"/>
      </w:pPr>
      <w:r>
        <w:t xml:space="preserve">6.6 Robustez</w:t>
      </w:r>
    </w:p>
    <w:p>
      <w:pPr>
        <w:pStyle w:val="FirstParagraph"/>
      </w:pPr>
      <w:r>
        <w:t xml:space="preserve">La Tabla 6.6 resume las 17 especificaciones alternativas a la principal, dos variantes con</w:t>
      </w:r>
      <w:r>
        <w:t xml:space="preserve"> </w:t>
      </w:r>
      <w:r>
        <w:rPr>
          <w:i/>
          <w:iCs/>
        </w:rPr>
        <w:t xml:space="preserve">shocks</w:t>
      </w:r>
      <w:r>
        <w:t xml:space="preserve"> </w:t>
      </w:r>
      <w:r>
        <w:t xml:space="preserve">a la manera del FMI y la cifra de referencia del FMI.</w:t>
      </w:r>
    </w:p>
    <w:p>
      <w:pPr>
        <w:pStyle w:val="BodyText"/>
      </w:pPr>
      <w:r>
        <w:rPr>
          <w:b/>
          <w:bCs/>
        </w:rPr>
        <w:t xml:space="preserve">Tabla 6.6. Robustez</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2031</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2031</w:t>
            </w:r>
          </w:p>
        </w:tc>
        <w:tc>
          <w:tcPr/>
          <w:p>
            <w:pPr>
              <w:pStyle w:val="Compact"/>
            </w:pPr>
            <w:r>
              <w:rPr>
                <w:rFonts w:ascii="Calibri" w:hAnsi="Calibri"/>
                <w:sz w:val="20"/>
              </w:rPr>
              <w:t xml:space="preserve">No fiscal menos fiscal (varianza)</w:t>
            </w:r>
          </w:p>
        </w:tc>
      </w:tr>
      <w:tr>
        <w:tc>
          <w:tcPr/>
          <w:p>
            <w:pPr>
              <w:pStyle w:val="Compact"/>
            </w:pPr>
            <w:r>
              <w:rPr>
                <w:rFonts w:ascii="Calibri" w:hAnsi="Calibri"/>
                <w:sz w:val="20"/>
              </w:rPr>
              <w:t xml:space="preserve">Principal</w:t>
            </w:r>
          </w:p>
        </w:tc>
        <w:tc>
          <w:tcPr/>
          <w:p>
            <w:pPr>
              <w:pStyle w:val="Compact"/>
            </w:pPr>
            <w:r>
              <w:rPr>
                <w:rFonts w:ascii="Calibri" w:hAnsi="Calibri"/>
                <w:sz w:val="20"/>
              </w:rPr>
              <w:t xml:space="preserve">25,2% [19,0; 27,7]</w:t>
            </w:r>
          </w:p>
        </w:tc>
        <w:tc>
          <w:tcPr/>
          <w:p>
            <w:pPr>
              <w:pStyle w:val="Compact"/>
            </w:pPr>
            <w:r>
              <w:rPr>
                <w:rFonts w:ascii="Calibri" w:hAnsi="Calibri"/>
                <w:sz w:val="20"/>
              </w:rPr>
              <w:t xml:space="preserve">22,3% [15,6; 24,9]</w:t>
            </w:r>
          </w:p>
        </w:tc>
        <w:tc>
          <w:tcPr/>
          <w:p>
            <w:pPr>
              <w:pStyle w:val="Compact"/>
            </w:pPr>
            <w:r>
              <w:rPr>
                <w:rFonts w:ascii="Calibri" w:hAnsi="Calibri"/>
                <w:sz w:val="20"/>
              </w:rPr>
              <w:t xml:space="preserve">35,3</w:t>
            </w:r>
          </w:p>
        </w:tc>
        <w:tc>
          <w:tcPr/>
          <w:p>
            <w:pPr>
              <w:pStyle w:val="Compact"/>
            </w:pPr>
            <w:r>
              <w:rPr>
                <w:rFonts w:ascii="Calibri" w:hAnsi="Calibri"/>
                <w:sz w:val="20"/>
              </w:rPr>
              <w:t xml:space="preserve">35,9 [-4,8; 91,2]</w:t>
            </w:r>
          </w:p>
        </w:tc>
      </w:tr>
      <w:tr>
        <w:tc>
          <w:tcPr/>
          <w:p>
            <w:pPr>
              <w:pStyle w:val="Compact"/>
            </w:pPr>
            <w:r>
              <w:rPr>
                <w:rFonts w:ascii="Calibri" w:hAnsi="Calibri"/>
                <w:sz w:val="20"/>
              </w:rPr>
              <w:t xml:space="preserve">Deuda neta a valor libros</w:t>
            </w:r>
          </w:p>
        </w:tc>
        <w:tc>
          <w:tcPr/>
          <w:p>
            <w:pPr>
              <w:pStyle w:val="Compact"/>
            </w:pPr>
            <w:r>
              <w:rPr>
                <w:rFonts w:ascii="Calibri" w:hAnsi="Calibri"/>
                <w:sz w:val="20"/>
              </w:rPr>
              <w:t xml:space="preserve">26,5% [20,7; 28,8]</w:t>
            </w:r>
          </w:p>
        </w:tc>
        <w:tc>
          <w:tcPr/>
          <w:p>
            <w:pPr>
              <w:pStyle w:val="Compact"/>
            </w:pPr>
            <w:r>
              <w:rPr>
                <w:rFonts w:ascii="Calibri" w:hAnsi="Calibri"/>
                <w:sz w:val="20"/>
              </w:rPr>
              <w:t xml:space="preserve">23,9% [16,7; 25,6]</w:t>
            </w:r>
          </w:p>
        </w:tc>
        <w:tc>
          <w:tcPr/>
          <w:p>
            <w:pPr>
              <w:pStyle w:val="Compact"/>
            </w:pPr>
            <w:r>
              <w:rPr>
                <w:rFonts w:ascii="Calibri" w:hAnsi="Calibri"/>
                <w:sz w:val="20"/>
              </w:rPr>
              <w:t xml:space="preserve">37,5</w:t>
            </w:r>
          </w:p>
        </w:tc>
        <w:tc>
          <w:tcPr/>
          <w:p>
            <w:pPr>
              <w:pStyle w:val="Compact"/>
            </w:pPr>
            <w:r>
              <w:rPr>
                <w:rFonts w:ascii="Calibri" w:hAnsi="Calibri"/>
                <w:sz w:val="20"/>
              </w:rPr>
              <w:t xml:space="preserve">23,0 [-11,5; 92,6]</w:t>
            </w:r>
          </w:p>
        </w:tc>
      </w:tr>
      <w:tr>
        <w:tc>
          <w:tcPr/>
          <w:p>
            <w:pPr>
              <w:pStyle w:val="Compact"/>
            </w:pPr>
            <w:r>
              <w:rPr>
                <w:rFonts w:ascii="Calibri" w:hAnsi="Calibri"/>
                <w:sz w:val="20"/>
              </w:rPr>
              <w:t xml:space="preserve">Deuda bruta (Tesoro y BCRA)</w:t>
            </w:r>
          </w:p>
        </w:tc>
        <w:tc>
          <w:tcPr/>
          <w:p>
            <w:pPr>
              <w:pStyle w:val="Compact"/>
            </w:pPr>
            <w:r>
              <w:rPr>
                <w:rFonts w:ascii="Calibri" w:hAnsi="Calibri"/>
                <w:sz w:val="20"/>
              </w:rPr>
              <w:t xml:space="preserve">27,6% [22,0; 29,7]</w:t>
            </w:r>
          </w:p>
        </w:tc>
        <w:tc>
          <w:tcPr/>
          <w:p>
            <w:pPr>
              <w:pStyle w:val="Compact"/>
            </w:pPr>
            <w:r>
              <w:rPr>
                <w:rFonts w:ascii="Calibri" w:hAnsi="Calibri"/>
                <w:sz w:val="20"/>
              </w:rPr>
              <w:t xml:space="preserve">22,9% [16,7; 28,0]</w:t>
            </w:r>
          </w:p>
        </w:tc>
        <w:tc>
          <w:tcPr/>
          <w:p>
            <w:pPr>
              <w:pStyle w:val="Compact"/>
            </w:pPr>
            <w:r>
              <w:rPr>
                <w:rFonts w:ascii="Calibri" w:hAnsi="Calibri"/>
                <w:sz w:val="20"/>
              </w:rPr>
              <w:t xml:space="preserve">34,4</w:t>
            </w:r>
          </w:p>
        </w:tc>
        <w:tc>
          <w:tcPr/>
          <w:p>
            <w:pPr>
              <w:pStyle w:val="Compact"/>
            </w:pPr>
            <w:r>
              <w:rPr>
                <w:rFonts w:ascii="Calibri" w:hAnsi="Calibri"/>
                <w:sz w:val="20"/>
              </w:rPr>
              <w:t xml:space="preserve">36,0 [-16,4; 89,3]</w:t>
            </w:r>
          </w:p>
        </w:tc>
      </w:tr>
      <w:tr>
        <w:tc>
          <w:tcPr/>
          <w:p>
            <w:pPr>
              <w:pStyle w:val="Compact"/>
            </w:pPr>
            <w:r>
              <w:rPr>
                <w:rFonts w:ascii="Calibri" w:hAnsi="Calibri"/>
                <w:sz w:val="20"/>
              </w:rPr>
              <w:t xml:space="preserve">Deuda bruta del Tesoro, sin el BCRA</w:t>
            </w:r>
          </w:p>
        </w:tc>
        <w:tc>
          <w:tcPr/>
          <w:p>
            <w:pPr>
              <w:pStyle w:val="Compact"/>
            </w:pPr>
            <w:r>
              <w:rPr>
                <w:rFonts w:ascii="Calibri" w:hAnsi="Calibri"/>
                <w:sz w:val="20"/>
              </w:rPr>
              <w:t xml:space="preserve">27,3% [22,7; 30,1]</w:t>
            </w:r>
          </w:p>
        </w:tc>
        <w:tc>
          <w:tcPr/>
          <w:p>
            <w:pPr>
              <w:pStyle w:val="Compact"/>
            </w:pPr>
            <w:r>
              <w:rPr>
                <w:rFonts w:ascii="Calibri" w:hAnsi="Calibri"/>
                <w:sz w:val="20"/>
              </w:rPr>
              <w:t xml:space="preserve">23,5% [17,9; 27,6]</w:t>
            </w:r>
          </w:p>
        </w:tc>
        <w:tc>
          <w:tcPr/>
          <w:p>
            <w:pPr>
              <w:pStyle w:val="Compact"/>
            </w:pPr>
            <w:r>
              <w:rPr>
                <w:rFonts w:ascii="Calibri" w:hAnsi="Calibri"/>
                <w:sz w:val="20"/>
              </w:rPr>
              <w:t xml:space="preserve">33,5</w:t>
            </w:r>
          </w:p>
        </w:tc>
        <w:tc>
          <w:tcPr/>
          <w:p>
            <w:pPr>
              <w:pStyle w:val="Compact"/>
            </w:pPr>
            <w:r>
              <w:rPr>
                <w:rFonts w:ascii="Calibri" w:hAnsi="Calibri"/>
                <w:sz w:val="20"/>
              </w:rPr>
              <w:t xml:space="preserve">31,5 [-17,1; 90,8]</w:t>
            </w:r>
          </w:p>
        </w:tc>
      </w:tr>
      <w:tr>
        <w:tc>
          <w:tcPr/>
          <w:p>
            <w:pPr>
              <w:pStyle w:val="Compact"/>
            </w:pPr>
            <w:r>
              <w:rPr>
                <w:rFonts w:ascii="Calibri" w:hAnsi="Calibri"/>
                <w:sz w:val="20"/>
              </w:rPr>
              <w:t xml:space="preserve">Canal de tasas en pesos</w:t>
            </w:r>
          </w:p>
        </w:tc>
        <w:tc>
          <w:tcPr/>
          <w:p>
            <w:pPr>
              <w:pStyle w:val="Compact"/>
            </w:pPr>
            <w:r>
              <w:rPr>
                <w:rFonts w:ascii="Calibri" w:hAnsi="Calibri"/>
                <w:sz w:val="20"/>
              </w:rPr>
              <w:t xml:space="preserve">26,9% [20,1; 28,4]</w:t>
            </w:r>
          </w:p>
        </w:tc>
        <w:tc>
          <w:tcPr/>
          <w:p>
            <w:pPr>
              <w:pStyle w:val="Compact"/>
            </w:pPr>
            <w:r>
              <w:rPr>
                <w:rFonts w:ascii="Calibri" w:hAnsi="Calibri"/>
                <w:sz w:val="20"/>
              </w:rPr>
              <w:t xml:space="preserve">30,8% [17,2; 31,9]</w:t>
            </w:r>
          </w:p>
        </w:tc>
        <w:tc>
          <w:tcPr/>
          <w:p>
            <w:pPr>
              <w:pStyle w:val="Compact"/>
            </w:pPr>
            <w:r>
              <w:rPr>
                <w:rFonts w:ascii="Calibri" w:hAnsi="Calibri"/>
                <w:sz w:val="20"/>
              </w:rPr>
              <w:t xml:space="preserve">43,2</w:t>
            </w:r>
          </w:p>
        </w:tc>
        <w:tc>
          <w:tcPr/>
          <w:p>
            <w:pPr>
              <w:pStyle w:val="Compact"/>
            </w:pPr>
            <w:r>
              <w:rPr>
                <w:rFonts w:ascii="Calibri" w:hAnsi="Calibri"/>
                <w:sz w:val="20"/>
              </w:rPr>
              <w:t xml:space="preserve">45,5 [-4,6; 93,5]</w:t>
            </w:r>
          </w:p>
        </w:tc>
      </w:tr>
      <w:tr>
        <w:tc>
          <w:tcPr/>
          <w:p>
            <w:pPr>
              <w:pStyle w:val="Compact"/>
            </w:pPr>
            <w:r>
              <w:rPr>
                <w:rFonts w:ascii="Calibri" w:hAnsi="Calibri"/>
                <w:sz w:val="20"/>
              </w:rPr>
              <w:t xml:space="preserve">Sin retroalimentación de la deuda</w:t>
            </w:r>
          </w:p>
        </w:tc>
        <w:tc>
          <w:tcPr/>
          <w:p>
            <w:pPr>
              <w:pStyle w:val="Compact"/>
            </w:pPr>
            <w:r>
              <w:rPr>
                <w:rFonts w:ascii="Calibri" w:hAnsi="Calibri"/>
                <w:sz w:val="20"/>
              </w:rPr>
              <w:t xml:space="preserve">25,6% [19,1; 27,3]</w:t>
            </w:r>
          </w:p>
        </w:tc>
        <w:tc>
          <w:tcPr/>
          <w:p>
            <w:pPr>
              <w:pStyle w:val="Compact"/>
            </w:pPr>
            <w:r>
              <w:rPr>
                <w:rFonts w:ascii="Calibri" w:hAnsi="Calibri"/>
                <w:sz w:val="20"/>
              </w:rPr>
              <w:t xml:space="preserve">22,9% [14,1; 23,9]</w:t>
            </w:r>
          </w:p>
        </w:tc>
        <w:tc>
          <w:tcPr/>
          <w:p>
            <w:pPr>
              <w:pStyle w:val="Compact"/>
            </w:pPr>
            <w:r>
              <w:rPr>
                <w:rFonts w:ascii="Calibri" w:hAnsi="Calibri"/>
                <w:sz w:val="20"/>
              </w:rPr>
              <w:t xml:space="preserve">46,7</w:t>
            </w:r>
          </w:p>
        </w:tc>
        <w:tc>
          <w:tcPr/>
          <w:p>
            <w:pPr>
              <w:pStyle w:val="Compact"/>
            </w:pPr>
            <w:r>
              <w:rPr>
                <w:rFonts w:ascii="Calibri" w:hAnsi="Calibri"/>
                <w:sz w:val="20"/>
              </w:rPr>
              <w:t xml:space="preserve">41,4 [-13,3; 90,7]</w:t>
            </w:r>
          </w:p>
        </w:tc>
      </w:tr>
      <w:tr>
        <w:tc>
          <w:tcPr/>
          <w:p>
            <w:pPr>
              <w:pStyle w:val="Compact"/>
            </w:pPr>
            <w:r>
              <w:rPr>
                <w:rFonts w:ascii="Calibri" w:hAnsi="Calibri"/>
                <w:sz w:val="20"/>
              </w:rPr>
              <w:t xml:space="preserve">Dos rezagos</w:t>
            </w:r>
          </w:p>
        </w:tc>
        <w:tc>
          <w:tcPr/>
          <w:p>
            <w:pPr>
              <w:pStyle w:val="Compact"/>
            </w:pPr>
            <w:r>
              <w:rPr>
                <w:rFonts w:ascii="Calibri" w:hAnsi="Calibri"/>
                <w:sz w:val="20"/>
              </w:rPr>
              <w:t xml:space="preserve">27,4% [22,6; 31,1]</w:t>
            </w:r>
          </w:p>
        </w:tc>
        <w:tc>
          <w:tcPr/>
          <w:p>
            <w:pPr>
              <w:pStyle w:val="Compact"/>
            </w:pPr>
            <w:r>
              <w:rPr>
                <w:rFonts w:ascii="Calibri" w:hAnsi="Calibri"/>
                <w:sz w:val="20"/>
              </w:rPr>
              <w:t xml:space="preserve">27,9% [17,6; 31,2]</w:t>
            </w:r>
          </w:p>
        </w:tc>
        <w:tc>
          <w:tcPr/>
          <w:p>
            <w:pPr>
              <w:pStyle w:val="Compact"/>
            </w:pPr>
            <w:r>
              <w:rPr>
                <w:rFonts w:ascii="Calibri" w:hAnsi="Calibri"/>
                <w:sz w:val="20"/>
              </w:rPr>
              <w:t xml:space="preserve">45,5</w:t>
            </w:r>
          </w:p>
        </w:tc>
        <w:tc>
          <w:tcPr/>
          <w:p>
            <w:pPr>
              <w:pStyle w:val="Compact"/>
            </w:pPr>
            <w:r>
              <w:rPr>
                <w:rFonts w:ascii="Calibri" w:hAnsi="Calibri"/>
                <w:sz w:val="20"/>
              </w:rPr>
              <w:t xml:space="preserve">49,6 [10,4; 89,9]</w:t>
            </w:r>
          </w:p>
        </w:tc>
      </w:tr>
      <w:tr>
        <w:tc>
          <w:tcPr/>
          <w:p>
            <w:pPr>
              <w:pStyle w:val="Compact"/>
            </w:pPr>
            <w:r>
              <w:rPr>
                <w:rFonts w:ascii="Calibri" w:hAnsi="Calibri"/>
                <w:sz w:val="20"/>
              </w:rPr>
              <w:t xml:space="preserve">Cholesky, resultado primario primero (equivale a elasticidad cíclica 0)</w:t>
            </w:r>
          </w:p>
        </w:tc>
        <w:tc>
          <w:tcPr/>
          <w:p>
            <w:pPr>
              <w:pStyle w:val="Compact"/>
            </w:pPr>
            <w:r>
              <w:rPr>
                <w:rFonts w:ascii="Calibri" w:hAnsi="Calibri"/>
                <w:sz w:val="20"/>
              </w:rPr>
              <w:t xml:space="preserve">25,7% [19,2; 27,6]</w:t>
            </w:r>
          </w:p>
        </w:tc>
        <w:tc>
          <w:tcPr/>
          <w:p>
            <w:pPr>
              <w:pStyle w:val="Compact"/>
            </w:pPr>
            <w:r>
              <w:rPr>
                <w:rFonts w:ascii="Calibri" w:hAnsi="Calibri"/>
                <w:sz w:val="20"/>
              </w:rPr>
              <w:t xml:space="preserve">23,1% [15,0; 24,0]</w:t>
            </w:r>
          </w:p>
        </w:tc>
        <w:tc>
          <w:tcPr/>
          <w:p>
            <w:pPr>
              <w:pStyle w:val="Compact"/>
            </w:pPr>
            <w:r>
              <w:rPr>
                <w:rFonts w:ascii="Calibri" w:hAnsi="Calibri"/>
                <w:sz w:val="20"/>
              </w:rPr>
              <w:t xml:space="preserve">35,5</w:t>
            </w:r>
          </w:p>
        </w:tc>
        <w:tc>
          <w:tcPr/>
          <w:p>
            <w:pPr>
              <w:pStyle w:val="Compact"/>
            </w:pPr>
            <w:r>
              <w:rPr>
                <w:rFonts w:ascii="Calibri" w:hAnsi="Calibri"/>
                <w:sz w:val="20"/>
              </w:rPr>
              <w:t xml:space="preserve">23,0 [-41,8; 82,3]</w:t>
            </w:r>
          </w:p>
        </w:tc>
      </w:tr>
      <w:tr>
        <w:tc>
          <w:tcPr/>
          <w:p>
            <w:pPr>
              <w:pStyle w:val="Compact"/>
            </w:pPr>
            <w:r>
              <w:rPr>
                <w:rFonts w:ascii="Calibri" w:hAnsi="Calibri"/>
                <w:sz w:val="20"/>
              </w:rPr>
              <w:t xml:space="preserve">Cholesky, resultado primario último</w:t>
            </w:r>
          </w:p>
        </w:tc>
        <w:tc>
          <w:tcPr/>
          <w:p>
            <w:pPr>
              <w:pStyle w:val="Compact"/>
            </w:pPr>
            <w:r>
              <w:rPr>
                <w:rFonts w:ascii="Calibri" w:hAnsi="Calibri"/>
                <w:sz w:val="20"/>
              </w:rPr>
              <w:t xml:space="preserve">25,7% [19,1; 27,6]</w:t>
            </w:r>
          </w:p>
        </w:tc>
        <w:tc>
          <w:tcPr/>
          <w:p>
            <w:pPr>
              <w:pStyle w:val="Compact"/>
            </w:pPr>
            <w:r>
              <w:rPr>
                <w:rFonts w:ascii="Calibri" w:hAnsi="Calibri"/>
                <w:sz w:val="20"/>
              </w:rPr>
              <w:t xml:space="preserve">23,1% [14,8; 23,9]</w:t>
            </w:r>
          </w:p>
        </w:tc>
        <w:tc>
          <w:tcPr/>
          <w:p>
            <w:pPr>
              <w:pStyle w:val="Compact"/>
            </w:pPr>
            <w:r>
              <w:rPr>
                <w:rFonts w:ascii="Calibri" w:hAnsi="Calibri"/>
                <w:sz w:val="20"/>
              </w:rPr>
              <w:t xml:space="preserve">35,5</w:t>
            </w:r>
          </w:p>
        </w:tc>
        <w:tc>
          <w:tcPr/>
          <w:p>
            <w:pPr>
              <w:pStyle w:val="Compact"/>
            </w:pPr>
            <w:r>
              <w:rPr>
                <w:rFonts w:ascii="Calibri" w:hAnsi="Calibri"/>
                <w:sz w:val="20"/>
              </w:rPr>
              <w:t xml:space="preserve">77,9 [20,6; 96,0]</w:t>
            </w:r>
          </w:p>
        </w:tc>
      </w:tr>
      <w:tr>
        <w:tc>
          <w:tcPr/>
          <w:p>
            <w:pPr>
              <w:pStyle w:val="Compact"/>
            </w:pPr>
            <w:r>
              <w:rPr>
                <w:rFonts w:ascii="Calibri" w:hAnsi="Calibri"/>
                <w:sz w:val="20"/>
              </w:rPr>
              <w:t xml:space="preserve">Elasticidad cíclica 0,5</w:t>
            </w:r>
          </w:p>
        </w:tc>
        <w:tc>
          <w:tcPr/>
          <w:p>
            <w:pPr>
              <w:pStyle w:val="Compact"/>
            </w:pPr>
            <w:r>
              <w:rPr>
                <w:rFonts w:ascii="Calibri" w:hAnsi="Calibri"/>
                <w:sz w:val="20"/>
              </w:rPr>
              <w:t xml:space="preserve">25,7% [19,4; 27,5]</w:t>
            </w:r>
          </w:p>
        </w:tc>
        <w:tc>
          <w:tcPr/>
          <w:p>
            <w:pPr>
              <w:pStyle w:val="Compact"/>
            </w:pPr>
            <w:r>
              <w:rPr>
                <w:rFonts w:ascii="Calibri" w:hAnsi="Calibri"/>
                <w:sz w:val="20"/>
              </w:rPr>
              <w:t xml:space="preserve">23,1% [15,4; 23,9]</w:t>
            </w:r>
          </w:p>
        </w:tc>
        <w:tc>
          <w:tcPr/>
          <w:p>
            <w:pPr>
              <w:pStyle w:val="Compact"/>
            </w:pPr>
            <w:r>
              <w:rPr>
                <w:rFonts w:ascii="Calibri" w:hAnsi="Calibri"/>
                <w:sz w:val="20"/>
              </w:rPr>
              <w:t xml:space="preserve">35,5</w:t>
            </w:r>
          </w:p>
        </w:tc>
        <w:tc>
          <w:tcPr/>
          <w:p>
            <w:pPr>
              <w:pStyle w:val="Compact"/>
            </w:pPr>
            <w:r>
              <w:rPr>
                <w:rFonts w:ascii="Calibri" w:hAnsi="Calibri"/>
                <w:sz w:val="20"/>
              </w:rPr>
              <w:t xml:space="preserve">61,8 [38,2; 97,2]</w:t>
            </w:r>
          </w:p>
        </w:tc>
      </w:tr>
      <w:tr>
        <w:tc>
          <w:tcPr/>
          <w:p>
            <w:pPr>
              <w:pStyle w:val="Compact"/>
            </w:pPr>
            <w:r>
              <w:rPr>
                <w:rFonts w:ascii="Calibri" w:hAnsi="Calibri"/>
                <w:sz w:val="20"/>
              </w:rPr>
              <w:t xml:space="preserve">Sin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pPr>
            <w:r>
              <w:rPr>
                <w:rFonts w:ascii="Calibri" w:hAnsi="Calibri"/>
                <w:sz w:val="20"/>
              </w:rPr>
              <w:t xml:space="preserve">23,7% [16,8; 26,6]</w:t>
            </w:r>
          </w:p>
        </w:tc>
        <w:tc>
          <w:tcPr/>
          <w:p>
            <w:pPr>
              <w:pStyle w:val="Compact"/>
            </w:pPr>
            <w:r>
              <w:rPr>
                <w:rFonts w:ascii="Calibri" w:hAnsi="Calibri"/>
                <w:sz w:val="20"/>
              </w:rPr>
              <w:t xml:space="preserve">19,2% [12,8; 22,7]</w:t>
            </w:r>
          </w:p>
        </w:tc>
        <w:tc>
          <w:tcPr/>
          <w:p>
            <w:pPr>
              <w:pStyle w:val="Compact"/>
            </w:pPr>
            <w:r>
              <w:rPr>
                <w:rFonts w:ascii="Calibri" w:hAnsi="Calibri"/>
                <w:sz w:val="20"/>
              </w:rPr>
              <w:t xml:space="preserve">32,5</w:t>
            </w:r>
          </w:p>
        </w:tc>
        <w:tc>
          <w:tcPr/>
          <w:p>
            <w:pPr>
              <w:pStyle w:val="Compact"/>
            </w:pPr>
            <w:r>
              <w:rPr>
                <w:rFonts w:ascii="Calibri" w:hAnsi="Calibri"/>
                <w:sz w:val="20"/>
              </w:rPr>
              <w:t xml:space="preserve">20,1 [-16,2; 87,5]</w:t>
            </w:r>
          </w:p>
        </w:tc>
      </w:tr>
      <w:tr>
        <w:tc>
          <w:tcPr/>
          <w:p>
            <w:pPr>
              <w:pStyle w:val="Compact"/>
            </w:pPr>
            <w:r>
              <w:rPr>
                <w:rFonts w:ascii="Calibri" w:hAnsi="Calibri"/>
                <w:sz w:val="20"/>
              </w:rPr>
              <w:t xml:space="preserve">Muestra desde 2004</w:t>
            </w:r>
          </w:p>
        </w:tc>
        <w:tc>
          <w:tcPr/>
          <w:p>
            <w:pPr>
              <w:pStyle w:val="Compact"/>
            </w:pPr>
            <w:r>
              <w:rPr>
                <w:rFonts w:ascii="Calibri" w:hAnsi="Calibri"/>
                <w:sz w:val="20"/>
              </w:rPr>
              <w:t xml:space="preserve">24,8% [14,4; 25,8]</w:t>
            </w:r>
          </w:p>
        </w:tc>
        <w:tc>
          <w:tcPr/>
          <w:p>
            <w:pPr>
              <w:pStyle w:val="Compact"/>
            </w:pPr>
            <w:r>
              <w:rPr>
                <w:rFonts w:ascii="Calibri" w:hAnsi="Calibri"/>
                <w:sz w:val="20"/>
              </w:rPr>
              <w:t xml:space="preserve">27,5% [10,4; 26,8]</w:t>
            </w:r>
          </w:p>
        </w:tc>
        <w:tc>
          <w:tcPr/>
          <w:p>
            <w:pPr>
              <w:pStyle w:val="Compact"/>
            </w:pPr>
            <w:r>
              <w:rPr>
                <w:rFonts w:ascii="Calibri" w:hAnsi="Calibri"/>
                <w:sz w:val="20"/>
              </w:rPr>
              <w:t xml:space="preserve">35,8</w:t>
            </w:r>
          </w:p>
        </w:tc>
        <w:tc>
          <w:tcPr/>
          <w:p>
            <w:pPr>
              <w:pStyle w:val="Compact"/>
            </w:pPr>
            <w:r>
              <w:rPr>
                <w:rFonts w:ascii="Calibri" w:hAnsi="Calibri"/>
                <w:sz w:val="20"/>
              </w:rPr>
              <w:t xml:space="preserve">-18,9 [-43,1; 91,9]</w:t>
            </w:r>
          </w:p>
        </w:tc>
      </w:tr>
      <w:tr>
        <w:tc>
          <w:tcPr/>
          <w:p>
            <w:pPr>
              <w:pStyle w:val="Compact"/>
            </w:pPr>
            <w:r>
              <w:rPr>
                <w:rFonts w:ascii="Calibri" w:hAnsi="Calibri"/>
                <w:sz w:val="20"/>
              </w:rPr>
              <w:t xml:space="preserve">Resultado primario sin rentas de la propiedad</w:t>
            </w:r>
          </w:p>
        </w:tc>
        <w:tc>
          <w:tcPr/>
          <w:p>
            <w:pPr>
              <w:pStyle w:val="Compact"/>
            </w:pPr>
            <w:r>
              <w:rPr>
                <w:rFonts w:ascii="Calibri" w:hAnsi="Calibri"/>
                <w:sz w:val="20"/>
              </w:rPr>
              <w:t xml:space="preserve">23,4% [18,9; 27,8]</w:t>
            </w:r>
          </w:p>
        </w:tc>
        <w:tc>
          <w:tcPr/>
          <w:p>
            <w:pPr>
              <w:pStyle w:val="Compact"/>
            </w:pPr>
            <w:r>
              <w:rPr>
                <w:rFonts w:ascii="Calibri" w:hAnsi="Calibri"/>
                <w:sz w:val="20"/>
              </w:rPr>
              <w:t xml:space="preserve">19,6% [13,4; 22,2]</w:t>
            </w:r>
          </w:p>
        </w:tc>
        <w:tc>
          <w:tcPr/>
          <w:p>
            <w:pPr>
              <w:pStyle w:val="Compact"/>
            </w:pPr>
            <w:r>
              <w:rPr>
                <w:rFonts w:ascii="Calibri" w:hAnsi="Calibri"/>
                <w:sz w:val="20"/>
              </w:rPr>
              <w:t xml:space="preserve">22,9</w:t>
            </w:r>
          </w:p>
        </w:tc>
        <w:tc>
          <w:tcPr/>
          <w:p>
            <w:pPr>
              <w:pStyle w:val="Compact"/>
            </w:pPr>
            <w:r>
              <w:rPr>
                <w:rFonts w:ascii="Calibri" w:hAnsi="Calibri"/>
                <w:sz w:val="20"/>
              </w:rPr>
              <w:t xml:space="preserve">-12,2 [-50,7; 57,3]</w:t>
            </w:r>
          </w:p>
        </w:tc>
      </w:tr>
      <w:tr>
        <w:tc>
          <w:tcPr/>
          <w:p>
            <w:pPr>
              <w:pStyle w:val="Compact"/>
            </w:pPr>
            <w:r>
              <w:rPr>
                <w:rFonts w:ascii="Calibri" w:hAnsi="Calibri"/>
                <w:sz w:val="20"/>
              </w:rPr>
              <w:t xml:space="preserve">Ajuste stock-flujo en cero</w:t>
            </w:r>
          </w:p>
        </w:tc>
        <w:tc>
          <w:tcPr/>
          <w:p>
            <w:pPr>
              <w:pStyle w:val="Compact"/>
            </w:pPr>
            <w:r>
              <w:rPr>
                <w:rFonts w:ascii="Calibri" w:hAnsi="Calibri"/>
                <w:sz w:val="20"/>
              </w:rPr>
              <w:t xml:space="preserve">22,0% [15,9; 24,1]</w:t>
            </w:r>
          </w:p>
        </w:tc>
        <w:tc>
          <w:tcPr/>
          <w:p>
            <w:pPr>
              <w:pStyle w:val="Compact"/>
            </w:pPr>
            <w:r>
              <w:rPr>
                <w:rFonts w:ascii="Calibri" w:hAnsi="Calibri"/>
                <w:sz w:val="20"/>
              </w:rPr>
              <w:t xml:space="preserve">18,9% [9,4; 20,6]</w:t>
            </w:r>
          </w:p>
        </w:tc>
        <w:tc>
          <w:tcPr/>
          <w:p>
            <w:pPr>
              <w:pStyle w:val="Compact"/>
            </w:pPr>
            <w:r>
              <w:rPr>
                <w:rFonts w:ascii="Calibri" w:hAnsi="Calibri"/>
                <w:sz w:val="20"/>
              </w:rPr>
              <w:t xml:space="preserve">33,4</w:t>
            </w:r>
          </w:p>
        </w:tc>
        <w:tc>
          <w:tcPr/>
          <w:p>
            <w:pPr>
              <w:pStyle w:val="Compact"/>
            </w:pPr>
            <w:r>
              <w:rPr>
                <w:rFonts w:ascii="Calibri" w:hAnsi="Calibri"/>
                <w:sz w:val="20"/>
              </w:rPr>
              <w:t xml:space="preserve">27,8 [-15,0; 88,1]</w:t>
            </w:r>
          </w:p>
        </w:tc>
      </w:tr>
      <w:tr>
        <w:tc>
          <w:tcPr/>
          <w:p>
            <w:pPr>
              <w:pStyle w:val="Compact"/>
            </w:pPr>
            <w:r>
              <w:rPr>
                <w:rFonts w:ascii="Calibri" w:hAnsi="Calibri"/>
                <w:sz w:val="20"/>
              </w:rPr>
              <w:t xml:space="preserve">λ = 0,15</w:t>
            </w:r>
          </w:p>
        </w:tc>
        <w:tc>
          <w:tcPr/>
          <w:p>
            <w:pPr>
              <w:pStyle w:val="Compact"/>
            </w:pPr>
            <w:r>
              <w:rPr>
                <w:rFonts w:ascii="Calibri" w:hAnsi="Calibri"/>
                <w:sz w:val="20"/>
              </w:rPr>
              <w:t xml:space="preserve">25,6% [19,0; 27,5]</w:t>
            </w:r>
          </w:p>
        </w:tc>
        <w:tc>
          <w:tcPr/>
          <w:p>
            <w:pPr>
              <w:pStyle w:val="Compact"/>
            </w:pPr>
            <w:r>
              <w:rPr>
                <w:rFonts w:ascii="Calibri" w:hAnsi="Calibri"/>
                <w:sz w:val="20"/>
              </w:rPr>
              <w:t xml:space="preserve">20,7% [14,5; 23,4]</w:t>
            </w:r>
          </w:p>
        </w:tc>
        <w:tc>
          <w:tcPr/>
          <w:p>
            <w:pPr>
              <w:pStyle w:val="Compact"/>
            </w:pPr>
            <w:r>
              <w:rPr>
                <w:rFonts w:ascii="Calibri" w:hAnsi="Calibri"/>
                <w:sz w:val="20"/>
              </w:rPr>
              <w:t xml:space="preserve">32,4</w:t>
            </w:r>
          </w:p>
        </w:tc>
        <w:tc>
          <w:tcPr/>
          <w:p>
            <w:pPr>
              <w:pStyle w:val="Compact"/>
            </w:pPr>
            <w:r>
              <w:rPr>
                <w:rFonts w:ascii="Calibri" w:hAnsi="Calibri"/>
                <w:sz w:val="20"/>
              </w:rPr>
              <w:t xml:space="preserve">31,6 [-6,9; 89,2]</w:t>
            </w:r>
          </w:p>
        </w:tc>
      </w:tr>
      <w:tr>
        <w:tc>
          <w:tcPr/>
          <w:p>
            <w:pPr>
              <w:pStyle w:val="Compact"/>
            </w:pPr>
            <w:r>
              <w:rPr>
                <w:rFonts w:ascii="Calibri" w:hAnsi="Calibri"/>
                <w:sz w:val="20"/>
              </w:rPr>
              <w:t xml:space="preserve">λ = 0,40</w:t>
            </w:r>
          </w:p>
        </w:tc>
        <w:tc>
          <w:tcPr/>
          <w:p>
            <w:pPr>
              <w:pStyle w:val="Compact"/>
            </w:pPr>
            <w:r>
              <w:rPr>
                <w:rFonts w:ascii="Calibri" w:hAnsi="Calibri"/>
                <w:sz w:val="20"/>
              </w:rPr>
              <w:t xml:space="preserve">25,8% [19,3; 27,5]</w:t>
            </w:r>
          </w:p>
        </w:tc>
        <w:tc>
          <w:tcPr/>
          <w:p>
            <w:pPr>
              <w:pStyle w:val="Compact"/>
            </w:pPr>
            <w:r>
              <w:rPr>
                <w:rFonts w:ascii="Calibri" w:hAnsi="Calibri"/>
                <w:sz w:val="20"/>
              </w:rPr>
              <w:t xml:space="preserve">24,9% [15,6; 25,6]</w:t>
            </w:r>
          </w:p>
        </w:tc>
        <w:tc>
          <w:tcPr/>
          <w:p>
            <w:pPr>
              <w:pStyle w:val="Compact"/>
            </w:pPr>
            <w:r>
              <w:rPr>
                <w:rFonts w:ascii="Calibri" w:hAnsi="Calibri"/>
                <w:sz w:val="20"/>
              </w:rPr>
              <w:t xml:space="preserve">37,8</w:t>
            </w:r>
          </w:p>
        </w:tc>
        <w:tc>
          <w:tcPr/>
          <w:p>
            <w:pPr>
              <w:pStyle w:val="Compact"/>
            </w:pPr>
            <w:r>
              <w:rPr>
                <w:rFonts w:ascii="Calibri" w:hAnsi="Calibri"/>
                <w:sz w:val="20"/>
              </w:rPr>
              <w:t xml:space="preserve">38,0 [-3,4; 92,3]</w:t>
            </w:r>
          </w:p>
        </w:tc>
      </w:tr>
      <w:tr>
        <w:tc>
          <w:tcPr/>
          <w:p>
            <w:pPr>
              <w:pStyle w:val="Compact"/>
            </w:pPr>
            <w:r>
              <w:rPr>
                <w:rFonts w:ascii="Calibri" w:hAnsi="Calibri"/>
                <w:sz w:val="20"/>
              </w:rPr>
              <w:t xml:space="preserve">Punto de partida 52,1% (deuda del FMI)</w:t>
            </w:r>
          </w:p>
        </w:tc>
        <w:tc>
          <w:tcPr/>
          <w:p>
            <w:pPr>
              <w:pStyle w:val="Compact"/>
            </w:pPr>
            <w:r>
              <w:rPr>
                <w:rFonts w:ascii="Calibri" w:hAnsi="Calibri"/>
                <w:sz w:val="20"/>
              </w:rPr>
              <w:t xml:space="preserve">22,8% [16,9; 24,7]</w:t>
            </w:r>
          </w:p>
        </w:tc>
        <w:tc>
          <w:tcPr/>
          <w:p>
            <w:pPr>
              <w:pStyle w:val="Compact"/>
            </w:pPr>
            <w:r>
              <w:rPr>
                <w:rFonts w:ascii="Calibri" w:hAnsi="Calibri"/>
                <w:sz w:val="20"/>
              </w:rPr>
              <w:t xml:space="preserve">20,9% [12,0; 21,9]</w:t>
            </w:r>
          </w:p>
        </w:tc>
        <w:tc>
          <w:tcPr/>
          <w:p>
            <w:pPr>
              <w:pStyle w:val="Compact"/>
            </w:pPr>
            <w:r>
              <w:rPr>
                <w:rFonts w:ascii="Calibri" w:hAnsi="Calibri"/>
                <w:sz w:val="20"/>
              </w:rPr>
              <w:t xml:space="preserve">34,0</w:t>
            </w:r>
          </w:p>
        </w:tc>
        <w:tc>
          <w:tcPr/>
          <w:p>
            <w:pPr>
              <w:pStyle w:val="Compact"/>
            </w:pPr>
            <w:r>
              <w:rPr>
                <w:rFonts w:ascii="Calibri" w:hAnsi="Calibri"/>
                <w:sz w:val="20"/>
              </w:rPr>
              <w:t xml:space="preserve">30,2 [-12,1; 88,9]</w:t>
            </w:r>
          </w:p>
        </w:tc>
      </w:tr>
      <w:tr>
        <w:tc>
          <w:tcPr/>
          <w:p>
            <w:pPr>
              <w:pStyle w:val="Compact"/>
            </w:pPr>
            <w:r>
              <w:rPr>
                <w:rFonts w:ascii="Calibri" w:hAnsi="Calibri"/>
                <w:sz w:val="20"/>
              </w:rPr>
              <w:t xml:space="preserve">Escenario del FMI de 2025</w:t>
            </w:r>
          </w:p>
        </w:tc>
        <w:tc>
          <w:tcPr/>
          <w:p>
            <w:pPr>
              <w:pStyle w:val="Compact"/>
            </w:pPr>
            <w:r>
              <w:rPr>
                <w:rFonts w:ascii="Calibri" w:hAnsi="Calibri"/>
                <w:sz w:val="20"/>
              </w:rPr>
              <w:t xml:space="preserve">23,4% [17,1; 25,5]</w:t>
            </w:r>
          </w:p>
        </w:tc>
        <w:tc>
          <w:tcPr/>
          <w:p>
            <w:pPr>
              <w:pStyle w:val="Compact"/>
            </w:pPr>
            <w:r>
              <w:rPr>
                <w:rFonts w:ascii="Calibri" w:hAnsi="Calibri"/>
                <w:sz w:val="20"/>
              </w:rPr>
              <w:t xml:space="preserve">20,4% [13,1; 22,0]</w:t>
            </w:r>
          </w:p>
        </w:tc>
        <w:tc>
          <w:tcPr/>
          <w:p>
            <w:pPr>
              <w:pStyle w:val="Compact"/>
            </w:pPr>
            <w:r>
              <w:rPr>
                <w:rFonts w:ascii="Calibri" w:hAnsi="Calibri"/>
                <w:sz w:val="20"/>
              </w:rPr>
              <w:t xml:space="preserve">34,1</w:t>
            </w:r>
          </w:p>
        </w:tc>
        <w:tc>
          <w:tcPr/>
          <w:p>
            <w:pPr>
              <w:pStyle w:val="Compact"/>
            </w:pPr>
            <w:r>
              <w:rPr>
                <w:rFonts w:ascii="Calibri" w:hAnsi="Calibri"/>
                <w:sz w:val="20"/>
              </w:rPr>
              <w:t xml:space="preserve">34,8 [-5,1; 89,9]</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neta</w:t>
            </w:r>
          </w:p>
        </w:tc>
        <w:tc>
          <w:tcPr/>
          <w:p>
            <w:pPr>
              <w:pStyle w:val="Compact"/>
            </w:pPr>
            <w:r>
              <w:rPr>
                <w:rFonts w:ascii="Calibri" w:hAnsi="Calibri"/>
                <w:sz w:val="20"/>
              </w:rPr>
              <w:t xml:space="preserve">23,7%</w:t>
            </w:r>
          </w:p>
        </w:tc>
        <w:tc>
          <w:tcPr/>
          <w:p>
            <w:pPr>
              <w:pStyle w:val="Compact"/>
            </w:pPr>
            <w:r>
              <w:rPr>
                <w:rFonts w:ascii="Calibri" w:hAnsi="Calibri"/>
                <w:sz w:val="20"/>
              </w:rPr>
              <w:t xml:space="preserve">19,7%</w:t>
            </w:r>
          </w:p>
        </w:tc>
        <w:tc>
          <w:tcPr/>
          <w:p>
            <w:pPr>
              <w:pStyle w:val="Compact"/>
            </w:pPr>
            <w:r>
              <w:rPr>
                <w:rFonts w:ascii="Calibri" w:hAnsi="Calibri"/>
                <w:sz w:val="20"/>
              </w:rPr>
              <w:t xml:space="preserve">114,0</w:t>
            </w:r>
          </w:p>
        </w:tc>
        <w:tc>
          <w:tcPr/>
          <w:p>
            <w:pPr>
              <w:pStyle w:val="Compact"/>
            </w:pPr>
            <w:r>
              <w:rPr>
                <w:rFonts w:ascii="Calibri" w:hAnsi="Calibri"/>
                <w:sz w:val="20"/>
              </w:rPr>
              <w:t xml:space="preserve">no aplica</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bruta</w:t>
            </w:r>
          </w:p>
        </w:tc>
        <w:tc>
          <w:tcPr/>
          <w:p>
            <w:pPr>
              <w:pStyle w:val="Compact"/>
            </w:pPr>
            <w:r>
              <w:rPr>
                <w:rFonts w:ascii="Calibri" w:hAnsi="Calibri"/>
                <w:sz w:val="20"/>
              </w:rPr>
              <w:t xml:space="preserve">24,6%</w:t>
            </w:r>
          </w:p>
        </w:tc>
        <w:tc>
          <w:tcPr/>
          <w:p>
            <w:pPr>
              <w:pStyle w:val="Compact"/>
            </w:pPr>
            <w:r>
              <w:rPr>
                <w:rFonts w:ascii="Calibri" w:hAnsi="Calibri"/>
                <w:sz w:val="20"/>
              </w:rPr>
              <w:t xml:space="preserve">21,3%</w:t>
            </w:r>
          </w:p>
        </w:tc>
        <w:tc>
          <w:tcPr/>
          <w:p>
            <w:pPr>
              <w:pStyle w:val="Compact"/>
            </w:pPr>
            <w:r>
              <w:rPr>
                <w:rFonts w:ascii="Calibri" w:hAnsi="Calibri"/>
                <w:sz w:val="20"/>
              </w:rPr>
              <w:t xml:space="preserve">143,2</w:t>
            </w:r>
          </w:p>
        </w:tc>
        <w:tc>
          <w:tcPr/>
          <w:p>
            <w:pPr>
              <w:pStyle w:val="Compact"/>
            </w:pPr>
            <w:r>
              <w:rPr>
                <w:rFonts w:ascii="Calibri" w:hAnsi="Calibri"/>
                <w:sz w:val="20"/>
              </w:rPr>
              <w:t xml:space="preserve">no aplica</w:t>
            </w:r>
          </w:p>
        </w:tc>
      </w:tr>
      <w:tr>
        <w:tc>
          <w:tcPr/>
          <w:p>
            <w:pPr>
              <w:pStyle w:val="Compact"/>
            </w:pPr>
            <w:r>
              <w:rPr>
                <w:rFonts w:ascii="Calibri" w:hAnsi="Calibri"/>
                <w:sz w:val="20"/>
              </w:rPr>
              <w:t xml:space="preserve">FMI (2026), deuda federal bruta</w:t>
            </w:r>
          </w:p>
        </w:tc>
        <w:tc>
          <w:tcPr/>
          <w:p>
            <w:pPr>
              <w:pStyle w:val="Compact"/>
            </w:pPr>
            <w:r>
              <w:rPr>
                <w:rFonts w:ascii="Calibri" w:hAnsi="Calibri"/>
                <w:sz w:val="20"/>
              </w:rPr>
              <w:t xml:space="preserve">1,0%</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71,5</w:t>
            </w:r>
          </w:p>
        </w:tc>
        <w:tc>
          <w:tcPr/>
          <w:p>
            <w:pPr>
              <w:pStyle w:val="Compact"/>
            </w:pPr>
            <w:r>
              <w:rPr>
                <w:rFonts w:ascii="Calibri" w:hAnsi="Calibri"/>
                <w:sz w:val="20"/>
              </w:rPr>
              <w:t xml:space="preserve">no aplica</w:t>
            </w:r>
          </w:p>
        </w:tc>
      </w:tr>
    </w:tbl>
    <w:p>
      <w:pPr>
        <w:pStyle w:val="BodyText"/>
      </w:pPr>
      <w:r>
        <w:t xml:space="preserve">Fuente: elaboración propia. Entre corchetes, intervalos de 90%. Las filas a la manera del FMI no tienen intervalo porque ese procedimiento no estima parámetros. Con la muestra desde 2004 (82 trimestres), la estimación de 2035 queda por encima del intervalo: en 48 de las 200 réplicas la corrección del sesgo tuvo que reducirse para mantener la estabilidad, esas réplicas generan menos persistencia que la estimación central y el intervalo percentil se corre hacia abajo. El sesgo juega en contra de H1b, de modo que su límite inferior es conservador. Las filas de Cholesky y de elasticidad cíclica difieren de la principal en 0,5 a 0,8 puntos de probabilidad por las extracciones de Monte Carlo, no por la identificación, que no altera la probabilidad de no estabilización (sección 4.6).</w:t>
      </w:r>
    </w:p>
    <w:p>
      <w:pPr>
        <w:pStyle w:val="BodyText"/>
      </w:pPr>
      <w:r>
        <w:rPr>
          <w:b/>
          <w:bCs/>
        </w:rPr>
        <w:t xml:space="preserve">H1b.</w:t>
      </w:r>
      <w:r>
        <w:t xml:space="preserve"> </w:t>
      </w:r>
      <w:r>
        <w:t xml:space="preserve">En todas las especificaciones, la probabilidad de no estabilización supera con holgura las cifras del FMI en los dos horizontes. El valor más bajo, con el ajuste stock-flujo en cero, tiene un límite inferior de 9,4% en 2035. Partir de la deuda consolidada neta del FMI (52,1% del PIB), que descuenta las tenencias del FGS, apenas reduce la probabilidad (22,8% en 2031). Tampoco cambia el resultado restar del remuestreo los</w:t>
      </w:r>
      <w:r>
        <w:t xml:space="preserve"> </w:t>
      </w:r>
      <w:r>
        <w:rPr>
          <w:i/>
          <w:iCs/>
        </w:rPr>
        <w:t xml:space="preserve">shocks</w:t>
      </w:r>
      <w:r>
        <w:t xml:space="preserve"> </w:t>
      </w:r>
      <w:r>
        <w:t xml:space="preserve">del período de cesación de pagos y canje, usar el escenario del FMI de 2025 o medir solo la deuda del Tesoro.</w:t>
      </w:r>
    </w:p>
    <w:p>
      <w:pPr>
        <w:pStyle w:val="BodyText"/>
      </w:pPr>
      <w:r>
        <w:rPr>
          <w:b/>
          <w:bCs/>
        </w:rPr>
        <w:t xml:space="preserve">Perímetro.</w:t>
      </w:r>
      <w:r>
        <w:t xml:space="preserve"> </w:t>
      </w:r>
      <w:r>
        <w:t xml:space="preserve">Con la deuda bruta del Tesoro, sin el BCRA, las probabilidades (27,3% y 23,5%) son casi iguales a las de la deuda consolidada. El argumento de la sección 2.9, según el cual omitir al BCRA podía subestimar la sensibilidad de la deuda, no encuentra respaldo en la simulación: el aporte de la consolidación es de medición del nivel, no de la dinámica.</w:t>
      </w:r>
    </w:p>
    <w:p>
      <w:pPr>
        <w:pStyle w:val="BodyText"/>
      </w:pPr>
      <w:r>
        <w:rPr>
          <w:b/>
          <w:bCs/>
        </w:rPr>
        <w:t xml:space="preserve">Descomposición de la varianza.</w:t>
      </w:r>
      <w:r>
        <w:t xml:space="preserve"> </w:t>
      </w:r>
      <w:r>
        <w:t xml:space="preserve">La diferencia entre los</w:t>
      </w:r>
      <w:r>
        <w:t xml:space="preserve"> </w:t>
      </w:r>
      <w:r>
        <w:rPr>
          <w:i/>
          <w:iCs/>
        </w:rPr>
        <w:t xml:space="preserve">shocks</w:t>
      </w:r>
      <w:r>
        <w:t xml:space="preserve"> </w:t>
      </w:r>
      <w:r>
        <w:t xml:space="preserve">no fiscales y el fiscal es positiva en la mayoría de las especificaciones, pero no es robusta: su intervalo solo excluye el cero con dos rezagos, con una elasticidad cíclica de 0,5 y con el ordenamiento de Cholesky que pone último al resultado primario. Se vuelve negativa con la muestra desde 2004 y con el resultado primario sin rentas de la propiedad. La identificación del</w:t>
      </w:r>
      <w:r>
        <w:t xml:space="preserve"> </w:t>
      </w:r>
      <w:r>
        <w:rPr>
          <w:i/>
          <w:iCs/>
        </w:rPr>
        <w:t xml:space="preserve">shock</w:t>
      </w:r>
      <w:r>
        <w:t xml:space="preserve"> </w:t>
      </w:r>
      <w:r>
        <w:t xml:space="preserve">fiscal determina cuánto de la varianza se le atribuye. Por eso el contraste de H1a descansa en la suficiencia del superávit (sección 6.3), que no depende de la identificación, y no en la descomposición.</w:t>
      </w:r>
    </w:p>
    <w:p>
      <w:pPr>
        <w:pStyle w:val="BodyText"/>
      </w:pPr>
      <w:r>
        <w:rPr>
          <w:b/>
          <w:bCs/>
        </w:rPr>
        <w:t xml:space="preserve">H2.</w:t>
      </w:r>
      <w:r>
        <w:t xml:space="preserve"> </w:t>
      </w:r>
      <w:r>
        <w:t xml:space="preserve">El efecto de la senda de 2022-2025 sobre la probabilidad en 2035 excluye el cero en la mayoría de las especificaciones, pero no con el canal de tasas en pesos ni con el resultado primario sin rentas. El efecto sobre la deuda esperada no excluye el cero en ninguna.</w:t>
      </w:r>
    </w:p>
    <w:p>
      <w:pPr>
        <w:pStyle w:val="BodyText"/>
      </w:pPr>
      <w:r>
        <w:t xml:space="preserve">La Figura 6.5 resume la tabla para H1b.</w:t>
      </w:r>
    </w:p>
    <w:p>
      <w:pPr>
        <w:pStyle w:val="CaptionedFigure"/>
      </w:pPr>
      <w:r>
        <w:drawing>
          <wp:inline>
            <wp:extent cx="5334000" cy="2667000"/>
            <wp:effectExtent b="0" l="0" r="0" t="0"/>
            <wp:docPr descr="Figura 6.5. Probabilidad de no estabilización por especificación. Estimaciones centrales en 2031 y 2035, con intervalos de 90%, y las cifras del FMI (2026): 1% a mediano plazo y menos de 3% a diez años. La variante a la manera del FMI no tiene intervalo porque no estima parámetros." title="" id="98" name="Picture"/>
            <a:graphic>
              <a:graphicData uri="http://schemas.openxmlformats.org/drawingml/2006/picture">
                <pic:pic>
                  <pic:nvPicPr>
                    <pic:cNvPr descr="../tesis/figuras/fig6_4_probabilidad_no_estabilizacion.png"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6.5. Probabilidad de no estabilización por especificación. Estimaciones centrales en 2031 y 2035, con intervalos de 90%, y las cifras del FMI (2026): 1% a mediano plazo y menos de 3% a diez años. La variante a la manera del FMI no tiene intervalo porque no estima parámetros.</w:t>
      </w:r>
    </w:p>
    <w:bookmarkEnd w:id="100"/>
    <w:bookmarkEnd w:id="101"/>
    <w:bookmarkStart w:id="114" w:name="discusión"/>
    <w:p>
      <w:pPr>
        <w:pStyle w:val="Heading1"/>
      </w:pPr>
      <w:r>
        <w:t xml:space="preserve">7. Discusión</w:t>
      </w:r>
    </w:p>
    <w:bookmarkStart w:id="102" w:name="Xd2bfaf14c1e57bc7fc44159cc760bdc22586e66"/>
    <w:p>
      <w:pPr>
        <w:pStyle w:val="Heading2"/>
      </w:pPr>
      <w:r>
        <w:t xml:space="preserve">7.1 Qué cambia respecto del diagnóstico del FMI</w:t>
      </w:r>
    </w:p>
    <w:p>
      <w:pPr>
        <w:pStyle w:val="FirstParagraph"/>
      </w:pPr>
      <w:r>
        <w:t xml:space="preserve">El FMI (2026) concluye que la deuda argentina es sostenible pero no con alta probabilidad, y estima en alrededor de 99% la probabilidad de que se estabilice en el mediano plazo. Con el mismo escenario base, esta tesis estima una probabilidad de no estabilización de 25,2% en 2031, con un intervalo de 19,0% a 27,7%. La diferencia no viene de supuestos más pesimistas sobre crecimiento, superávit o tasas, porque el escenario es el mismo. Tampoco se la puede atribuir a una causa única. Las robusteces del Capítulo 6 descartan algunas: no la explican el perímetro (con la deuda del Tesoro sola la probabilidad es casi igual), ni el punto de partida (partiendo de la deuda consolidada neta del FMI baja a 22,8%), ni la identificación de los</w:t>
      </w:r>
      <w:r>
        <w:t xml:space="preserve"> </w:t>
      </w:r>
      <w:r>
        <w:rPr>
          <w:i/>
          <w:iCs/>
        </w:rPr>
        <w:t xml:space="preserve">shocks</w:t>
      </w:r>
      <w:r>
        <w:t xml:space="preserve">, que no altera la probabilidad. Con un procedimiento de</w:t>
      </w:r>
      <w:r>
        <w:t xml:space="preserve"> </w:t>
      </w:r>
      <w:r>
        <w:rPr>
          <w:i/>
          <w:iCs/>
        </w:rPr>
        <w:t xml:space="preserve">shocks</w:t>
      </w:r>
      <w:r>
        <w:t xml:space="preserve"> </w:t>
      </w:r>
      <w:r>
        <w:t xml:space="preserve">a la manera del FMI aplicado a los datos de esta tesis, la probabilidad es de 23,7%, del mismo orden que la del SVARX, y el ancho del abanico es de 114 puntos, contra 71,5 del FMI. Ese procedimiento no reproduce la cifra del FMI, de modo que la tesis no puede atribuir la diferencia ni al método ni a los datos: el FMI no publica la historia con la que genera sus</w:t>
      </w:r>
      <w:r>
        <w:t xml:space="preserve"> </w:t>
      </w:r>
      <w:r>
        <w:rPr>
          <w:i/>
          <w:iCs/>
        </w:rPr>
        <w:t xml:space="preserve">shocks</w:t>
      </w:r>
      <w:r>
        <w:t xml:space="preserve"> </w:t>
      </w:r>
      <w:r>
        <w:t xml:space="preserve">para Argentina, y los perímetros también difieren (deuda consolidada neta que parte de 61,0% del PIB, contra deuda federal bruta que parte de 80,3%). Lo que la tesis puede afirmar es que, con esta implementación y las series argentinas de 1996-2025, la probabilidad de no estabilización es un orden de magnitud mayor que la que informa el FMI con los dos procedimientos usados.</w:t>
      </w:r>
    </w:p>
    <w:p>
      <w:pPr>
        <w:pStyle w:val="BodyText"/>
      </w:pPr>
      <w:r>
        <w:t xml:space="preserve">A diez años, la probabilidad es algo menor (22,3%) pero sigue muy por encima del umbral. La métrica del FMI pregunta si el ajuste del escenario base alcanza para poner la deuda en una senda descendente (FMI, 2021, anexo VI, nota 9). En una de cada cuatro o cinco trayectorias, ese ajuste no alcanza, incluso diez años después.</w:t>
      </w:r>
    </w:p>
    <w:bookmarkEnd w:id="102"/>
    <w:bookmarkStart w:id="109" w:name="X296fb36fe1945ef431d31692b730d7f1c364e24"/>
    <w:p>
      <w:pPr>
        <w:pStyle w:val="Heading2"/>
      </w:pPr>
      <w:r>
        <w:t xml:space="preserve">7.2 Por qué el abanico es más angosto y, aun así, la probabilidad es mayor</w:t>
      </w:r>
    </w:p>
    <w:p>
      <w:pPr>
        <w:pStyle w:val="FirstParagraph"/>
      </w:pPr>
      <w:r>
        <w:t xml:space="preserve">El ancho del abanico de esta tesis en 2031 es de 35,3 puntos del PIB, contra 71,5 del FMI. Parte de la diferencia es de escala: la deuda de partida es 61,0% en un caso y 80,3% en el otro, y en proporción a ella los anchos son de 0,58 y 0,89. La variante con</w:t>
      </w:r>
      <w:r>
        <w:t xml:space="preserve"> </w:t>
      </w:r>
      <w:r>
        <w:rPr>
          <w:i/>
          <w:iCs/>
        </w:rPr>
        <w:t xml:space="preserve">shocks</w:t>
      </w:r>
      <w:r>
        <w:t xml:space="preserve"> </w:t>
      </w:r>
      <w:r>
        <w:t xml:space="preserve">a la manera del FMI (sección 6.6) permite separar el resto, porque usa los mismos datos, la misma identidad y la misma métrica, y cambia solo la forma de generar los</w:t>
      </w:r>
      <w:r>
        <w:t xml:space="preserve"> </w:t>
      </w:r>
      <w:r>
        <w:rPr>
          <w:i/>
          <w:iCs/>
        </w:rPr>
        <w:t xml:space="preserve">shocks</w:t>
      </w:r>
      <w:r>
        <w:t xml:space="preserve">. Con ella, el ancho es de 114 puntos (Figura 7.1). El ancho depende, entonces, de cómo se generan los</w:t>
      </w:r>
      <w:r>
        <w:t xml:space="preserve"> </w:t>
      </w:r>
      <w:r>
        <w:rPr>
          <w:i/>
          <w:iCs/>
        </w:rPr>
        <w:t xml:space="preserve">shocks</w:t>
      </w:r>
      <w:r>
        <w:t xml:space="preserve">, y no del perímetro: con el SVARX, la deuda bruta y la neta dan anchos casi iguales.</w:t>
      </w:r>
    </w:p>
    <w:p>
      <w:pPr>
        <w:pStyle w:val="CaptionedFigure"/>
      </w:pPr>
      <w:r>
        <w:drawing>
          <wp:inline>
            <wp:extent cx="5334000" cy="2895600"/>
            <wp:effectExtent b="0" l="0" r="0" t="0"/>
            <wp:docPr descr="Figura 7.1. Abanicos con shocks del SVARX y con shocks a la manera del FMI. Deuda consolidada neta simulada, percentiles 5 y 95 y mediana (% del PIB). Los shocks a la manera del FMI son bloques de dos años de desvíos históricos, 1997-2025." title="" id="104" name="Picture"/>
            <a:graphic>
              <a:graphicData uri="http://schemas.openxmlformats.org/drawingml/2006/picture">
                <pic:pic>
                  <pic:nvPicPr>
                    <pic:cNvPr descr="../tesis/figuras/fig7_1_abanico_svarx_vs_fmi.png" id="105" name="Picture"/>
                    <pic:cNvPicPr>
                      <a:picLocks noChangeArrowheads="1" noChangeAspect="1"/>
                    </pic:cNvPicPr>
                  </pic:nvPicPr>
                  <pic:blipFill>
                    <a:blip r:embed="rId103"/>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
          <w:iCs/>
        </w:rPr>
        <w:t xml:space="preserve">shocks</w:t>
      </w:r>
      <w:r>
        <w:t xml:space="preserve"> </w:t>
      </w:r>
      <w:r>
        <w:t xml:space="preserve">del SVARX y con</w:t>
      </w:r>
      <w:r>
        <w:t xml:space="preserve"> </w:t>
      </w:r>
      <w:r>
        <w:rPr>
          <w:i/>
          <w:iCs/>
        </w:rPr>
        <w:t xml:space="preserve">shocks</w:t>
      </w:r>
      <w:r>
        <w:t xml:space="preserve"> </w:t>
      </w:r>
      <w:r>
        <w:t xml:space="preserve">a la manera del FMI. Deuda consolidada neta simulada, percentiles 5 y 95 y mediana (% del PIB). Los</w:t>
      </w:r>
      <w:r>
        <w:t xml:space="preserve"> </w:t>
      </w:r>
      <w:r>
        <w:rPr>
          <w:i/>
          <w:iCs/>
        </w:rPr>
        <w:t xml:space="preserve">shocks</w:t>
      </w:r>
      <w:r>
        <w:t xml:space="preserve"> </w:t>
      </w:r>
      <w:r>
        <w:t xml:space="preserve">a la manera del FMI son bloques de dos años de desvíos históricos, 1997-2025.</w:t>
      </w:r>
    </w:p>
    <w:p>
      <w:pPr>
        <w:pStyle w:val="BodyText"/>
      </w:pPr>
      <w:r>
        <w:rPr>
          <w:b/>
          <w:bCs/>
        </w:rPr>
        <w:t xml:space="preserve">Qué ensancha el abanico del procedimiento del FMI.</w:t>
      </w:r>
      <w:r>
        <w:t xml:space="preserve"> </w:t>
      </w:r>
      <w:r>
        <w:t xml:space="preserve">La Tabla 7.1 repite esa variante quitando el año 2002 o fijando cada impulsor en su media histórica.</w:t>
      </w:r>
    </w:p>
    <w:p>
      <w:pPr>
        <w:pStyle w:val="BodyText"/>
      </w:pPr>
      <w:r>
        <w:rPr>
          <w:b/>
          <w:bCs/>
        </w:rPr>
        <w:t xml:space="preserve">Tabla 7.1. Diagnóstico de la variante con</w:t>
      </w:r>
      <w:r>
        <w:rPr>
          <w:b/>
          <w:bCs/>
        </w:rPr>
        <w:t xml:space="preserve"> </w:t>
      </w:r>
      <w:r>
        <w:rPr>
          <w:b/>
          <w:bCs/>
          <w:i/>
          <w:iCs/>
        </w:rPr>
        <w:t xml:space="preserve">shocks</w:t>
      </w:r>
      <w:r>
        <w:rPr>
          <w:b/>
          <w:bCs/>
        </w:rPr>
        <w:t xml:space="preserve"> </w:t>
      </w:r>
      <w:r>
        <w:rPr>
          <w:b/>
          <w:bCs/>
        </w:rPr>
        <w:t xml:space="preserve">a la manera del FMI (deuda neta)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2031</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2031</w:t>
            </w:r>
          </w:p>
        </w:tc>
      </w:tr>
      <w:tr>
        <w:tc>
          <w:tcPr/>
          <w:p>
            <w:pPr>
              <w:pStyle w:val="Compact"/>
            </w:pPr>
            <w:r>
              <w:rPr>
                <w:rFonts w:ascii="Calibri" w:hAnsi="Calibri"/>
                <w:sz w:val="20"/>
              </w:rPr>
              <w:t xml:space="preserve">Todos los años, 1997-2025</w:t>
            </w:r>
          </w:p>
        </w:tc>
        <w:tc>
          <w:tcPr/>
          <w:p>
            <w:pPr>
              <w:pStyle w:val="Compact"/>
            </w:pPr>
            <w:r>
              <w:rPr>
                <w:rFonts w:ascii="Calibri" w:hAnsi="Calibri"/>
                <w:sz w:val="20"/>
              </w:rPr>
              <w:t xml:space="preserve">23,7%</w:t>
            </w:r>
          </w:p>
        </w:tc>
        <w:tc>
          <w:tcPr/>
          <w:p>
            <w:pPr>
              <w:pStyle w:val="Compact"/>
            </w:pPr>
            <w:r>
              <w:rPr>
                <w:rFonts w:ascii="Calibri" w:hAnsi="Calibri"/>
                <w:sz w:val="20"/>
              </w:rPr>
              <w:t xml:space="preserve">19,7%</w:t>
            </w:r>
          </w:p>
        </w:tc>
        <w:tc>
          <w:tcPr/>
          <w:p>
            <w:pPr>
              <w:pStyle w:val="Compact"/>
            </w:pPr>
            <w:r>
              <w:rPr>
                <w:rFonts w:ascii="Calibri" w:hAnsi="Calibri"/>
                <w:sz w:val="20"/>
              </w:rPr>
              <w:t xml:space="preserve">114,0</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22,9%</w:t>
            </w:r>
          </w:p>
        </w:tc>
        <w:tc>
          <w:tcPr/>
          <w:p>
            <w:pPr>
              <w:pStyle w:val="Compact"/>
            </w:pPr>
            <w:r>
              <w:rPr>
                <w:rFonts w:ascii="Calibri" w:hAnsi="Calibri"/>
                <w:sz w:val="20"/>
              </w:rPr>
              <w:t xml:space="preserve">19,2%</w:t>
            </w:r>
          </w:p>
        </w:tc>
        <w:tc>
          <w:tcPr/>
          <w:p>
            <w:pPr>
              <w:pStyle w:val="Compact"/>
            </w:pPr>
            <w:r>
              <w:rPr>
                <w:rFonts w:ascii="Calibri" w:hAnsi="Calibri"/>
                <w:sz w:val="20"/>
              </w:rPr>
              <w:t xml:space="preserve">87,1</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21,3%</w:t>
            </w:r>
          </w:p>
        </w:tc>
        <w:tc>
          <w:tcPr/>
          <w:p>
            <w:pPr>
              <w:pStyle w:val="Compact"/>
            </w:pPr>
            <w:r>
              <w:rPr>
                <w:rFonts w:ascii="Calibri" w:hAnsi="Calibri"/>
                <w:sz w:val="20"/>
              </w:rPr>
              <w:t xml:space="preserve">18,1%</w:t>
            </w:r>
          </w:p>
        </w:tc>
        <w:tc>
          <w:tcPr/>
          <w:p>
            <w:pPr>
              <w:pStyle w:val="Compact"/>
            </w:pPr>
            <w:r>
              <w:rPr>
                <w:rFonts w:ascii="Calibri" w:hAnsi="Calibri"/>
                <w:sz w:val="20"/>
              </w:rPr>
              <w:t xml:space="preserve">92,0</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16,6%</w:t>
            </w:r>
          </w:p>
        </w:tc>
        <w:tc>
          <w:tcPr/>
          <w:p>
            <w:pPr>
              <w:pStyle w:val="Compact"/>
            </w:pPr>
            <w:r>
              <w:rPr>
                <w:rFonts w:ascii="Calibri" w:hAnsi="Calibri"/>
                <w:sz w:val="20"/>
              </w:rPr>
              <w:t xml:space="preserve">12,2%</w:t>
            </w:r>
          </w:p>
        </w:tc>
        <w:tc>
          <w:tcPr/>
          <w:p>
            <w:pPr>
              <w:pStyle w:val="Compact"/>
            </w:pPr>
            <w:r>
              <w:rPr>
                <w:rFonts w:ascii="Calibri" w:hAnsi="Calibri"/>
                <w:sz w:val="20"/>
              </w:rPr>
              <w:t xml:space="preserve">73,5</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27,4%</w:t>
            </w:r>
          </w:p>
        </w:tc>
        <w:tc>
          <w:tcPr/>
          <w:p>
            <w:pPr>
              <w:pStyle w:val="Compact"/>
            </w:pPr>
            <w:r>
              <w:rPr>
                <w:rFonts w:ascii="Calibri" w:hAnsi="Calibri"/>
                <w:sz w:val="20"/>
              </w:rPr>
              <w:t xml:space="preserve">20,7%</w:t>
            </w:r>
          </w:p>
        </w:tc>
        <w:tc>
          <w:tcPr/>
          <w:p>
            <w:pPr>
              <w:pStyle w:val="Compact"/>
            </w:pPr>
            <w:r>
              <w:rPr>
                <w:rFonts w:ascii="Calibri" w:hAnsi="Calibri"/>
                <w:sz w:val="20"/>
              </w:rPr>
              <w:t xml:space="preserve">98,4</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23,7%</w:t>
            </w:r>
          </w:p>
        </w:tc>
        <w:tc>
          <w:tcPr/>
          <w:p>
            <w:pPr>
              <w:pStyle w:val="Compact"/>
            </w:pPr>
            <w:r>
              <w:rPr>
                <w:rFonts w:ascii="Calibri" w:hAnsi="Calibri"/>
                <w:sz w:val="20"/>
              </w:rPr>
              <w:t xml:space="preserve">19,2%</w:t>
            </w:r>
          </w:p>
        </w:tc>
        <w:tc>
          <w:tcPr/>
          <w:p>
            <w:pPr>
              <w:pStyle w:val="Compact"/>
            </w:pPr>
            <w:r>
              <w:rPr>
                <w:rFonts w:ascii="Calibri" w:hAnsi="Calibri"/>
                <w:sz w:val="20"/>
              </w:rPr>
              <w:t xml:space="preserve">116,5</w:t>
            </w:r>
          </w:p>
        </w:tc>
      </w:tr>
    </w:tbl>
    <w:p>
      <w:pPr>
        <w:pStyle w:val="BodyText"/>
      </w:pPr>
      <w:r>
        <w:t xml:space="preserve">Fuente: elaboración propia. 20.000 trayectorias por variante.</w:t>
      </w:r>
    </w:p>
    <w:p>
      <w:pPr>
        <w:pStyle w:val="BodyText"/>
      </w:pPr>
      <w:r>
        <w:t xml:space="preserve">Un solo año, 2002, aporta casi un cuarto del ancho: la depreciación real de ese año (145%) aparece, con probabilidad uno en catorce, en cada bloque de dos años sorteado. La probabilidad de no estabilización depende sobre todo de la tasa real efectiva (Figura 7.2). Esa tasa pasó de valores positivos durante la convertibilidad (entre 6% y 9% en 1997-2001) a valores muy negativos con la inflación posterior (-56% en 2023 y -66% en 2024). El procedimiento del FMI mide los</w:t>
      </w:r>
      <w:r>
        <w:t xml:space="preserve"> </w:t>
      </w:r>
      <w:r>
        <w:rPr>
          <w:i/>
          <w:iCs/>
        </w:rPr>
        <w:t xml:space="preserve">shocks</w:t>
      </w:r>
      <w:r>
        <w:t xml:space="preserve"> </w:t>
      </w:r>
      <w:r>
        <w:t xml:space="preserve">como desvíos respecto de una única media para todo el período, de -17%. Así, un año como 1999 cuenta como un</w:t>
      </w:r>
      <w:r>
        <w:t xml:space="preserve"> </w:t>
      </w:r>
      <w:r>
        <w:rPr>
          <w:i/>
          <w:iCs/>
        </w:rPr>
        <w:t xml:space="preserve">shock</w:t>
      </w:r>
      <w:r>
        <w:t xml:space="preserve"> </w:t>
      </w:r>
      <w:r>
        <w:t xml:space="preserve">de 26 puntos de tasa real, y puede aparecer en 2031 junto con cualquier otro año de la muestra, aunque correspondan a regímenes monetarios distintos. Es el problema que el FMI y el Mecanismo Europeo de Estabilidad (2023) señalan como desafío de su método: que la historia usada para generar el abanico sea representativa del futuro.</w:t>
      </w:r>
    </w:p>
    <w:p>
      <w:pPr>
        <w:pStyle w:val="CaptionedFigure"/>
      </w:pPr>
      <w:r>
        <w:drawing>
          <wp:inline>
            <wp:extent cx="5334000" cy="3501390"/>
            <wp:effectExtent b="0" l="0" r="0" t="0"/>
            <wp:docPr descr="Figura 7.2. Impulsores anuales de la deuda que usa la variante a la manera del FMI, 1997-2025. La tasa real efectiva pasa de valores positivos en la convertibilidad a valores muy negativos con la inflación posterior." title="" id="107" name="Picture"/>
            <a:graphic>
              <a:graphicData uri="http://schemas.openxmlformats.org/drawingml/2006/picture">
                <pic:pic>
                  <pic:nvPicPr>
                    <pic:cNvPr descr="../tesis/figuras/fig7_2_impulsores_historicos.png" id="108" name="Picture"/>
                    <pic:cNvPicPr>
                      <a:picLocks noChangeArrowheads="1" noChangeAspect="1"/>
                    </pic:cNvPicPr>
                  </pic:nvPicPr>
                  <pic:blipFill>
                    <a:blip r:embed="rId106"/>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7.2. Impulsores anuales de la deuda que usa la variante a la manera del FMI, 1997-2025. La tasa real efectiva pasa de valores positivos en la convertibilidad a valores muy negativos con la inflación posterior.</w:t>
      </w:r>
    </w:p>
    <w:p>
      <w:pPr>
        <w:pStyle w:val="BodyText"/>
      </w:pPr>
      <w:r>
        <w:rPr>
          <w:b/>
          <w:bCs/>
        </w:rPr>
        <w:t xml:space="preserve">Qué hace distinto el SVARX.</w:t>
      </w:r>
      <w:r>
        <w:t xml:space="preserve"> </w:t>
      </w:r>
      <w:r>
        <w:t xml:space="preserve">El SVARX trata los cambios de régimen con las variables binarias de los quiebres estructurales (2001, 2006 y 2018) y separa lo que la dinámica del sistema permite anticipar de lo que es sorpresa: solo remuestrea las sorpresas, que son menores que los desvíos respecto de una media de largo plazo. La tasa en dólares, por su parte, se reprecia gradualmente, a medida que vence la deuda. Por eso el abanico es más angosto. Que la probabilidad de no estabilización sea aun así alta indica que la métrica no depende tanto de la dispersión total como de la frecuencia de años en los que una depreciación real o una suba del riesgo país elevan el resultado primario necesario por encima del previsto. Esta tesis no aísla qué parte de ese resultado se debe a la persistencia de los</w:t>
      </w:r>
      <w:r>
        <w:t xml:space="preserve"> </w:t>
      </w:r>
      <w:r>
        <w:rPr>
          <w:i/>
          <w:iCs/>
        </w:rPr>
        <w:t xml:space="preserve">shocks</w:t>
      </w:r>
      <w:r>
        <w:t xml:space="preserve">; queda como hipótesis para trabajo futuro.</w:t>
      </w:r>
    </w:p>
    <w:bookmarkEnd w:id="109"/>
    <w:bookmarkStart w:id="110" w:name="el-papel-del-superávit-primario"/>
    <w:p>
      <w:pPr>
        <w:pStyle w:val="Heading2"/>
      </w:pPr>
      <w:r>
        <w:t xml:space="preserve">7.3 El papel del superávit primario</w:t>
      </w:r>
    </w:p>
    <w:p>
      <w:pPr>
        <w:pStyle w:val="FirstParagraph"/>
      </w:pPr>
      <w:r>
        <w:t xml:space="preserve">La reacción fiscal estimada es positiva (0,051, con un intervalo de 0,010 a 0,103): en 1998-2025, el resultado primario respondió a la deuda, en línea con la condición de Bohn (1998). Ese coeficiente es el efecto de impacto sobre el resultado primario trimestral; teniendo en cuenta los rezagos del propio resultado primario, el multiplicador de largo plazo de la estimación por mínimos cuadrados es de alrededor de 0,19, una estimación puntual sin intervalo. La tesis no traduce esa reacción en un diferencial entre tasa y crecimiento que la deuda pueda tolerar.</w:t>
      </w:r>
    </w:p>
    <w:p>
      <w:pPr>
        <w:pStyle w:val="BodyText"/>
      </w:pPr>
      <w:r>
        <w:t xml:space="preserve">El contraste de suficiencia de la sección 6.3 mide si el superávit alcanza. Para que la probabilidad de no estabilización en 2031 baje al 1% que estima el FMI para Argentina, el resultado primario de todos los años tendría que subir unos 4,75 puntos, hasta 7,05% del PIB en 2031, casi el doble del máximo de las últimas tres décadas (3,6% en 2004). El superávit es necesario, y el escenario base del FMI se apoya en él, pero en el rango observado no alcanza para llevar la probabilidad a la cifra del FMI. Con 58% de la deuda en moneda extranjera, la identidad hace que una depreciación real cambie el cociente de deuda aunque las cuentas fiscales estén en orden (Calvo et al., 2003); cuánto del riesgo simulado viene de esa fuente depende de la descomposición de la varianza, que no es robusta.</w:t>
      </w:r>
    </w:p>
    <w:p>
      <w:pPr>
        <w:pStyle w:val="BodyText"/>
      </w:pPr>
      <w:r>
        <w:t xml:space="preserve">La descomposición de la varianza apunta en la misma dirección, con el bloque cambiario y de riesgo como el mayor componente en la estimación central, pero no es robusta: depende de cómo se identifica el</w:t>
      </w:r>
      <w:r>
        <w:t xml:space="preserve"> </w:t>
      </w:r>
      <w:r>
        <w:rPr>
          <w:i/>
          <w:iCs/>
        </w:rPr>
        <w:t xml:space="preserve">shock</w:t>
      </w:r>
      <w:r>
        <w:t xml:space="preserve"> </w:t>
      </w:r>
      <w:r>
        <w:t xml:space="preserve">fiscal y de la muestra. Esta tesis no puede afirmar con el nivel de confianza fijado que los</w:t>
      </w:r>
      <w:r>
        <w:t xml:space="preserve"> </w:t>
      </w:r>
      <w:r>
        <w:rPr>
          <w:i/>
          <w:iCs/>
        </w:rPr>
        <w:t xml:space="preserve">shocks</w:t>
      </w:r>
      <w:r>
        <w:t xml:space="preserve"> </w:t>
      </w:r>
      <w:r>
        <w:t xml:space="preserve">cambiarios y de riesgo dominen a los fiscales. Sí puede afirmar que el superávit, en el rango observado, no basta.</w:t>
      </w:r>
    </w:p>
    <w:bookmarkEnd w:id="110"/>
    <w:bookmarkStart w:id="111" w:name="el-shock-de-la-fed"/>
    <w:p>
      <w:pPr>
        <w:pStyle w:val="Heading2"/>
      </w:pPr>
      <w:r>
        <w:t xml:space="preserve">7.4 El</w:t>
      </w:r>
      <w:r>
        <w:t xml:space="preserve"> </w:t>
      </w:r>
      <w:r>
        <w:rPr>
          <w:i/>
          <w:iCs/>
        </w:rPr>
        <w:t xml:space="preserve">shock</w:t>
      </w:r>
      <w:r>
        <w:t xml:space="preserve"> </w:t>
      </w:r>
      <w:r>
        <w:t xml:space="preserve">de la FED</w:t>
      </w:r>
    </w:p>
    <w:p>
      <w:pPr>
        <w:pStyle w:val="FirstParagraph"/>
      </w:pPr>
      <w:r>
        <w:t xml:space="preserve">H2 queda respaldada solo en parte. Repetir las variaciones de la tasa de la FED de 2022-2025, que dejan su nivel 3,82 puntos por encima del base desde 2029, suma 13 puntos de probabilidad de no estabilización en 2035, con un intervalo de 1 a 25 puntos. El efecto sobre la probabilidad cumple el criterio al 90%, pero el efecto sobre la deuda esperada no lo cumple, ninguno resiste la corrección por contrastes múltiples, y en las respuestas al impulso los canales que nombra la hipótesis (riesgo, tipo de cambio real, crecimiento) no se distinguen del azar. Tres quintos del efecto sobre la deuda vienen del mayor costo de refinanciar la deuda en dólares, que el modelo incorpora por construcción a través de la identidad. Esto no quiere decir que los canales indirectos no existan: Uribe y Yue (2006) y Canova (2005) los documentan con paneles y muestras más largas. Quiere decir que una sola serie argentina de 111 trimestres no alcanza para medirlos.</w:t>
      </w:r>
    </w:p>
    <w:bookmarkEnd w:id="111"/>
    <w:bookmarkStart w:id="112" w:name="diálogo-con-la-literatura"/>
    <w:p>
      <w:pPr>
        <w:pStyle w:val="Heading2"/>
      </w:pPr>
      <w:r>
        <w:t xml:space="preserve">7.5 Diálogo con la literatura</w:t>
      </w:r>
    </w:p>
    <w:p>
      <w:pPr>
        <w:pStyle w:val="Compact"/>
        <w:numPr>
          <w:ilvl w:val="0"/>
          <w:numId w:val="1010"/>
        </w:numPr>
      </w:pPr>
      <w:r>
        <w:rPr>
          <w:b/>
          <w:bCs/>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otro objeto, el cociente de deuda. En la estimación central, el bloque cambiario y de riesgo es el mayor componente de la varianza de ese cociente, aunque la descomposición no es robusta y no permite afirmar que domine al fiscal. Si ese peso se confirmara, las dos conclusiones serían compatibles: el cociente de deuda puede no estabilizarse aunque el patrimonio neto se mantenga, y por eso Rodríguez (2023) advierte que el cociente es una medida engañosa después de un salto cambiario.</w:t>
      </w:r>
    </w:p>
    <w:p>
      <w:pPr>
        <w:pStyle w:val="Compact"/>
        <w:numPr>
          <w:ilvl w:val="0"/>
          <w:numId w:val="1010"/>
        </w:numPr>
      </w:pPr>
      <w:r>
        <w:rPr>
          <w:b/>
          <w:bCs/>
        </w:rPr>
        <w:t xml:space="preserve">Tasa y crecimiento.</w:t>
      </w:r>
      <w:r>
        <w:t xml:space="preserve"> </w:t>
      </w:r>
      <w:r>
        <w:t xml:space="preserve">Blanchard (2019) muestra que, cuando la tasa de interés es menor que el crecimiento, la deuda se licua sin necesidad de superávit. El escenario del FMI tiene esa propiedad durante toda la década. Los resultados de esta tesis indican que, aun así, la licuación no garantiza la estabilización cuando una parte grande de la deuda está en moneda extranjera.</w:t>
      </w:r>
    </w:p>
    <w:p>
      <w:pPr>
        <w:pStyle w:val="Compact"/>
        <w:numPr>
          <w:ilvl w:val="0"/>
          <w:numId w:val="1010"/>
        </w:numPr>
      </w:pPr>
      <w:r>
        <w:rPr>
          <w:b/>
          <w:bCs/>
        </w:rPr>
        <w:t xml:space="preserve">Fatiga fiscal.</w:t>
      </w:r>
      <w:r>
        <w:t xml:space="preserve"> </w:t>
      </w:r>
      <w:r>
        <w:t xml:space="preserve">Ghosh et al. (2013) sostienen que la respuesta del superávit se debilita con deuda alta; Everaert y Jansen (2018) no encuentran ese patrón de manera robusta. Esta tesis estima una regla lineal y no puede contrastar la fatiga; si existiera, el contraste de suficiencia sería todavía más desfavorable al superávit.</w:t>
      </w:r>
    </w:p>
    <w:bookmarkEnd w:id="112"/>
    <w:bookmarkStart w:id="113" w:name="limitaciones"/>
    <w:p>
      <w:pPr>
        <w:pStyle w:val="Heading2"/>
      </w:pPr>
      <w:r>
        <w:t xml:space="preserve">7.6 Limitaciones</w:t>
      </w:r>
    </w:p>
    <w:p>
      <w:pPr>
        <w:pStyle w:val="Compact"/>
        <w:numPr>
          <w:ilvl w:val="0"/>
          <w:numId w:val="1011"/>
        </w:numPr>
      </w:pPr>
      <w:r>
        <w:rPr>
          <w:b/>
          <w:bCs/>
        </w:rPr>
        <w:t xml:space="preserve">Escenario base.</w:t>
      </w:r>
      <w:r>
        <w:t xml:space="preserve"> </w:t>
      </w:r>
      <w:r>
        <w:t xml:space="preserve">Todos los resultados están condicionados al escenario del FMI, que supone una tasa real efectiva negativa durante toda la década y un superávit sostenido. Si la desinflación es más rápida, la licuación se reduce.</w:t>
      </w:r>
    </w:p>
    <w:p>
      <w:pPr>
        <w:pStyle w:val="Compact"/>
        <w:numPr>
          <w:ilvl w:val="0"/>
          <w:numId w:val="1011"/>
        </w:numPr>
      </w:pPr>
      <w:r>
        <w:rPr>
          <w:b/>
          <w:bCs/>
        </w:rPr>
        <w:t xml:space="preserve">Perímetro del escenario.</w:t>
      </w:r>
      <w:r>
        <w:t xml:space="preserve"> </w:t>
      </w:r>
      <w:r>
        <w:t xml:space="preserve">La tasa efectiva, el ajuste stock-flujo y la inflación relativa del FMI corresponden a la deuda bruta del gobierno federal y se aplican a la deuda consolidada neta. Con el ajuste stock-flujo en cero, la probabilidad baja (22,0% en 2031) pero las conclusiones no cambian.</w:t>
      </w:r>
    </w:p>
    <w:p>
      <w:pPr>
        <w:pStyle w:val="Compact"/>
        <w:numPr>
          <w:ilvl w:val="0"/>
          <w:numId w:val="1011"/>
        </w:numPr>
      </w:pPr>
      <w:r>
        <w:rPr>
          <w:b/>
          <w:bCs/>
        </w:rPr>
        <w:t xml:space="preserve">FGS.</w:t>
      </w:r>
      <w:r>
        <w:t xml:space="preserve"> </w:t>
      </w:r>
      <w:r>
        <w:t xml:space="preserve">La deuda neta no descuenta los títulos en poder del FGS ni de otros organismos públicos. La ANSES no publica una serie histórica de la cartera del FGS por tipo de activo (Capítulo 5); hay datos anuales de la deuda en manos de organismos del sector público desde 2004, que no se usaron para descontar porque no cubren todo el período de estimación ni separan al FGS. Partir de la deuda del FMI, que sí descuenta el FGS, no cambia las conclusiones.</w:t>
      </w:r>
    </w:p>
    <w:p>
      <w:pPr>
        <w:pStyle w:val="Compact"/>
        <w:numPr>
          <w:ilvl w:val="0"/>
          <w:numId w:val="1011"/>
        </w:numPr>
      </w:pPr>
      <w:r>
        <w:rPr>
          <w:b/>
          <w:bCs/>
        </w:rPr>
        <w:t xml:space="preserve">Persistencia.</w:t>
      </w:r>
      <w:r>
        <w:t xml:space="preserve"> </w:t>
      </w:r>
      <w:r>
        <w:t xml:space="preserve">La estimación central usa coeficientes corregidos por sesgo con un autovalor máximo de 0,9998, casi una raíz unitaria. Esa persistencia eleva las probabilidades de no estabilización, y los intervalos percentiles no quedan centrados en la estimación central, que se ubica cerca de su límite superior.</w:t>
      </w:r>
    </w:p>
    <w:p>
      <w:pPr>
        <w:pStyle w:val="Compact"/>
        <w:numPr>
          <w:ilvl w:val="0"/>
          <w:numId w:val="1011"/>
        </w:numPr>
      </w:pPr>
      <w:r>
        <w:rPr>
          <w:b/>
          <w:bCs/>
        </w:rPr>
        <w:t xml:space="preserve">Resultado primario.</w:t>
      </w:r>
      <w:r>
        <w:t xml:space="preserve"> </w:t>
      </w:r>
      <w:r>
        <w:t xml:space="preserve">Incluye las rentas de la propiedad, entre ellas las utilidades del BCRA. Sin ellas, la probabilidad de no estabilización es de 23,4% en 2031 y 19,6% en 2035.</w:t>
      </w:r>
    </w:p>
    <w:p>
      <w:pPr>
        <w:pStyle w:val="Compact"/>
        <w:numPr>
          <w:ilvl w:val="0"/>
          <w:numId w:val="1011"/>
        </w:numPr>
      </w:pPr>
      <w:r>
        <w:rPr>
          <w:b/>
          <w:bCs/>
        </w:rPr>
        <w:t xml:space="preserve">Autocorrelación residual y remuestreo.</w:t>
      </w:r>
      <w:r>
        <w:t xml:space="preserve"> </w:t>
      </w:r>
      <w:r>
        <w:t xml:space="preserve">La prueba de Portmanteau rechaza la ausencia de autocorrelación (p = 0,036), y los</w:t>
      </w:r>
      <w:r>
        <w:t xml:space="preserve"> </w:t>
      </w:r>
      <w:r>
        <w:rPr>
          <w:i/>
          <w:iCs/>
        </w:rPr>
        <w:t xml:space="preserve">shocks</w:t>
      </w:r>
      <w:r>
        <w:t xml:space="preserve"> </w:t>
      </w:r>
      <w:r>
        <w:t xml:space="preserve">se remuestrean como independientes entre trimestres. Los órdenes que podrían eliminarla son inestables.</w:t>
      </w:r>
    </w:p>
    <w:p>
      <w:pPr>
        <w:pStyle w:val="Compact"/>
        <w:numPr>
          <w:ilvl w:val="0"/>
          <w:numId w:val="1011"/>
        </w:numPr>
      </w:pPr>
      <w:r>
        <w:rPr>
          <w:b/>
          <w:bCs/>
        </w:rPr>
        <w:t xml:space="preserve">Tamaño de la muestra.</w:t>
      </w:r>
      <w:r>
        <w:t xml:space="preserve"> </w:t>
      </w:r>
      <w:r>
        <w:t xml:space="preserve">Cada ecuación tiene unos 25 regresores para 111 trimestres. Eso explica los intervalos amplios de la descomposición de la varianza y de los efectos de la FED.</w:t>
      </w:r>
    </w:p>
    <w:p>
      <w:pPr>
        <w:pStyle w:val="Compact"/>
        <w:numPr>
          <w:ilvl w:val="0"/>
          <w:numId w:val="1011"/>
        </w:numPr>
      </w:pPr>
      <w:r>
        <w:rPr>
          <w:b/>
          <w:bCs/>
        </w:rPr>
        <w:t xml:space="preserve">Cambios de régimen.</w:t>
      </w:r>
      <w:r>
        <w:t xml:space="preserve"> </w:t>
      </w:r>
      <w:r>
        <w:t xml:space="preserve">Los quiebres solo mueven el nivel de las ecuaciones, no sus coeficientes, y el régimen fiscal y monetario posterior a 2024 casi no está en la muestra. La simulación supone que la dinámica de 1998-2025 sigue vigente.</w:t>
      </w:r>
    </w:p>
    <w:p>
      <w:pPr>
        <w:pStyle w:val="Compact"/>
        <w:numPr>
          <w:ilvl w:val="0"/>
          <w:numId w:val="1011"/>
        </w:numPr>
      </w:pPr>
      <w:r>
        <w:rPr>
          <w:b/>
          <w:bCs/>
        </w:rPr>
        <w:t xml:space="preserve">Identificación.</w:t>
      </w:r>
      <w:r>
        <w:t xml:space="preserve"> </w:t>
      </w:r>
      <w:r>
        <w:t xml:space="preserve">La descomposición de la varianza, pero no la probabilidad de no estabilización, depende de la elasticidad cíclica de 0,25, estimada para la OCDE, y del supuesto de que el resultado primario no responde en el trimestre al tipo de cambio.</w:t>
      </w:r>
    </w:p>
    <w:p>
      <w:pPr>
        <w:pStyle w:val="Compact"/>
        <w:numPr>
          <w:ilvl w:val="0"/>
          <w:numId w:val="1011"/>
        </w:numPr>
      </w:pPr>
      <w:r>
        <w:rPr>
          <w:b/>
          <w:bCs/>
          <w:i/>
          <w:iCs/>
        </w:rPr>
        <w:t xml:space="preserve">Shock</w:t>
      </w:r>
      <w:r>
        <w:rPr>
          <w:b/>
          <w:bCs/>
        </w:rPr>
        <w:t xml:space="preserve"> </w:t>
      </w:r>
      <w:r>
        <w:rPr>
          <w:b/>
          <w:bCs/>
        </w:rPr>
        <w:t xml:space="preserve">de la FED.</w:t>
      </w:r>
      <w:r>
        <w:t xml:space="preserve"> </w:t>
      </w:r>
      <w:r>
        <w:t xml:space="preserve">Se usa la variación observada de la tasa y no un</w:t>
      </w:r>
      <w:r>
        <w:t xml:space="preserve"> </w:t>
      </w:r>
      <w:r>
        <w:rPr>
          <w:i/>
          <w:iCs/>
        </w:rPr>
        <w:t xml:space="preserve">shock</w:t>
      </w:r>
      <w:r>
        <w:t xml:space="preserve"> </w:t>
      </w:r>
      <w:r>
        <w:t xml:space="preserve">monetario identificado con datos de alta frecuencia, y el VIX no responde a la FED en la simulación.</w:t>
      </w:r>
    </w:p>
    <w:bookmarkEnd w:id="113"/>
    <w:bookmarkEnd w:id="114"/>
    <w:bookmarkStart w:id="115"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consolidada argentina (Tesoro nacional y BCRA) en 2026-2035, y cuál es la probabilidad de que no se estabilice bajo el escenario base. Para responderla se estimó un SVARX sobre datos trimestrales de 1996-2025, con la deuda consolidada neta construida según el criterio del FMI (2021, anexo II), salvo las tenencias del FGS y otros organismos públicos, que no se descuentan, y se lo usó para simular la deuda alrededor del escenario base del análisis de sostenibilidad más reciente del FMI (2026).</w:t>
      </w:r>
    </w:p>
    <w:p>
      <w:pPr>
        <w:pStyle w:val="BodyText"/>
      </w:pPr>
      <w:r>
        <w:rPr>
          <w:b/>
          <w:bCs/>
        </w:rPr>
        <w:t xml:space="preserve">H1a.</w:t>
      </w:r>
      <w:r>
        <w:t xml:space="preserve"> </w:t>
      </w:r>
      <w:r>
        <w:t xml:space="preserve">El superávit primario, por sí solo, no basta para estabilizar la deuda. La política fiscal respondió a la deuda en el período (un coeficiente de impacto de 0,051 sobre el resultado primario trimestral), pero para que la probabilidad de no estabilización en 2031 baje al 1% que estima el FMI para Argentina, el resultado primario de todos los años tendría que subir unos 4,75 puntos, hasta 7,05% del PIB en 2031, casi el doble del máximo que alcanzó el Sector Público Nacional en tres décadas (3,6% en 2004). La descomposición de la varianza ubica al bloque cambiario y de riesgo como la mayor fuente de incertidumbre en la estimación central (59%), pero ese resultado depende de cómo se identifica el</w:t>
      </w:r>
      <w:r>
        <w:t xml:space="preserve"> </w:t>
      </w:r>
      <w:r>
        <w:rPr>
          <w:i/>
          <w:iCs/>
        </w:rPr>
        <w:t xml:space="preserve">shock</w:t>
      </w:r>
      <w:r>
        <w:t xml:space="preserve"> </w:t>
      </w:r>
      <w:r>
        <w:t xml:space="preserve">fiscal y no permite afirmar con el nivel de confianza fijado que domine al fiscal. Ese era el criterio original de H1a, que no se cumple; el de suficiencia se adoptó después de la primera estimación (sección 4.7).</w:t>
      </w:r>
    </w:p>
    <w:p>
      <w:pPr>
        <w:pStyle w:val="BodyText"/>
      </w:pPr>
      <w:r>
        <w:rPr>
          <w:b/>
          <w:bCs/>
        </w:rPr>
        <w:t xml:space="preserve">H1b.</w:t>
      </w:r>
      <w:r>
        <w:t xml:space="preserve"> </w:t>
      </w:r>
      <w:r>
        <w:t xml:space="preserve">La probabilidad de que la deuda consolidada no se estabilice es de 25,2% en 2031 (entre 19,0% y 27,7%) y de 22,3% en 2035, frente a 1% y menos de 3% en el análisis del FMI. El resultado se mantiene en las 17 especificaciones alternativas, con un procedimiento de</w:t>
      </w:r>
      <w:r>
        <w:t xml:space="preserve"> </w:t>
      </w:r>
      <w:r>
        <w:rPr>
          <w:i/>
          <w:iCs/>
        </w:rPr>
        <w:t xml:space="preserve">shocks</w:t>
      </w:r>
      <w:r>
        <w:t xml:space="preserve"> </w:t>
      </w:r>
      <w:r>
        <w:t xml:space="preserve">a la manera del FMI y partiendo de la deuda consolidada que informa el FMI. No lo explican el perímetro de la deuda simulada, el punto de partida ni la identificación. Con esta implementación y estos datos, la probabilidad es mayor que la del FMI; la diferencia no se pudo atribuir a una causa porque el procedimiento del FMI no se reproduce con los datos disponibles (a su manera, da 23,7% en 2031). Las cifras tampoco miden el mismo perímetro: la deuda consolidada neta parte de 61,0% del PIB y la federal bruta del FMI, de 80,3%.</w:t>
      </w:r>
    </w:p>
    <w:p>
      <w:pPr>
        <w:pStyle w:val="BodyText"/>
      </w:pPr>
      <w:r>
        <w:rPr>
          <w:b/>
          <w:bCs/>
        </w:rPr>
        <w:t xml:space="preserve">H2.</w:t>
      </w:r>
      <w:r>
        <w:t xml:space="preserve"> </w:t>
      </w:r>
      <w:r>
        <w:t xml:space="preserve">H2 queda respaldada solo en parte. Repetir las variaciones de la tasa de la FED de 2022-2025, que dejan su nivel 3,82 puntos por encima del base desde 2029, aumenta la probabilidad de no estabilización en 13 puntos en 2035, con un intervalo de 1 a 25 puntos. El efecto sobre la probabilidad cumple el criterio al 90%, pero no el efecto sobre la deuda esperada, no resiste la corrección por contrastes múltiples y los canales que nombra la hipótesis (riesgo, tipo de cambio real, crecimiento) no se distinguen del azar; la mayor parte del efecto es el costo directo de la deuda en dólares, que el modelo incorpora por construcción.</w:t>
      </w:r>
    </w:p>
    <w:p>
      <w:pPr>
        <w:pStyle w:val="BodyText"/>
      </w:pPr>
      <w:r>
        <w:rPr>
          <w:b/>
          <w:bCs/>
        </w:rPr>
        <w:t xml:space="preserve">Implicancia.</w:t>
      </w:r>
      <w:r>
        <w:t xml:space="preserve"> </w:t>
      </w:r>
      <w:r>
        <w:t xml:space="preserve">Con la dinámica histórica estimada, ni siquiera un superávit en el máximo de tres décadas lleva la probabilidad de no estabilización a la cifra del FMI. La tesis no permite atribuir el riesgo restante a una fuente en particular, porque la descomposición de la varianza no es robusta. Tampoco simula cambios en la composición por moneda ni en los plazos de la deuda; evaluar si reducir la proporción en moneda extranjera (58%) o alargar los vencimientos baja la probabilidad de no estabilización es una extensión directa del modelo.</w:t>
      </w:r>
    </w:p>
    <w:p>
      <w:pPr>
        <w:pStyle w:val="BodyText"/>
      </w:pPr>
      <w:r>
        <w:rPr>
          <w:b/>
          <w:bCs/>
        </w:rPr>
        <w:t xml:space="preserve">Alcance.</w:t>
      </w:r>
      <w:r>
        <w:t xml:space="preserve"> </w:t>
      </w:r>
      <w:r>
        <w:t xml:space="preserve">Los resultados están condicionados al escenario base del FMI, que fue construido para la deuda federal bruta, y a que la dinámica de 1998-2025 siga vigente. La estimación central es muy persistente (autovalor máximo de 0,9998), lo que eleva las probabilidades. Las limitaciones se detallan en la sección 7.6.</w:t>
      </w:r>
    </w:p>
    <w:p>
      <w:pPr>
        <w:pStyle w:val="BodyText"/>
      </w:pPr>
      <w:r>
        <w:rPr>
          <w:b/>
          <w:bCs/>
        </w:rPr>
        <w:t xml:space="preserve">Líneas de trabajo futuro.</w:t>
      </w:r>
    </w:p>
    <w:p>
      <w:pPr>
        <w:pStyle w:val="Compact"/>
        <w:numPr>
          <w:ilvl w:val="0"/>
          <w:numId w:val="1012"/>
        </w:numPr>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no son significativas.</w:t>
      </w:r>
    </w:p>
    <w:p>
      <w:pPr>
        <w:pStyle w:val="Compact"/>
        <w:numPr>
          <w:ilvl w:val="0"/>
          <w:numId w:val="1012"/>
        </w:numPr>
      </w:pPr>
      <w:r>
        <w:t xml:space="preserve">Reemplazar la variación de la tasa de la FED por</w:t>
      </w:r>
      <w:r>
        <w:t xml:space="preserve"> </w:t>
      </w:r>
      <w:r>
        <w:rPr>
          <w:i/>
          <w:iCs/>
        </w:rPr>
        <w:t xml:space="preserve">shocks</w:t>
      </w:r>
      <w:r>
        <w:t xml:space="preserve"> </w:t>
      </w:r>
      <w:r>
        <w:t xml:space="preserve">monetarios identificados con datos de alta frecuencia, que aíslan la parte no anticipada de la política de Estados Unidos.</w:t>
      </w:r>
    </w:p>
    <w:p>
      <w:pPr>
        <w:pStyle w:val="Compact"/>
        <w:numPr>
          <w:ilvl w:val="0"/>
          <w:numId w:val="1012"/>
        </w:numPr>
      </w:pPr>
      <w:r>
        <w:t xml:space="preserve">Incorporar los términos de intercambio como variable exógena, por su peso en la generación de divisas, y un módulo de balanza de pagos.</w:t>
      </w:r>
    </w:p>
    <w:p>
      <w:pPr>
        <w:pStyle w:val="Compact"/>
        <w:numPr>
          <w:ilvl w:val="0"/>
          <w:numId w:val="1012"/>
        </w:numPr>
      </w:pPr>
      <w:r>
        <w:t xml:space="preserve">Simular cambios en la composición por moneda y en los plazos de la deuda.</w:t>
      </w:r>
    </w:p>
    <w:p>
      <w:pPr>
        <w:pStyle w:val="Compact"/>
        <w:numPr>
          <w:ilvl w:val="0"/>
          <w:numId w:val="1012"/>
        </w:numPr>
      </w:pPr>
      <w:r>
        <w:t xml:space="preserve">Restar los títulos públicos en cartera del FGS cuando haya una serie pública completa, y modelar una tasa en pesos homogénea para todo el período.</w:t>
      </w:r>
    </w:p>
    <w:bookmarkEnd w:id="115"/>
    <w:bookmarkStart w:id="123" w:name="apéndice-estadístico"/>
    <w:p>
      <w:pPr>
        <w:pStyle w:val="Heading1"/>
      </w:pPr>
      <w:r>
        <w:t xml:space="preserve">Apéndice estadístico</w:t>
      </w:r>
    </w:p>
    <w:p>
      <w:pPr>
        <w:pStyle w:val="FirstParagraph"/>
      </w:pPr>
      <w:r>
        <w:t xml:space="preserve">Fuente de todas las tablas: elaboración propia.</w:t>
      </w:r>
    </w:p>
    <w:bookmarkStart w:id="116"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Desvío estándar</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r>
      <w:tr>
        <w:tc>
          <w:tcPr/>
          <w:p>
            <w:pPr>
              <w:pStyle w:val="Compact"/>
            </w:pPr>
            <w:r>
              <w:rPr>
                <w:rFonts w:ascii="Calibri" w:hAnsi="Calibri"/>
                <w:sz w:val="20"/>
              </w:rPr>
              <w:t xml:space="preserve">Resultado primario (% del PIB, trimestral anualizado)</w:t>
            </w:r>
          </w:p>
        </w:tc>
        <w:tc>
          <w:tcPr/>
          <w:p>
            <w:pPr>
              <w:pStyle w:val="Compact"/>
            </w:pPr>
            <w:r>
              <w:rPr>
                <w:rFonts w:ascii="Calibri" w:hAnsi="Calibri"/>
                <w:sz w:val="20"/>
              </w:rPr>
              <w:t xml:space="preserve">-0,04</w:t>
            </w:r>
          </w:p>
        </w:tc>
        <w:tc>
          <w:tcPr/>
          <w:p>
            <w:pPr>
              <w:pStyle w:val="Compact"/>
            </w:pPr>
            <w:r>
              <w:rPr>
                <w:rFonts w:ascii="Calibri" w:hAnsi="Calibri"/>
                <w:sz w:val="20"/>
              </w:rPr>
              <w:t xml:space="preserve">3,23</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r>
      <w:tr>
        <w:tc>
          <w:tcPr/>
          <w:p>
            <w:pPr>
              <w:pStyle w:val="Compact"/>
            </w:pPr>
            <w:r>
              <w:rPr>
                <w:rFonts w:ascii="Calibri" w:hAnsi="Calibri"/>
                <w:sz w:val="20"/>
              </w:rPr>
              <w:t xml:space="preserve">Crecimiento real trimestral (%)</w:t>
            </w:r>
          </w:p>
        </w:tc>
        <w:tc>
          <w:tcPr/>
          <w:p>
            <w:pPr>
              <w:pStyle w:val="Compact"/>
            </w:pPr>
            <w:r>
              <w:rPr>
                <w:rFonts w:ascii="Calibri" w:hAnsi="Calibri"/>
                <w:sz w:val="20"/>
              </w:rPr>
              <w:t xml:space="preserve">0,39</w:t>
            </w:r>
          </w:p>
        </w:tc>
        <w:tc>
          <w:tcPr/>
          <w:p>
            <w:pPr>
              <w:pStyle w:val="Compact"/>
            </w:pPr>
            <w:r>
              <w:rPr>
                <w:rFonts w:ascii="Calibri" w:hAnsi="Calibri"/>
                <w:sz w:val="20"/>
              </w:rPr>
              <w:t xml:space="preserve">7,41</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1.561,19</w:t>
            </w:r>
          </w:p>
        </w:tc>
        <w:tc>
          <w:tcPr/>
          <w:p>
            <w:pPr>
              <w:pStyle w:val="Compact"/>
            </w:pPr>
            <w:r>
              <w:rPr>
                <w:rFonts w:ascii="Calibri" w:hAnsi="Calibri"/>
                <w:sz w:val="20"/>
              </w:rPr>
              <w:t xml:space="preserve">1.611,94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r>
      <w:tr>
        <w:tc>
          <w:tcPr/>
          <w:p>
            <w:pPr>
              <w:pStyle w:val="Compact"/>
            </w:pPr>
            <w:r>
              <w:rPr>
                <w:rFonts w:ascii="Calibri" w:hAnsi="Calibri"/>
                <w:sz w:val="20"/>
              </w:rPr>
              <w:t xml:space="preserve">TCRM (diciembre de 2001 = 1)</w:t>
            </w:r>
          </w:p>
        </w:tc>
        <w:tc>
          <w:tcPr/>
          <w:p>
            <w:pPr>
              <w:pStyle w:val="Compact"/>
            </w:pPr>
            <w:r>
              <w:rPr>
                <w:rFonts w:ascii="Calibri" w:hAnsi="Calibri"/>
                <w:sz w:val="20"/>
              </w:rPr>
              <w:t xml:space="preserve">1,66</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r>
      <w:tr>
        <w:tc>
          <w:tcPr/>
          <w:p>
            <w:pPr>
              <w:pStyle w:val="Compact"/>
            </w:pPr>
            <w:r>
              <w:rPr>
                <w:rFonts w:ascii="Calibri" w:hAnsi="Calibri"/>
                <w:sz w:val="20"/>
              </w:rPr>
              <w:t xml:space="preserve">Deuda consolidada neta, rezagada (% del PIB)</w:t>
            </w:r>
          </w:p>
        </w:tc>
        <w:tc>
          <w:tcPr/>
          <w:p>
            <w:pPr>
              <w:pStyle w:val="Compact"/>
            </w:pPr>
            <w:r>
              <w:rPr>
                <w:rFonts w:ascii="Calibri" w:hAnsi="Calibri"/>
                <w:sz w:val="20"/>
              </w:rPr>
              <w:t xml:space="preserve">57,74</w:t>
            </w:r>
          </w:p>
        </w:tc>
        <w:tc>
          <w:tcPr/>
          <w:p>
            <w:pPr>
              <w:pStyle w:val="Compact"/>
            </w:pPr>
            <w:r>
              <w:rPr>
                <w:rFonts w:ascii="Calibri" w:hAnsi="Calibri"/>
                <w:sz w:val="20"/>
              </w:rPr>
              <w:t xml:space="preserve">27,07</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r>
      <w:tr>
        <w:tc>
          <w:tcPr/>
          <w:p>
            <w:pPr>
              <w:pStyle w:val="Compact"/>
            </w:pPr>
            <w:r>
              <w:rPr>
                <w:rFonts w:ascii="Calibri" w:hAnsi="Calibri"/>
                <w:sz w:val="20"/>
              </w:rPr>
              <w:t xml:space="preserve">Variación de la tasa de la FED (puntos)</w:t>
            </w:r>
          </w:p>
        </w:tc>
        <w:tc>
          <w:tcPr/>
          <w:p>
            <w:pPr>
              <w:pStyle w:val="Compact"/>
            </w:pPr>
            <w:r>
              <w:rPr>
                <w:rFonts w:ascii="Calibri" w:hAnsi="Calibri"/>
                <w:sz w:val="20"/>
              </w:rPr>
              <w:t xml:space="preserve">-0,01</w:t>
            </w:r>
          </w:p>
        </w:tc>
        <w:tc>
          <w:tcPr/>
          <w:p>
            <w:pPr>
              <w:pStyle w:val="Compact"/>
            </w:pPr>
            <w:r>
              <w:rPr>
                <w:rFonts w:ascii="Calibri" w:hAnsi="Calibri"/>
                <w:sz w:val="20"/>
              </w:rPr>
              <w:t xml:space="preserve">0,52</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20,20</w:t>
            </w:r>
          </w:p>
        </w:tc>
        <w:tc>
          <w:tcPr/>
          <w:p>
            <w:pPr>
              <w:pStyle w:val="Compact"/>
            </w:pPr>
            <w:r>
              <w:rPr>
                <w:rFonts w:ascii="Calibri" w:hAnsi="Calibri"/>
                <w:sz w:val="20"/>
              </w:rPr>
              <w:t xml:space="preserve">7,33</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r>
    </w:tbl>
    <w:bookmarkEnd w:id="116"/>
    <w:bookmarkStart w:id="117" w:name="a.2-propiedades-de-las-series"/>
    <w:p>
      <w:pPr>
        <w:pStyle w:val="Heading2"/>
      </w:pPr>
      <w:r>
        <w:t xml:space="preserve">A.2 Propiedades de las series</w:t>
      </w:r>
    </w:p>
    <w:p>
      <w:pPr>
        <w:pStyle w:val="FirstParagraph"/>
      </w:pPr>
      <w:r>
        <w:rPr>
          <w:b/>
          <w:bCs/>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Muestra 1996T4-2025T4.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ADF (p)</w:t>
            </w:r>
          </w:p>
        </w:tc>
        <w:tc>
          <w:tcPr/>
          <w:p>
            <w:pPr>
              <w:pStyle w:val="Compact"/>
            </w:pPr>
            <w:r>
              <w:rPr>
                <w:rFonts w:ascii="Calibri" w:hAnsi="Calibri"/>
                <w:sz w:val="20"/>
              </w:rPr>
              <w:t xml:space="preserve">KPSS (p)</w:t>
            </w:r>
          </w:p>
        </w:tc>
        <w:tc>
          <w:tcPr/>
          <w:p>
            <w:pPr>
              <w:pStyle w:val="Compact"/>
            </w:pPr>
            <w:r>
              <w:rPr>
                <w:rFonts w:ascii="Calibri" w:hAnsi="Calibri"/>
                <w:sz w:val="20"/>
              </w:rPr>
              <w:t xml:space="preserve">Clasificación</w:t>
            </w:r>
          </w:p>
        </w:tc>
        <w:tc>
          <w:tcPr/>
          <w:p>
            <w:pPr>
              <w:pStyle w:val="Compact"/>
            </w:pPr>
            <w:r>
              <w:rPr>
                <w:rFonts w:ascii="Calibri" w:hAnsi="Calibri"/>
                <w:sz w:val="20"/>
              </w:rPr>
              <w:t xml:space="preserve">Zivot-Andrews (p)</w:t>
            </w:r>
          </w:p>
        </w:tc>
        <w:tc>
          <w:tcPr/>
          <w:p>
            <w:pPr>
              <w:pStyle w:val="Compact"/>
            </w:pPr>
            <w:r>
              <w:rPr>
                <w:rFonts w:ascii="Calibri" w:hAnsi="Calibri"/>
                <w:sz w:val="20"/>
              </w:rPr>
              <w:t xml:space="preserve">Quiebre de Zivot-Andrews</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0,591</w:t>
            </w:r>
          </w:p>
        </w:tc>
        <w:tc>
          <w:tcPr/>
          <w:p>
            <w:pPr>
              <w:pStyle w:val="Compact"/>
            </w:pPr>
            <w:r>
              <w:rPr>
                <w:rFonts w:ascii="Calibri" w:hAnsi="Calibri"/>
                <w:sz w:val="20"/>
              </w:rPr>
              <w:t xml:space="preserve">0,010</w:t>
            </w:r>
          </w:p>
        </w:tc>
        <w:tc>
          <w:tcPr/>
          <w:p>
            <w:pPr>
              <w:pStyle w:val="Compact"/>
            </w:pPr>
            <w:r>
              <w:rPr>
                <w:rFonts w:ascii="Calibri" w:hAnsi="Calibri"/>
                <w:sz w:val="20"/>
              </w:rPr>
              <w:t xml:space="preserve">raíz unitaria</w:t>
            </w:r>
          </w:p>
        </w:tc>
        <w:tc>
          <w:tcPr/>
          <w:p>
            <w:pPr>
              <w:pStyle w:val="Compact"/>
            </w:pPr>
            <w:r>
              <w:rPr>
                <w:rFonts w:ascii="Calibri" w:hAnsi="Calibri"/>
                <w:sz w:val="20"/>
              </w:rPr>
              <w:t xml:space="preserve">0,982</w:t>
            </w:r>
          </w:p>
        </w:tc>
        <w:tc>
          <w:tcPr/>
          <w:p>
            <w:pPr>
              <w:pStyle w:val="Compact"/>
            </w:pPr>
            <w:r>
              <w:rPr>
                <w:rFonts w:ascii="Calibri" w:hAnsi="Calibri"/>
                <w:sz w:val="20"/>
              </w:rPr>
              <w:t xml:space="preserve">2011T2</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0,053</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0,236</w:t>
            </w:r>
          </w:p>
        </w:tc>
        <w:tc>
          <w:tcPr/>
          <w:p>
            <w:pPr>
              <w:pStyle w:val="Compact"/>
            </w:pPr>
            <w:r>
              <w:rPr>
                <w:rFonts w:ascii="Calibri" w:hAnsi="Calibri"/>
                <w:sz w:val="20"/>
              </w:rPr>
              <w:t xml:space="preserve">2003T1</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0,151</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0,087</w:t>
            </w:r>
          </w:p>
        </w:tc>
        <w:tc>
          <w:tcPr/>
          <w:p>
            <w:pPr>
              <w:pStyle w:val="Compact"/>
            </w:pPr>
            <w:r>
              <w:rPr>
                <w:rFonts w:ascii="Calibri" w:hAnsi="Calibri"/>
                <w:sz w:val="20"/>
              </w:rPr>
              <w:t xml:space="preserve">2005T2</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0,250</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0,000</w:t>
            </w:r>
          </w:p>
        </w:tc>
        <w:tc>
          <w:tcPr/>
          <w:p>
            <w:pPr>
              <w:pStyle w:val="Compact"/>
            </w:pPr>
            <w:r>
              <w:rPr>
                <w:rFonts w:ascii="Calibri" w:hAnsi="Calibri"/>
                <w:sz w:val="20"/>
              </w:rPr>
              <w:t xml:space="preserve">2001T4</w:t>
            </w:r>
          </w:p>
        </w:tc>
      </w:tr>
      <w:tr>
        <w:tc>
          <w:tcPr/>
          <w:p>
            <w:pPr>
              <w:pStyle w:val="Compact"/>
            </w:pPr>
            <w:r>
              <w:rPr>
                <w:rFonts w:ascii="Calibri" w:hAnsi="Calibri"/>
                <w:sz w:val="20"/>
              </w:rPr>
              <w:t xml:space="preserve">Deuda consolidada neta</w:t>
            </w:r>
          </w:p>
        </w:tc>
        <w:tc>
          <w:tcPr/>
          <w:p>
            <w:pPr>
              <w:pStyle w:val="Compact"/>
            </w:pPr>
            <w:r>
              <w:rPr>
                <w:rFonts w:ascii="Calibri" w:hAnsi="Calibri"/>
                <w:sz w:val="20"/>
              </w:rPr>
              <w:t xml:space="preserve">0,099</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0,575</w:t>
            </w:r>
          </w:p>
        </w:tc>
        <w:tc>
          <w:tcPr/>
          <w:p>
            <w:pPr>
              <w:pStyle w:val="Compact"/>
            </w:pPr>
            <w:r>
              <w:rPr>
                <w:rFonts w:ascii="Calibri" w:hAnsi="Calibri"/>
                <w:sz w:val="20"/>
              </w:rPr>
              <w:t xml:space="preserve">2005T1</w:t>
            </w:r>
          </w:p>
        </w:tc>
      </w:tr>
      <w:tr>
        <w:tc>
          <w:tcPr/>
          <w:p>
            <w:pPr>
              <w:pStyle w:val="Compact"/>
            </w:pPr>
            <w:r>
              <w:rPr>
                <w:rFonts w:ascii="Calibri" w:hAnsi="Calibri"/>
                <w:sz w:val="20"/>
              </w:rPr>
              <w:t xml:space="preserve">Tasa de la FED (nivel)</w:t>
            </w:r>
          </w:p>
        </w:tc>
        <w:tc>
          <w:tcPr/>
          <w:p>
            <w:pPr>
              <w:pStyle w:val="Compact"/>
            </w:pPr>
            <w:r>
              <w:rPr>
                <w:rFonts w:ascii="Calibri" w:hAnsi="Calibri"/>
                <w:sz w:val="20"/>
              </w:rPr>
              <w:t xml:space="preserve">0,019</w:t>
            </w:r>
          </w:p>
        </w:tc>
        <w:tc>
          <w:tcPr/>
          <w:p>
            <w:pPr>
              <w:pStyle w:val="Compact"/>
            </w:pPr>
            <w:r>
              <w:rPr>
                <w:rFonts w:ascii="Calibri" w:hAnsi="Calibri"/>
                <w:sz w:val="20"/>
              </w:rPr>
              <w:t xml:space="preserve">0,047</w:t>
            </w:r>
          </w:p>
        </w:tc>
        <w:tc>
          <w:tcPr/>
          <w:p>
            <w:pPr>
              <w:pStyle w:val="Compact"/>
            </w:pPr>
            <w:r>
              <w:rPr>
                <w:rFonts w:ascii="Calibri" w:hAnsi="Calibri"/>
                <w:sz w:val="20"/>
              </w:rPr>
              <w:t xml:space="preserve">ambigua</w:t>
            </w:r>
          </w:p>
        </w:tc>
        <w:tc>
          <w:tcPr/>
          <w:p>
            <w:pPr>
              <w:pStyle w:val="Compact"/>
            </w:pPr>
            <w:r>
              <w:rPr>
                <w:rFonts w:ascii="Calibri" w:hAnsi="Calibri"/>
                <w:sz w:val="20"/>
              </w:rPr>
              <w:t xml:space="preserve">0,020</w:t>
            </w:r>
          </w:p>
        </w:tc>
        <w:tc>
          <w:tcPr/>
          <w:p>
            <w:pPr>
              <w:pStyle w:val="Compact"/>
            </w:pPr>
            <w:r>
              <w:rPr>
                <w:rFonts w:ascii="Calibri" w:hAnsi="Calibri"/>
                <w:sz w:val="20"/>
              </w:rPr>
              <w:t xml:space="preserve">2021T2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0,000</w:t>
            </w:r>
          </w:p>
        </w:tc>
        <w:tc>
          <w:tcPr/>
          <w:p>
            <w:pPr>
              <w:pStyle w:val="Compact"/>
            </w:pPr>
            <w:r>
              <w:rPr>
                <w:rFonts w:ascii="Calibri" w:hAnsi="Calibri"/>
                <w:sz w:val="20"/>
              </w:rPr>
              <w:t xml:space="preserve">0,100</w:t>
            </w:r>
          </w:p>
        </w:tc>
        <w:tc>
          <w:tcPr/>
          <w:p>
            <w:pPr>
              <w:pStyle w:val="Compact"/>
            </w:pPr>
            <w:r>
              <w:rPr>
                <w:rFonts w:ascii="Calibri" w:hAnsi="Calibri"/>
                <w:sz w:val="20"/>
              </w:rPr>
              <w:t xml:space="preserve">estacionaria</w:t>
            </w:r>
          </w:p>
        </w:tc>
        <w:tc>
          <w:tcPr/>
          <w:p>
            <w:pPr>
              <w:pStyle w:val="Compact"/>
            </w:pPr>
            <w:r>
              <w:rPr>
                <w:rFonts w:ascii="Calibri" w:hAnsi="Calibri"/>
                <w:sz w:val="20"/>
              </w:rPr>
              <w:t xml:space="preserve">0,028</w:t>
            </w:r>
          </w:p>
        </w:tc>
        <w:tc>
          <w:tcPr/>
          <w:p>
            <w:pPr>
              <w:pStyle w:val="Compact"/>
            </w:pPr>
            <w:r>
              <w:rPr>
                <w:rFonts w:ascii="Calibri" w:hAnsi="Calibri"/>
                <w:sz w:val="20"/>
              </w:rPr>
              <w:t xml:space="preserve">2019T4</w:t>
            </w:r>
          </w:p>
        </w:tc>
      </w:tr>
    </w:tbl>
    <w:p>
      <w:pPr>
        <w:pStyle w:val="BodyText"/>
      </w:pPr>
      <w:r>
        <w:rPr>
          <w:b/>
          <w:bCs/>
        </w:rPr>
        <w:t xml:space="preserve">Quiebres estructurales.</w:t>
      </w:r>
      <w:r>
        <w:t xml:space="preserve"> </w:t>
      </w:r>
      <w:r>
        <w:t xml:space="preserve">El procedimiento de Bai y Perron (2003) sobre la media de la deuda consolidada neta, con el número de quiebres elegido por el criterio de Schwarz, encuentra 3 quiebres: 2001T4, 2006T2 y 2018T1. Son los que entran como variables binarias en el SVARX.</w:t>
      </w:r>
    </w:p>
    <w:p>
      <w:pPr>
        <w:pStyle w:val="BodyText"/>
      </w:pPr>
      <w:r>
        <w:rPr>
          <w:b/>
          <w:bCs/>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incluido, genera por sí solo una relación de cointegración trivial.</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Hipótesis nula</w:t>
            </w:r>
          </w:p>
        </w:tc>
        <w:tc>
          <w:tcPr/>
          <w:p>
            <w:pPr>
              <w:pStyle w:val="Compact"/>
            </w:pPr>
            <w:r>
              <w:rPr>
                <w:rFonts w:ascii="Calibri" w:hAnsi="Calibri"/>
                <w:sz w:val="20"/>
              </w:rPr>
              <w:t xml:space="preserve">Traza</w:t>
            </w:r>
          </w:p>
        </w:tc>
        <w:tc>
          <w:tcPr/>
          <w:p>
            <w:pPr>
              <w:pStyle w:val="Compact"/>
            </w:pPr>
            <w:r>
              <w:rPr>
                <w:rFonts w:ascii="Calibri" w:hAnsi="Calibri"/>
                <w:sz w:val="20"/>
              </w:rPr>
              <w:t xml:space="preserve">Valor crítico 5%</w:t>
            </w:r>
          </w:p>
        </w:tc>
        <w:tc>
          <w:tcPr/>
          <w:p>
            <w:pPr>
              <w:pStyle w:val="Compact"/>
            </w:pPr>
            <w:r>
              <w:rPr>
                <w:rFonts w:ascii="Calibri" w:hAnsi="Calibri"/>
                <w:sz w:val="20"/>
              </w:rPr>
              <w:t xml:space="preserve">Rechaza</w:t>
            </w:r>
          </w:p>
        </w:tc>
      </w:tr>
      <w:tr>
        <w:tc>
          <w:tcPr/>
          <w:p>
            <w:pPr>
              <w:pStyle w:val="Compact"/>
            </w:pPr>
            <w:r>
              <w:rPr>
                <w:rFonts w:ascii="Calibri" w:hAnsi="Calibri"/>
                <w:sz w:val="20"/>
              </w:rPr>
              <w:t xml:space="preserve">rango ≤ 0</w:t>
            </w:r>
          </w:p>
        </w:tc>
        <w:tc>
          <w:tcPr/>
          <w:p>
            <w:pPr>
              <w:pStyle w:val="Compact"/>
            </w:pPr>
            <w:r>
              <w:rPr>
                <w:rFonts w:ascii="Calibri" w:hAnsi="Calibri"/>
                <w:sz w:val="20"/>
              </w:rPr>
              <w:t xml:space="preserve">43,7</w:t>
            </w:r>
          </w:p>
        </w:tc>
        <w:tc>
          <w:tcPr/>
          <w:p>
            <w:pPr>
              <w:pStyle w:val="Compact"/>
            </w:pPr>
            <w:r>
              <w:rPr>
                <w:rFonts w:ascii="Calibri" w:hAnsi="Calibri"/>
                <w:sz w:val="20"/>
              </w:rPr>
              <w:t xml:space="preserve">47,9</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1</w:t>
            </w:r>
          </w:p>
        </w:tc>
        <w:tc>
          <w:tcPr/>
          <w:p>
            <w:pPr>
              <w:pStyle w:val="Compact"/>
            </w:pPr>
            <w:r>
              <w:rPr>
                <w:rFonts w:ascii="Calibri" w:hAnsi="Calibri"/>
                <w:sz w:val="20"/>
              </w:rPr>
              <w:t xml:space="preserve">20,0</w:t>
            </w:r>
          </w:p>
        </w:tc>
        <w:tc>
          <w:tcPr/>
          <w:p>
            <w:pPr>
              <w:pStyle w:val="Compact"/>
            </w:pPr>
            <w:r>
              <w:rPr>
                <w:rFonts w:ascii="Calibri" w:hAnsi="Calibri"/>
                <w:sz w:val="20"/>
              </w:rPr>
              <w:t xml:space="preserve">29,8</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2</w:t>
            </w:r>
          </w:p>
        </w:tc>
        <w:tc>
          <w:tcPr/>
          <w:p>
            <w:pPr>
              <w:pStyle w:val="Compact"/>
            </w:pPr>
            <w:r>
              <w:rPr>
                <w:rFonts w:ascii="Calibri" w:hAnsi="Calibri"/>
                <w:sz w:val="20"/>
              </w:rPr>
              <w:t xml:space="preserve">10,8</w:t>
            </w:r>
          </w:p>
        </w:tc>
        <w:tc>
          <w:tcPr/>
          <w:p>
            <w:pPr>
              <w:pStyle w:val="Compact"/>
            </w:pPr>
            <w:r>
              <w:rPr>
                <w:rFonts w:ascii="Calibri" w:hAnsi="Calibri"/>
                <w:sz w:val="20"/>
              </w:rPr>
              <w:t xml:space="preserve">15,5</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3</w:t>
            </w:r>
          </w:p>
        </w:tc>
        <w:tc>
          <w:tcPr/>
          <w:p>
            <w:pPr>
              <w:pStyle w:val="Compact"/>
            </w:pPr>
            <w:r>
              <w:rPr>
                <w:rFonts w:ascii="Calibri" w:hAnsi="Calibri"/>
                <w:sz w:val="20"/>
              </w:rPr>
              <w:t xml:space="preserve">3,3</w:t>
            </w:r>
          </w:p>
        </w:tc>
        <w:tc>
          <w:tcPr/>
          <w:p>
            <w:pPr>
              <w:pStyle w:val="Compact"/>
            </w:pPr>
            <w:r>
              <w:rPr>
                <w:rFonts w:ascii="Calibri" w:hAnsi="Calibri"/>
                <w:sz w:val="20"/>
              </w:rPr>
              <w:t xml:space="preserve">3,8</w:t>
            </w:r>
          </w:p>
        </w:tc>
        <w:tc>
          <w:tcPr/>
          <w:p>
            <w:pPr>
              <w:pStyle w:val="Compact"/>
            </w:pPr>
            <w:r>
              <w:rPr>
                <w:rFonts w:ascii="Calibri" w:hAnsi="Calibri"/>
                <w:sz w:val="20"/>
              </w:rPr>
              <w:t xml:space="preserve">no</w:t>
            </w:r>
          </w:p>
        </w:tc>
      </w:tr>
    </w:tbl>
    <w:bookmarkEnd w:id="117"/>
    <w:bookmarkStart w:id="118" w:name="a.3-selección-del-orden-del-var"/>
    <w:p>
      <w:pPr>
        <w:pStyle w:val="Heading2"/>
      </w:pPr>
      <w:r>
        <w:t xml:space="preserve">A.3 Selección del orden del VAR</w:t>
      </w:r>
    </w:p>
    <w:p>
      <w:pPr>
        <w:pStyle w:val="FirstParagraph"/>
      </w:pPr>
      <w:r>
        <w:t xml:space="preserve">Muestra efectiva común 1998T2-2025T4 (111 trimestres) para todos los órdenes (sección 4.5). El orden elegido es el mayor orden estable que no supera al que minimiza el AIC.</w:t>
      </w:r>
    </w:p>
    <w:p>
      <w:pPr>
        <w:pStyle w:val="BodyText"/>
      </w:pPr>
      <w:r>
        <w:rPr>
          <w:b/>
          <w:bCs/>
        </w:rPr>
        <w:t xml:space="preserve">Deuda consolidada neta, valor nominal (principal).</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12,351</w:t>
            </w:r>
          </w:p>
        </w:tc>
        <w:tc>
          <w:tcPr/>
          <w:p>
            <w:pPr>
              <w:pStyle w:val="Compact"/>
            </w:pPr>
            <w:r>
              <w:rPr>
                <w:rFonts w:ascii="Calibri" w:hAnsi="Calibri"/>
                <w:sz w:val="20"/>
              </w:rPr>
              <w:t xml:space="preserve">13,914</w:t>
            </w:r>
          </w:p>
        </w:tc>
        <w:tc>
          <w:tcPr/>
          <w:p>
            <w:pPr>
              <w:pStyle w:val="Compact"/>
            </w:pPr>
            <w:r>
              <w:rPr>
                <w:rFonts w:ascii="Calibri" w:hAnsi="Calibri"/>
                <w:sz w:val="20"/>
              </w:rPr>
              <w:t xml:space="preserve">12,985</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12,052</w:t>
            </w:r>
          </w:p>
        </w:tc>
        <w:tc>
          <w:tcPr/>
          <w:p>
            <w:pPr>
              <w:pStyle w:val="Compact"/>
            </w:pPr>
            <w:r>
              <w:rPr>
                <w:rFonts w:ascii="Calibri" w:hAnsi="Calibri"/>
                <w:sz w:val="20"/>
              </w:rPr>
              <w:t xml:space="preserve">14,005</w:t>
            </w:r>
          </w:p>
        </w:tc>
        <w:tc>
          <w:tcPr/>
          <w:p>
            <w:pPr>
              <w:pStyle w:val="Compact"/>
            </w:pPr>
            <w:r>
              <w:rPr>
                <w:rFonts w:ascii="Calibri" w:hAnsi="Calibri"/>
                <w:sz w:val="20"/>
              </w:rPr>
              <w:t xml:space="preserve">12,844</w:t>
            </w:r>
          </w:p>
        </w:tc>
        <w:tc>
          <w:tcPr/>
          <w:p>
            <w:pPr>
              <w:pStyle w:val="Compact"/>
            </w:pPr>
            <w:r>
              <w:rPr>
                <w:rFonts w:ascii="Calibri" w:hAnsi="Calibri"/>
                <w:sz w:val="20"/>
              </w:rPr>
              <w:t xml:space="preserve">0,894</w:t>
            </w:r>
          </w:p>
        </w:tc>
        <w:tc>
          <w:tcPr/>
          <w:p>
            <w:pPr>
              <w:pStyle w:val="Compact"/>
            </w:pPr>
            <w:r>
              <w:rPr>
                <w:rFonts w:ascii="Calibri" w:hAnsi="Calibri"/>
                <w:sz w:val="20"/>
              </w:rPr>
              <w:t xml:space="preserve">sí</w:t>
            </w:r>
          </w:p>
        </w:tc>
        <w:tc>
          <w:tcPr/>
          <w:p>
            <w:pPr>
              <w:pStyle w:val="Compact"/>
            </w:pPr>
            <w:r>
              <w:rPr>
                <w:rFonts w:ascii="Calibri" w:hAnsi="Calibri"/>
                <w:sz w:val="20"/>
              </w:rPr>
              <w:t xml:space="preserve">0,039</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12,125</w:t>
            </w:r>
          </w:p>
        </w:tc>
        <w:tc>
          <w:tcPr/>
          <w:p>
            <w:pPr>
              <w:pStyle w:val="Compact"/>
            </w:pPr>
            <w:r>
              <w:rPr>
                <w:rFonts w:ascii="Calibri" w:hAnsi="Calibri"/>
                <w:sz w:val="20"/>
              </w:rPr>
              <w:t xml:space="preserve">14,468</w:t>
            </w:r>
          </w:p>
        </w:tc>
        <w:tc>
          <w:tcPr/>
          <w:p>
            <w:pPr>
              <w:pStyle w:val="Compact"/>
            </w:pPr>
            <w:r>
              <w:rPr>
                <w:rFonts w:ascii="Calibri" w:hAnsi="Calibri"/>
                <w:sz w:val="20"/>
              </w:rPr>
              <w:t xml:space="preserve">13,075</w:t>
            </w:r>
          </w:p>
        </w:tc>
        <w:tc>
          <w:tcPr/>
          <w:p>
            <w:pPr>
              <w:pStyle w:val="Compact"/>
            </w:pPr>
            <w:r>
              <w:rPr>
                <w:rFonts w:ascii="Calibri" w:hAnsi="Calibri"/>
                <w:sz w:val="20"/>
              </w:rPr>
              <w:t xml:space="preserve">0,964</w:t>
            </w:r>
          </w:p>
        </w:tc>
        <w:tc>
          <w:tcPr/>
          <w:p>
            <w:pPr>
              <w:pStyle w:val="Compact"/>
            </w:pPr>
            <w:r>
              <w:rPr>
                <w:rFonts w:ascii="Calibri" w:hAnsi="Calibri"/>
                <w:sz w:val="20"/>
              </w:rPr>
              <w:t xml:space="preserve">sí</w:t>
            </w:r>
          </w:p>
        </w:tc>
        <w:tc>
          <w:tcPr/>
          <w:p>
            <w:pPr>
              <w:pStyle w:val="Compact"/>
            </w:pPr>
            <w:r>
              <w:rPr>
                <w:rFonts w:ascii="Calibri" w:hAnsi="Calibri"/>
                <w:sz w:val="20"/>
              </w:rPr>
              <w:t xml:space="preserve">0,036</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12,009</w:t>
            </w:r>
          </w:p>
        </w:tc>
        <w:tc>
          <w:tcPr/>
          <w:p>
            <w:pPr>
              <w:pStyle w:val="Compact"/>
            </w:pPr>
            <w:r>
              <w:rPr>
                <w:rFonts w:ascii="Calibri" w:hAnsi="Calibri"/>
                <w:sz w:val="20"/>
              </w:rPr>
              <w:t xml:space="preserve">14,743</w:t>
            </w:r>
          </w:p>
        </w:tc>
        <w:tc>
          <w:tcPr/>
          <w:p>
            <w:pPr>
              <w:pStyle w:val="Compact"/>
            </w:pPr>
            <w:r>
              <w:rPr>
                <w:rFonts w:ascii="Calibri" w:hAnsi="Calibri"/>
                <w:sz w:val="20"/>
              </w:rPr>
              <w:t xml:space="preserve">13,118</w:t>
            </w:r>
          </w:p>
        </w:tc>
        <w:tc>
          <w:tcPr/>
          <w:p>
            <w:pPr>
              <w:pStyle w:val="Compact"/>
            </w:pPr>
            <w:r>
              <w:rPr>
                <w:rFonts w:ascii="Calibri" w:hAnsi="Calibri"/>
                <w:sz w:val="20"/>
              </w:rPr>
              <w:t xml:space="preserve">1,021</w:t>
            </w:r>
          </w:p>
        </w:tc>
        <w:tc>
          <w:tcPr/>
          <w:p>
            <w:pPr>
              <w:pStyle w:val="Compact"/>
            </w:pPr>
            <w:r>
              <w:rPr>
                <w:rFonts w:ascii="Calibri" w:hAnsi="Calibri"/>
                <w:sz w:val="20"/>
              </w:rPr>
              <w:t xml:space="preserve">no</w:t>
            </w:r>
          </w:p>
        </w:tc>
        <w:tc>
          <w:tcPr/>
          <w:p>
            <w:pPr>
              <w:pStyle w:val="Compact"/>
            </w:pPr>
            <w:r>
              <w:rPr>
                <w:rFonts w:ascii="Calibri" w:hAnsi="Calibri"/>
                <w:sz w:val="20"/>
              </w:rPr>
              <w:t xml:space="preserve">0,023</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11,939</w:t>
            </w:r>
          </w:p>
        </w:tc>
        <w:tc>
          <w:tcPr/>
          <w:p>
            <w:pPr>
              <w:pStyle w:val="Compact"/>
            </w:pPr>
            <w:r>
              <w:rPr>
                <w:rFonts w:ascii="Calibri" w:hAnsi="Calibri"/>
                <w:sz w:val="20"/>
              </w:rPr>
              <w:t xml:space="preserve">15,064</w:t>
            </w:r>
          </w:p>
        </w:tc>
        <w:tc>
          <w:tcPr/>
          <w:p>
            <w:pPr>
              <w:pStyle w:val="Compact"/>
            </w:pPr>
            <w:r>
              <w:rPr>
                <w:rFonts w:ascii="Calibri" w:hAnsi="Calibri"/>
                <w:sz w:val="20"/>
              </w:rPr>
              <w:t xml:space="preserve">13,207</w:t>
            </w:r>
          </w:p>
        </w:tc>
        <w:tc>
          <w:tcPr/>
          <w:p>
            <w:pPr>
              <w:pStyle w:val="Compact"/>
            </w:pPr>
            <w:r>
              <w:rPr>
                <w:rFonts w:ascii="Calibri" w:hAnsi="Calibri"/>
                <w:sz w:val="20"/>
              </w:rPr>
              <w:t xml:space="preserve">1,024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1,033</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neta, valor libros.</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12,326</w:t>
            </w:r>
          </w:p>
        </w:tc>
        <w:tc>
          <w:tcPr/>
          <w:p>
            <w:pPr>
              <w:pStyle w:val="Compact"/>
            </w:pPr>
            <w:r>
              <w:rPr>
                <w:rFonts w:ascii="Calibri" w:hAnsi="Calibri"/>
                <w:sz w:val="20"/>
              </w:rPr>
              <w:t xml:space="preserve">13,888</w:t>
            </w:r>
          </w:p>
        </w:tc>
        <w:tc>
          <w:tcPr/>
          <w:p>
            <w:pPr>
              <w:pStyle w:val="Compact"/>
            </w:pPr>
            <w:r>
              <w:rPr>
                <w:rFonts w:ascii="Calibri" w:hAnsi="Calibri"/>
                <w:sz w:val="20"/>
              </w:rPr>
              <w:t xml:space="preserve">12,960</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12,043</w:t>
            </w:r>
          </w:p>
        </w:tc>
        <w:tc>
          <w:tcPr/>
          <w:p>
            <w:pPr>
              <w:pStyle w:val="Compact"/>
            </w:pPr>
            <w:r>
              <w:rPr>
                <w:rFonts w:ascii="Calibri" w:hAnsi="Calibri"/>
                <w:sz w:val="20"/>
              </w:rPr>
              <w:t xml:space="preserve">13,996</w:t>
            </w:r>
          </w:p>
        </w:tc>
        <w:tc>
          <w:tcPr/>
          <w:p>
            <w:pPr>
              <w:pStyle w:val="Compact"/>
            </w:pPr>
            <w:r>
              <w:rPr>
                <w:rFonts w:ascii="Calibri" w:hAnsi="Calibri"/>
                <w:sz w:val="20"/>
              </w:rPr>
              <w:t xml:space="preserve">12,835</w:t>
            </w:r>
          </w:p>
        </w:tc>
        <w:tc>
          <w:tcPr/>
          <w:p>
            <w:pPr>
              <w:pStyle w:val="Compact"/>
            </w:pPr>
            <w:r>
              <w:rPr>
                <w:rFonts w:ascii="Calibri" w:hAnsi="Calibri"/>
                <w:sz w:val="20"/>
              </w:rPr>
              <w:t xml:space="preserve">0,900</w:t>
            </w:r>
          </w:p>
        </w:tc>
        <w:tc>
          <w:tcPr/>
          <w:p>
            <w:pPr>
              <w:pStyle w:val="Compact"/>
            </w:pPr>
            <w:r>
              <w:rPr>
                <w:rFonts w:ascii="Calibri" w:hAnsi="Calibri"/>
                <w:sz w:val="20"/>
              </w:rPr>
              <w:t xml:space="preserve">sí</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12,122</w:t>
            </w:r>
          </w:p>
        </w:tc>
        <w:tc>
          <w:tcPr/>
          <w:p>
            <w:pPr>
              <w:pStyle w:val="Compact"/>
            </w:pPr>
            <w:r>
              <w:rPr>
                <w:rFonts w:ascii="Calibri" w:hAnsi="Calibri"/>
                <w:sz w:val="20"/>
              </w:rPr>
              <w:t xml:space="preserve">14,466</w:t>
            </w:r>
          </w:p>
        </w:tc>
        <w:tc>
          <w:tcPr/>
          <w:p>
            <w:pPr>
              <w:pStyle w:val="Compact"/>
            </w:pPr>
            <w:r>
              <w:rPr>
                <w:rFonts w:ascii="Calibri" w:hAnsi="Calibri"/>
                <w:sz w:val="20"/>
              </w:rPr>
              <w:t xml:space="preserve">13,073</w:t>
            </w:r>
          </w:p>
        </w:tc>
        <w:tc>
          <w:tcPr/>
          <w:p>
            <w:pPr>
              <w:pStyle w:val="Compact"/>
            </w:pPr>
            <w:r>
              <w:rPr>
                <w:rFonts w:ascii="Calibri" w:hAnsi="Calibri"/>
                <w:sz w:val="20"/>
              </w:rPr>
              <w:t xml:space="preserve">0,961</w:t>
            </w:r>
          </w:p>
        </w:tc>
        <w:tc>
          <w:tcPr/>
          <w:p>
            <w:pPr>
              <w:pStyle w:val="Compact"/>
            </w:pPr>
            <w:r>
              <w:rPr>
                <w:rFonts w:ascii="Calibri" w:hAnsi="Calibri"/>
                <w:sz w:val="20"/>
              </w:rPr>
              <w:t xml:space="preserve">sí</w:t>
            </w:r>
          </w:p>
        </w:tc>
        <w:tc>
          <w:tcPr/>
          <w:p>
            <w:pPr>
              <w:pStyle w:val="Compact"/>
            </w:pPr>
            <w:r>
              <w:rPr>
                <w:rFonts w:ascii="Calibri" w:hAnsi="Calibri"/>
                <w:sz w:val="20"/>
              </w:rPr>
              <w:t xml:space="preserve">0,030</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12,003</w:t>
            </w:r>
          </w:p>
        </w:tc>
        <w:tc>
          <w:tcPr/>
          <w:p>
            <w:pPr>
              <w:pStyle w:val="Compact"/>
            </w:pPr>
            <w:r>
              <w:rPr>
                <w:rFonts w:ascii="Calibri" w:hAnsi="Calibri"/>
                <w:sz w:val="20"/>
              </w:rPr>
              <w:t xml:space="preserve">14,737</w:t>
            </w:r>
          </w:p>
        </w:tc>
        <w:tc>
          <w:tcPr/>
          <w:p>
            <w:pPr>
              <w:pStyle w:val="Compact"/>
            </w:pPr>
            <w:r>
              <w:rPr>
                <w:rFonts w:ascii="Calibri" w:hAnsi="Calibri"/>
                <w:sz w:val="20"/>
              </w:rPr>
              <w:t xml:space="preserve">13,112</w:t>
            </w:r>
          </w:p>
        </w:tc>
        <w:tc>
          <w:tcPr/>
          <w:p>
            <w:pPr>
              <w:pStyle w:val="Compact"/>
            </w:pPr>
            <w:r>
              <w:rPr>
                <w:rFonts w:ascii="Calibri" w:hAnsi="Calibri"/>
                <w:sz w:val="20"/>
              </w:rPr>
              <w:t xml:space="preserve">1,014</w:t>
            </w:r>
          </w:p>
        </w:tc>
        <w:tc>
          <w:tcPr/>
          <w:p>
            <w:pPr>
              <w:pStyle w:val="Compact"/>
            </w:pPr>
            <w:r>
              <w:rPr>
                <w:rFonts w:ascii="Calibri" w:hAnsi="Calibri"/>
                <w:sz w:val="20"/>
              </w:rPr>
              <w:t xml:space="preserve">no</w:t>
            </w:r>
          </w:p>
        </w:tc>
        <w:tc>
          <w:tcPr/>
          <w:p>
            <w:pPr>
              <w:pStyle w:val="Compact"/>
            </w:pPr>
            <w:r>
              <w:rPr>
                <w:rFonts w:ascii="Calibri" w:hAnsi="Calibri"/>
                <w:sz w:val="20"/>
              </w:rPr>
              <w:t xml:space="preserve">0,021</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11,937</w:t>
            </w:r>
          </w:p>
        </w:tc>
        <w:tc>
          <w:tcPr/>
          <w:p>
            <w:pPr>
              <w:pStyle w:val="Compact"/>
            </w:pPr>
            <w:r>
              <w:rPr>
                <w:rFonts w:ascii="Calibri" w:hAnsi="Calibri"/>
                <w:sz w:val="20"/>
              </w:rPr>
              <w:t xml:space="preserve">15,062</w:t>
            </w:r>
          </w:p>
        </w:tc>
        <w:tc>
          <w:tcPr/>
          <w:p>
            <w:pPr>
              <w:pStyle w:val="Compact"/>
            </w:pPr>
            <w:r>
              <w:rPr>
                <w:rFonts w:ascii="Calibri" w:hAnsi="Calibri"/>
                <w:sz w:val="20"/>
              </w:rPr>
              <w:t xml:space="preserve">13,205</w:t>
            </w:r>
          </w:p>
        </w:tc>
        <w:tc>
          <w:tcPr/>
          <w:p>
            <w:pPr>
              <w:pStyle w:val="Compact"/>
            </w:pPr>
            <w:r>
              <w:rPr>
                <w:rFonts w:ascii="Calibri" w:hAnsi="Calibri"/>
                <w:sz w:val="20"/>
              </w:rPr>
              <w:t xml:space="preserve">1,017</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1,015</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bruta.</w:t>
      </w:r>
      <w:r>
        <w:t xml:space="preserve"> </w:t>
      </w:r>
      <w:r>
        <w:t xml:space="preserve">Orden elegido: 4.</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12,378</w:t>
            </w:r>
          </w:p>
        </w:tc>
        <w:tc>
          <w:tcPr/>
          <w:p>
            <w:pPr>
              <w:pStyle w:val="Compact"/>
            </w:pPr>
            <w:r>
              <w:rPr>
                <w:rFonts w:ascii="Calibri" w:hAnsi="Calibri"/>
                <w:sz w:val="20"/>
              </w:rPr>
              <w:t xml:space="preserve">13,940</w:t>
            </w:r>
          </w:p>
        </w:tc>
        <w:tc>
          <w:tcPr/>
          <w:p>
            <w:pPr>
              <w:pStyle w:val="Compact"/>
            </w:pPr>
            <w:r>
              <w:rPr>
                <w:rFonts w:ascii="Calibri" w:hAnsi="Calibri"/>
                <w:sz w:val="20"/>
              </w:rPr>
              <w:t xml:space="preserve">13,011</w:t>
            </w:r>
          </w:p>
        </w:tc>
        <w:tc>
          <w:tcPr/>
          <w:p>
            <w:pPr>
              <w:pStyle w:val="Compact"/>
            </w:pPr>
            <w:r>
              <w:rPr>
                <w:rFonts w:ascii="Calibri" w:hAnsi="Calibri"/>
                <w:sz w:val="20"/>
              </w:rPr>
              <w:t xml:space="preserve">0,818</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12,082</w:t>
            </w:r>
          </w:p>
        </w:tc>
        <w:tc>
          <w:tcPr/>
          <w:p>
            <w:pPr>
              <w:pStyle w:val="Compact"/>
            </w:pPr>
            <w:r>
              <w:rPr>
                <w:rFonts w:ascii="Calibri" w:hAnsi="Calibri"/>
                <w:sz w:val="20"/>
              </w:rPr>
              <w:t xml:space="preserve">14,034</w:t>
            </w:r>
          </w:p>
        </w:tc>
        <w:tc>
          <w:tcPr/>
          <w:p>
            <w:pPr>
              <w:pStyle w:val="Compact"/>
            </w:pPr>
            <w:r>
              <w:rPr>
                <w:rFonts w:ascii="Calibri" w:hAnsi="Calibri"/>
                <w:sz w:val="20"/>
              </w:rPr>
              <w:t xml:space="preserve">12,874</w:t>
            </w:r>
          </w:p>
        </w:tc>
        <w:tc>
          <w:tcPr/>
          <w:p>
            <w:pPr>
              <w:pStyle w:val="Compact"/>
            </w:pPr>
            <w:r>
              <w:rPr>
                <w:rFonts w:ascii="Calibri" w:hAnsi="Calibri"/>
                <w:sz w:val="20"/>
              </w:rPr>
              <w:t xml:space="preserve">0,840</w:t>
            </w:r>
          </w:p>
        </w:tc>
        <w:tc>
          <w:tcPr/>
          <w:p>
            <w:pPr>
              <w:pStyle w:val="Compact"/>
            </w:pPr>
            <w:r>
              <w:rPr>
                <w:rFonts w:ascii="Calibri" w:hAnsi="Calibri"/>
                <w:sz w:val="20"/>
              </w:rPr>
              <w:t xml:space="preserve">sí</w:t>
            </w:r>
          </w:p>
        </w:tc>
        <w:tc>
          <w:tcPr/>
          <w:p>
            <w:pPr>
              <w:pStyle w:val="Compact"/>
            </w:pPr>
            <w:r>
              <w:rPr>
                <w:rFonts w:ascii="Calibri" w:hAnsi="Calibri"/>
                <w:sz w:val="20"/>
              </w:rPr>
              <w:t xml:space="preserve">0,071</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12,170</w:t>
            </w:r>
          </w:p>
        </w:tc>
        <w:tc>
          <w:tcPr/>
          <w:p>
            <w:pPr>
              <w:pStyle w:val="Compact"/>
            </w:pPr>
            <w:r>
              <w:rPr>
                <w:rFonts w:ascii="Calibri" w:hAnsi="Calibri"/>
                <w:sz w:val="20"/>
              </w:rPr>
              <w:t xml:space="preserve">14,514</w:t>
            </w:r>
          </w:p>
        </w:tc>
        <w:tc>
          <w:tcPr/>
          <w:p>
            <w:pPr>
              <w:pStyle w:val="Compact"/>
            </w:pPr>
            <w:r>
              <w:rPr>
                <w:rFonts w:ascii="Calibri" w:hAnsi="Calibri"/>
                <w:sz w:val="20"/>
              </w:rPr>
              <w:t xml:space="preserve">13,121</w:t>
            </w:r>
          </w:p>
        </w:tc>
        <w:tc>
          <w:tcPr/>
          <w:p>
            <w:pPr>
              <w:pStyle w:val="Compact"/>
            </w:pPr>
            <w:r>
              <w:rPr>
                <w:rFonts w:ascii="Calibri" w:hAnsi="Calibri"/>
                <w:sz w:val="20"/>
              </w:rPr>
              <w:t xml:space="preserve">0,923</w:t>
            </w:r>
          </w:p>
        </w:tc>
        <w:tc>
          <w:tcPr/>
          <w:p>
            <w:pPr>
              <w:pStyle w:val="Compact"/>
            </w:pPr>
            <w:r>
              <w:rPr>
                <w:rFonts w:ascii="Calibri" w:hAnsi="Calibri"/>
                <w:sz w:val="20"/>
              </w:rPr>
              <w:t xml:space="preserve">sí</w:t>
            </w:r>
          </w:p>
        </w:tc>
        <w:tc>
          <w:tcPr/>
          <w:p>
            <w:pPr>
              <w:pStyle w:val="Compact"/>
            </w:pPr>
            <w:r>
              <w:rPr>
                <w:rFonts w:ascii="Calibri" w:hAnsi="Calibri"/>
                <w:sz w:val="20"/>
              </w:rPr>
              <w:t xml:space="preserve">0,035</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12,057</w:t>
            </w:r>
          </w:p>
        </w:tc>
        <w:tc>
          <w:tcPr/>
          <w:p>
            <w:pPr>
              <w:pStyle w:val="Compact"/>
            </w:pPr>
            <w:r>
              <w:rPr>
                <w:rFonts w:ascii="Calibri" w:hAnsi="Calibri"/>
                <w:sz w:val="20"/>
              </w:rPr>
              <w:t xml:space="preserve">14,791</w:t>
            </w:r>
          </w:p>
        </w:tc>
        <w:tc>
          <w:tcPr/>
          <w:p>
            <w:pPr>
              <w:pStyle w:val="Compact"/>
            </w:pPr>
            <w:r>
              <w:rPr>
                <w:rFonts w:ascii="Calibri" w:hAnsi="Calibri"/>
                <w:sz w:val="20"/>
              </w:rPr>
              <w:t xml:space="preserve">13,167</w:t>
            </w:r>
          </w:p>
        </w:tc>
        <w:tc>
          <w:tcPr/>
          <w:p>
            <w:pPr>
              <w:pStyle w:val="Compact"/>
            </w:pPr>
            <w:r>
              <w:rPr>
                <w:rFonts w:ascii="Calibri" w:hAnsi="Calibri"/>
                <w:sz w:val="20"/>
              </w:rPr>
              <w:t xml:space="preserve">0,987</w:t>
            </w:r>
          </w:p>
        </w:tc>
        <w:tc>
          <w:tcPr/>
          <w:p>
            <w:pPr>
              <w:pStyle w:val="Compact"/>
            </w:pPr>
            <w:r>
              <w:rPr>
                <w:rFonts w:ascii="Calibri" w:hAnsi="Calibri"/>
                <w:sz w:val="20"/>
              </w:rPr>
              <w:t xml:space="preserve">sí</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11,984</w:t>
            </w:r>
          </w:p>
        </w:tc>
        <w:tc>
          <w:tcPr/>
          <w:p>
            <w:pPr>
              <w:pStyle w:val="Compact"/>
            </w:pPr>
            <w:r>
              <w:rPr>
                <w:rFonts w:ascii="Calibri" w:hAnsi="Calibri"/>
                <w:sz w:val="20"/>
              </w:rPr>
              <w:t xml:space="preserve">15,108</w:t>
            </w:r>
          </w:p>
        </w:tc>
        <w:tc>
          <w:tcPr/>
          <w:p>
            <w:pPr>
              <w:pStyle w:val="Compact"/>
            </w:pPr>
            <w:r>
              <w:rPr>
                <w:rFonts w:ascii="Calibri" w:hAnsi="Calibri"/>
                <w:sz w:val="20"/>
              </w:rPr>
              <w:t xml:space="preserve">13,251</w:t>
            </w:r>
          </w:p>
        </w:tc>
        <w:tc>
          <w:tcPr/>
          <w:p>
            <w:pPr>
              <w:pStyle w:val="Compact"/>
            </w:pPr>
            <w:r>
              <w:rPr>
                <w:rFonts w:ascii="Calibri" w:hAnsi="Calibri"/>
                <w:sz w:val="20"/>
              </w:rPr>
              <w:t xml:space="preserve">1,004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11,968</w:t>
            </w:r>
          </w:p>
        </w:tc>
        <w:tc>
          <w:tcPr/>
          <w:p>
            <w:pPr>
              <w:pStyle w:val="Compact"/>
            </w:pPr>
            <w:r>
              <w:rPr>
                <w:rFonts w:ascii="Calibri" w:hAnsi="Calibri"/>
                <w:sz w:val="20"/>
              </w:rPr>
              <w:t xml:space="preserve">15,483</w:t>
            </w:r>
          </w:p>
        </w:tc>
        <w:tc>
          <w:tcPr/>
          <w:p>
            <w:pPr>
              <w:pStyle w:val="Compact"/>
            </w:pPr>
            <w:r>
              <w:rPr>
                <w:rFonts w:ascii="Calibri" w:hAnsi="Calibri"/>
                <w:sz w:val="20"/>
              </w:rPr>
              <w:t xml:space="preserve">13,394</w:t>
            </w:r>
          </w:p>
        </w:tc>
        <w:tc>
          <w:tcPr/>
          <w:p>
            <w:pPr>
              <w:pStyle w:val="Compact"/>
            </w:pPr>
            <w:r>
              <w:rPr>
                <w:rFonts w:ascii="Calibri" w:hAnsi="Calibri"/>
                <w:sz w:val="20"/>
              </w:rPr>
              <w:t xml:space="preserve">1,027</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bookmarkEnd w:id="118"/>
    <w:bookmarkStart w:id="119" w:name="a.4-diagnósticos-de-los-residuos"/>
    <w:p>
      <w:pPr>
        <w:pStyle w:val="Heading2"/>
      </w:pPr>
      <w:r>
        <w:t xml:space="preserve">A.4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Prueba (p-valor salvo estabilidad)</w:t>
            </w:r>
          </w:p>
        </w:tc>
        <w:tc>
          <w:tcPr/>
          <w:p>
            <w:pPr>
              <w:pStyle w:val="Compact"/>
            </w:pPr>
            <w:r>
              <w:rPr>
                <w:rFonts w:ascii="Calibri" w:hAnsi="Calibri"/>
                <w:sz w:val="20"/>
              </w:rPr>
              <w:t xml:space="preserve">neta, valor nominal (principal)</w:t>
            </w:r>
          </w:p>
        </w:tc>
        <w:tc>
          <w:tcPr/>
          <w:p>
            <w:pPr>
              <w:pStyle w:val="Compact"/>
            </w:pPr>
            <w:r>
              <w:rPr>
                <w:rFonts w:ascii="Calibri" w:hAnsi="Calibri"/>
                <w:sz w:val="20"/>
              </w:rPr>
              <w:t xml:space="preserve">neta, valor libros</w:t>
            </w:r>
          </w:p>
        </w:tc>
        <w:tc>
          <w:tcPr/>
          <w:p>
            <w:pPr>
              <w:pStyle w:val="Compact"/>
            </w:pPr>
            <w:r>
              <w:rPr>
                <w:rFonts w:ascii="Calibri" w:hAnsi="Calibri"/>
                <w:sz w:val="20"/>
              </w:rPr>
              <w:t xml:space="preserve">bruta</w:t>
            </w:r>
          </w:p>
        </w:tc>
      </w:tr>
      <w:tr>
        <w:tc>
          <w:tcPr/>
          <w:p>
            <w:pPr>
              <w:pStyle w:val="Compact"/>
            </w:pPr>
            <w:r>
              <w:rPr>
                <w:rFonts w:ascii="Calibri" w:hAnsi="Calibri"/>
                <w:sz w:val="20"/>
              </w:rPr>
              <w:t xml:space="preserve">Portmanteau (12 rezagos)</w:t>
            </w:r>
          </w:p>
        </w:tc>
        <w:tc>
          <w:tcPr/>
          <w:p>
            <w:pPr>
              <w:pStyle w:val="Compact"/>
            </w:pPr>
            <w:r>
              <w:rPr>
                <w:rFonts w:ascii="Calibri" w:hAnsi="Calibri"/>
                <w:sz w:val="20"/>
              </w:rPr>
              <w:t xml:space="preserve">0,036</w:t>
            </w:r>
          </w:p>
        </w:tc>
        <w:tc>
          <w:tcPr/>
          <w:p>
            <w:pPr>
              <w:pStyle w:val="Compact"/>
            </w:pPr>
            <w:r>
              <w:rPr>
                <w:rFonts w:ascii="Calibri" w:hAnsi="Calibri"/>
                <w:sz w:val="20"/>
              </w:rPr>
              <w:t xml:space="preserve">0,030</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Normalidad multivariada (p-valor)</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Estable (1 = sí)</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r>
      <w:tr>
        <w:tc>
          <w:tcPr/>
          <w:p>
            <w:pPr>
              <w:pStyle w:val="Compact"/>
            </w:pPr>
            <w:r>
              <w:rPr>
                <w:rFonts w:ascii="Calibri" w:hAnsi="Calibri"/>
                <w:sz w:val="20"/>
              </w:rPr>
              <w:t xml:space="preserve">ARCH-LM(4) resultado primario (p-valor)</w:t>
            </w:r>
          </w:p>
        </w:tc>
        <w:tc>
          <w:tcPr/>
          <w:p>
            <w:pPr>
              <w:pStyle w:val="Compact"/>
            </w:pPr>
            <w:r>
              <w:rPr>
                <w:rFonts w:ascii="Calibri" w:hAnsi="Calibri"/>
                <w:sz w:val="20"/>
              </w:rPr>
              <w:t xml:space="preserve">0,991</w:t>
            </w:r>
          </w:p>
        </w:tc>
        <w:tc>
          <w:tcPr/>
          <w:p>
            <w:pPr>
              <w:pStyle w:val="Compact"/>
            </w:pPr>
            <w:r>
              <w:rPr>
                <w:rFonts w:ascii="Calibri" w:hAnsi="Calibri"/>
                <w:sz w:val="20"/>
              </w:rPr>
              <w:t xml:space="preserve">0,988</w:t>
            </w:r>
          </w:p>
        </w:tc>
        <w:tc>
          <w:tcPr/>
          <w:p>
            <w:pPr>
              <w:pStyle w:val="Compact"/>
            </w:pPr>
            <w:r>
              <w:rPr>
                <w:rFonts w:ascii="Calibri" w:hAnsi="Calibri"/>
                <w:sz w:val="20"/>
              </w:rPr>
              <w:t xml:space="preserve">0,993</w:t>
            </w:r>
          </w:p>
        </w:tc>
      </w:tr>
      <w:tr>
        <w:tc>
          <w:tcPr/>
          <w:p>
            <w:pPr>
              <w:pStyle w:val="Compact"/>
            </w:pPr>
            <w:r>
              <w:rPr>
                <w:rFonts w:ascii="Calibri" w:hAnsi="Calibri"/>
                <w:sz w:val="20"/>
              </w:rPr>
              <w:t xml:space="preserve">ARCH-LM(4) crecimiento (p-valor)</w:t>
            </w:r>
          </w:p>
        </w:tc>
        <w:tc>
          <w:tcPr/>
          <w:p>
            <w:pPr>
              <w:pStyle w:val="Compact"/>
            </w:pPr>
            <w:r>
              <w:rPr>
                <w:rFonts w:ascii="Calibri" w:hAnsi="Calibri"/>
                <w:sz w:val="20"/>
              </w:rPr>
              <w:t xml:space="preserve">0,989</w:t>
            </w:r>
          </w:p>
        </w:tc>
        <w:tc>
          <w:tcPr/>
          <w:p>
            <w:pPr>
              <w:pStyle w:val="Compact"/>
            </w:pPr>
            <w:r>
              <w:rPr>
                <w:rFonts w:ascii="Calibri" w:hAnsi="Calibri"/>
                <w:sz w:val="20"/>
              </w:rPr>
              <w:t xml:space="preserve">0,990</w:t>
            </w:r>
          </w:p>
        </w:tc>
        <w:tc>
          <w:tcPr/>
          <w:p>
            <w:pPr>
              <w:pStyle w:val="Compact"/>
            </w:pPr>
            <w:r>
              <w:rPr>
                <w:rFonts w:ascii="Calibri" w:hAnsi="Calibri"/>
                <w:sz w:val="20"/>
              </w:rPr>
              <w:t xml:space="preserve">0,978</w:t>
            </w:r>
          </w:p>
        </w:tc>
      </w:tr>
      <w:tr>
        <w:tc>
          <w:tcPr/>
          <w:p>
            <w:pPr>
              <w:pStyle w:val="Compact"/>
            </w:pPr>
            <w:r>
              <w:rPr>
                <w:rFonts w:ascii="Calibri" w:hAnsi="Calibri"/>
                <w:sz w:val="20"/>
              </w:rPr>
              <w:t xml:space="preserve">ARCH-LM(4) EMBI (p-valor)</w:t>
            </w:r>
          </w:p>
        </w:tc>
        <w:tc>
          <w:tcPr/>
          <w:p>
            <w:pPr>
              <w:pStyle w:val="Compact"/>
            </w:pPr>
            <w:r>
              <w:rPr>
                <w:rFonts w:ascii="Calibri" w:hAnsi="Calibri"/>
                <w:sz w:val="20"/>
              </w:rPr>
              <w:t xml:space="preserve">0,998</w:t>
            </w:r>
          </w:p>
        </w:tc>
        <w:tc>
          <w:tcPr/>
          <w:p>
            <w:pPr>
              <w:pStyle w:val="Compact"/>
            </w:pPr>
            <w:r>
              <w:rPr>
                <w:rFonts w:ascii="Calibri" w:hAnsi="Calibri"/>
                <w:sz w:val="20"/>
              </w:rPr>
              <w:t xml:space="preserve">0,998</w:t>
            </w:r>
          </w:p>
        </w:tc>
        <w:tc>
          <w:tcPr/>
          <w:p>
            <w:pPr>
              <w:pStyle w:val="Compact"/>
            </w:pPr>
            <w:r>
              <w:rPr>
                <w:rFonts w:ascii="Calibri" w:hAnsi="Calibri"/>
                <w:sz w:val="20"/>
              </w:rPr>
              <w:t xml:space="preserve">0,999</w:t>
            </w:r>
          </w:p>
        </w:tc>
      </w:tr>
      <w:tr>
        <w:tc>
          <w:tcPr/>
          <w:p>
            <w:pPr>
              <w:pStyle w:val="Compact"/>
            </w:pPr>
            <w:r>
              <w:rPr>
                <w:rFonts w:ascii="Calibri" w:hAnsi="Calibri"/>
                <w:sz w:val="20"/>
              </w:rPr>
              <w:t xml:space="preserve">ARCH-LM(4) TCRM (p-valor)</w:t>
            </w:r>
          </w:p>
        </w:tc>
        <w:tc>
          <w:tcPr/>
          <w:p>
            <w:pPr>
              <w:pStyle w:val="Compact"/>
            </w:pPr>
            <w:r>
              <w:rPr>
                <w:rFonts w:ascii="Calibri" w:hAnsi="Calibri"/>
                <w:sz w:val="20"/>
              </w:rPr>
              <w:t xml:space="preserve">0,867</w:t>
            </w:r>
          </w:p>
        </w:tc>
        <w:tc>
          <w:tcPr/>
          <w:p>
            <w:pPr>
              <w:pStyle w:val="Compact"/>
            </w:pPr>
            <w:r>
              <w:rPr>
                <w:rFonts w:ascii="Calibri" w:hAnsi="Calibri"/>
                <w:sz w:val="20"/>
              </w:rPr>
              <w:t xml:space="preserve">0,824</w:t>
            </w:r>
          </w:p>
        </w:tc>
        <w:tc>
          <w:tcPr/>
          <w:p>
            <w:pPr>
              <w:pStyle w:val="Compact"/>
            </w:pPr>
            <w:r>
              <w:rPr>
                <w:rFonts w:ascii="Calibri" w:hAnsi="Calibri"/>
                <w:sz w:val="20"/>
              </w:rPr>
              <w:t xml:space="preserve">0,395</w:t>
            </w:r>
          </w:p>
        </w:tc>
      </w:tr>
    </w:tbl>
    <w:bookmarkEnd w:id="119"/>
    <w:bookmarkStart w:id="120" w:name="a.5-matriz-de-impacto-estructural"/>
    <w:p>
      <w:pPr>
        <w:pStyle w:val="Heading2"/>
      </w:pPr>
      <w:r>
        <w:t xml:space="preserve">A.5 Matriz de impacto estructural</w:t>
      </w:r>
    </w:p>
    <w:p>
      <w:pPr>
        <w:pStyle w:val="FirstParagraph"/>
      </w:pPr>
      <w:r>
        <w:t xml:space="preserve">Efecto en el mismo trimestre de un</w:t>
      </w:r>
      <w:r>
        <w:t xml:space="preserve"> </w:t>
      </w:r>
      <w:r>
        <w:rPr>
          <w:i/>
          <w:iCs/>
        </w:rPr>
        <w:t xml:space="preserve">shock</w:t>
      </w:r>
      <w:r>
        <w:t xml:space="preserve"> </w:t>
      </w:r>
      <w:r>
        <w:t xml:space="preserve">estructural de un desvío estándar (especificación principal). Los ceros son las restricciones de identificación de la sección 4.4. Los dos</w:t>
      </w:r>
      <w:r>
        <w:t xml:space="preserve"> </w:t>
      </w:r>
      <w:r>
        <w:rPr>
          <w:i/>
          <w:iCs/>
        </w:rPr>
        <w:t xml:space="preserve">shocks</w:t>
      </w:r>
      <w:r>
        <w:t xml:space="preserve"> </w:t>
      </w:r>
      <w:r>
        <w:t xml:space="preserve">del bloque cambiario y de riesgo no tienen interpretación por separado: solo se usa su efecto conjunto.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fiscal</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actividad</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1,509</w:t>
            </w:r>
          </w:p>
        </w:tc>
        <w:tc>
          <w:tcPr/>
          <w:p>
            <w:pPr>
              <w:pStyle w:val="Compact"/>
            </w:pPr>
            <w:r>
              <w:rPr>
                <w:rFonts w:ascii="Calibri" w:hAnsi="Calibri"/>
                <w:sz w:val="20"/>
              </w:rPr>
              <w:t xml:space="preserve">0,679</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-0,266</w:t>
            </w:r>
          </w:p>
        </w:tc>
        <w:tc>
          <w:tcPr/>
          <w:p>
            <w:pPr>
              <w:pStyle w:val="Compact"/>
            </w:pPr>
            <w:r>
              <w:rPr>
                <w:rFonts w:ascii="Calibri" w:hAnsi="Calibri"/>
                <w:sz w:val="20"/>
              </w:rPr>
              <w:t xml:space="preserve">2,717</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-118,560</w:t>
            </w:r>
          </w:p>
        </w:tc>
        <w:tc>
          <w:tcPr/>
          <w:p>
            <w:pPr>
              <w:pStyle w:val="Compact"/>
            </w:pPr>
            <w:r>
              <w:rPr>
                <w:rFonts w:ascii="Calibri" w:hAnsi="Calibri"/>
                <w:sz w:val="20"/>
              </w:rPr>
              <w:t xml:space="preserve">-30,491</w:t>
            </w:r>
          </w:p>
        </w:tc>
        <w:tc>
          <w:tcPr/>
          <w:p>
            <w:pPr>
              <w:pStyle w:val="Compact"/>
            </w:pPr>
            <w:r>
              <w:rPr>
                <w:rFonts w:ascii="Calibri" w:hAnsi="Calibri"/>
                <w:sz w:val="20"/>
              </w:rPr>
              <w:t xml:space="preserve">449,797</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0,022</w:t>
            </w:r>
          </w:p>
        </w:tc>
        <w:tc>
          <w:tcPr/>
          <w:p>
            <w:pPr>
              <w:pStyle w:val="Compact"/>
            </w:pPr>
            <w:r>
              <w:rPr>
                <w:rFonts w:ascii="Calibri" w:hAnsi="Calibri"/>
                <w:sz w:val="20"/>
              </w:rPr>
              <w:t xml:space="preserve">-0,014</w:t>
            </w:r>
          </w:p>
        </w:tc>
        <w:tc>
          <w:tcPr/>
          <w:p>
            <w:pPr>
              <w:pStyle w:val="Compact"/>
            </w:pPr>
            <w:r>
              <w:rPr>
                <w:rFonts w:ascii="Calibri" w:hAnsi="Calibri"/>
                <w:sz w:val="20"/>
              </w:rPr>
              <w:t xml:space="preserve">0,011</w:t>
            </w:r>
          </w:p>
        </w:tc>
        <w:tc>
          <w:tcPr/>
          <w:p>
            <w:pPr>
              <w:pStyle w:val="Compact"/>
            </w:pPr>
            <w:r>
              <w:rPr>
                <w:rFonts w:ascii="Calibri" w:hAnsi="Calibri"/>
                <w:sz w:val="20"/>
              </w:rPr>
              <w:t xml:space="preserve">0,096</w:t>
            </w:r>
          </w:p>
        </w:tc>
      </w:tr>
    </w:tbl>
    <w:bookmarkEnd w:id="120"/>
    <w:bookmarkStart w:id="121" w:name="a.6-ecuación-del-resultado-primario"/>
    <w:p>
      <w:pPr>
        <w:pStyle w:val="Heading2"/>
      </w:pPr>
      <w:r>
        <w:t xml:space="preserve">A.6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
          <w:iCs/>
        </w:rPr>
        <w:t xml:space="preserve">bootstrap</w:t>
      </w:r>
      <w:r>
        <w:t xml:space="preserve">. El coeficiente de la deuda rezagada es un efecto de impacto sobre el resultado primario trimestral. Con los rezagos propios del resultado primario (suma 0,729), el multiplicador de largo plazo de la estimación por MCO es 0,051/(1 − 0,729) ≈ 0,19; no se calculó su intervalo.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Regresor</w:t>
            </w:r>
          </w:p>
        </w:tc>
        <w:tc>
          <w:tcPr/>
          <w:p>
            <w:pPr>
              <w:pStyle w:val="Compact"/>
            </w:pPr>
            <w:r>
              <w:rPr>
                <w:rFonts w:ascii="Calibri" w:hAnsi="Calibri"/>
                <w:sz w:val="20"/>
              </w:rPr>
              <w:t xml:space="preserve">Coeficiente</w:t>
            </w:r>
          </w:p>
        </w:tc>
        <w:tc>
          <w:tcPr/>
          <w:p>
            <w:pPr>
              <w:pStyle w:val="Compact"/>
            </w:pPr>
            <w:r>
              <w:rPr>
                <w:rFonts w:ascii="Calibri" w:hAnsi="Calibri"/>
                <w:sz w:val="20"/>
              </w:rPr>
              <w:t xml:space="preserve">Error estándar</w:t>
            </w:r>
          </w:p>
        </w:tc>
        <w:tc>
          <w:tcPr/>
          <w:p>
            <w:pPr>
              <w:pStyle w:val="Compact"/>
            </w:pPr>
            <w:r>
              <w:rPr>
                <w:rFonts w:ascii="Calibri" w:hAnsi="Calibri"/>
                <w:sz w:val="20"/>
              </w:rPr>
              <w:t xml:space="preserve">p-valor</w:t>
            </w:r>
          </w:p>
        </w:tc>
      </w:tr>
      <w:tr>
        <w:tc>
          <w:tcPr/>
          <w:p>
            <w:pPr>
              <w:pStyle w:val="Compact"/>
            </w:pPr>
            <w:r>
              <w:rPr>
                <w:rFonts w:ascii="Calibri" w:hAnsi="Calibri"/>
                <w:sz w:val="20"/>
              </w:rPr>
              <w:t xml:space="preserve">Variación de la tasa de la FED, rezago 0</w:t>
            </w:r>
          </w:p>
        </w:tc>
        <w:tc>
          <w:tcPr/>
          <w:p>
            <w:pPr>
              <w:pStyle w:val="Compact"/>
            </w:pPr>
            <w:r>
              <w:rPr>
                <w:rFonts w:ascii="Calibri" w:hAnsi="Calibri"/>
                <w:sz w:val="20"/>
              </w:rPr>
              <w:t xml:space="preserve">0,5297</w:t>
            </w:r>
          </w:p>
        </w:tc>
        <w:tc>
          <w:tcPr/>
          <w:p>
            <w:pPr>
              <w:pStyle w:val="Compact"/>
            </w:pPr>
            <w:r>
              <w:rPr>
                <w:rFonts w:ascii="Calibri" w:hAnsi="Calibri"/>
                <w:sz w:val="20"/>
              </w:rPr>
              <w:t xml:space="preserve">0,5178</w:t>
            </w:r>
          </w:p>
        </w:tc>
        <w:tc>
          <w:tcPr/>
          <w:p>
            <w:pPr>
              <w:pStyle w:val="Compact"/>
            </w:pPr>
            <w:r>
              <w:rPr>
                <w:rFonts w:ascii="Calibri" w:hAnsi="Calibri"/>
                <w:sz w:val="20"/>
              </w:rPr>
              <w:t xml:space="preserve">0,306</w:t>
            </w:r>
          </w:p>
        </w:tc>
      </w:tr>
      <w:tr>
        <w:tc>
          <w:tcPr/>
          <w:p>
            <w:pPr>
              <w:pStyle w:val="Compact"/>
            </w:pPr>
            <w:r>
              <w:rPr>
                <w:rFonts w:ascii="Calibri" w:hAnsi="Calibri"/>
                <w:sz w:val="20"/>
              </w:rPr>
              <w:t xml:space="preserve">Variación de la tasa de la FED, rezago 1</w:t>
            </w:r>
          </w:p>
        </w:tc>
        <w:tc>
          <w:tcPr/>
          <w:p>
            <w:pPr>
              <w:pStyle w:val="Compact"/>
            </w:pPr>
            <w:r>
              <w:rPr>
                <w:rFonts w:ascii="Calibri" w:hAnsi="Calibri"/>
                <w:sz w:val="20"/>
              </w:rPr>
              <w:t xml:space="preserve">-0,7911</w:t>
            </w:r>
          </w:p>
        </w:tc>
        <w:tc>
          <w:tcPr/>
          <w:p>
            <w:pPr>
              <w:pStyle w:val="Compact"/>
            </w:pPr>
            <w:r>
              <w:rPr>
                <w:rFonts w:ascii="Calibri" w:hAnsi="Calibri"/>
                <w:sz w:val="20"/>
              </w:rPr>
              <w:t xml:space="preserve">0,5670</w:t>
            </w:r>
          </w:p>
        </w:tc>
        <w:tc>
          <w:tcPr/>
          <w:p>
            <w:pPr>
              <w:pStyle w:val="Compact"/>
            </w:pPr>
            <w:r>
              <w:rPr>
                <w:rFonts w:ascii="Calibri" w:hAnsi="Calibri"/>
                <w:sz w:val="20"/>
              </w:rPr>
              <w:t xml:space="preserve">0,163</w:t>
            </w:r>
          </w:p>
        </w:tc>
      </w:tr>
      <w:tr>
        <w:tc>
          <w:tcPr/>
          <w:p>
            <w:pPr>
              <w:pStyle w:val="Compact"/>
            </w:pPr>
            <w:r>
              <w:rPr>
                <w:rFonts w:ascii="Calibri" w:hAnsi="Calibri"/>
                <w:sz w:val="20"/>
              </w:rPr>
              <w:t xml:space="preserve">Variación de la tasa de la FED, rezago 2</w:t>
            </w:r>
          </w:p>
        </w:tc>
        <w:tc>
          <w:tcPr/>
          <w:p>
            <w:pPr>
              <w:pStyle w:val="Compact"/>
            </w:pPr>
            <w:r>
              <w:rPr>
                <w:rFonts w:ascii="Calibri" w:hAnsi="Calibri"/>
                <w:sz w:val="20"/>
              </w:rPr>
              <w:t xml:space="preserve">0,0030</w:t>
            </w:r>
          </w:p>
        </w:tc>
        <w:tc>
          <w:tcPr/>
          <w:p>
            <w:pPr>
              <w:pStyle w:val="Compact"/>
            </w:pPr>
            <w:r>
              <w:rPr>
                <w:rFonts w:ascii="Calibri" w:hAnsi="Calibri"/>
                <w:sz w:val="20"/>
              </w:rPr>
              <w:t xml:space="preserve">0,5160</w:t>
            </w:r>
          </w:p>
        </w:tc>
        <w:tc>
          <w:tcPr/>
          <w:p>
            <w:pPr>
              <w:pStyle w:val="Compact"/>
            </w:pPr>
            <w:r>
              <w:rPr>
                <w:rFonts w:ascii="Calibri" w:hAnsi="Calibri"/>
                <w:sz w:val="20"/>
              </w:rPr>
              <w:t xml:space="preserve">0,995</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-0,0253</w:t>
            </w:r>
          </w:p>
        </w:tc>
        <w:tc>
          <w:tcPr/>
          <w:p>
            <w:pPr>
              <w:pStyle w:val="Compact"/>
            </w:pPr>
            <w:r>
              <w:rPr>
                <w:rFonts w:ascii="Calibri" w:hAnsi="Calibri"/>
                <w:sz w:val="20"/>
              </w:rPr>
              <w:t xml:space="preserve">0,0319</w:t>
            </w:r>
          </w:p>
        </w:tc>
        <w:tc>
          <w:tcPr/>
          <w:p>
            <w:pPr>
              <w:pStyle w:val="Compact"/>
            </w:pPr>
            <w:r>
              <w:rPr>
                <w:rFonts w:ascii="Calibri" w:hAnsi="Calibri"/>
                <w:sz w:val="20"/>
              </w:rPr>
              <w:t xml:space="preserve">0,427</w:t>
            </w:r>
          </w:p>
        </w:tc>
      </w:tr>
      <w:tr>
        <w:tc>
          <w:tcPr/>
          <w:p>
            <w:pPr>
              <w:pStyle w:val="Compact"/>
            </w:pPr>
            <w:r>
              <w:rPr>
                <w:rFonts w:ascii="Calibri" w:hAnsi="Calibri"/>
                <w:sz w:val="20"/>
              </w:rPr>
              <w:t xml:space="preserve">Deuda consolidada neta, rezago 1 (reacción fiscal de impacto)</w:t>
            </w:r>
          </w:p>
        </w:tc>
        <w:tc>
          <w:tcPr/>
          <w:p>
            <w:pPr>
              <w:pStyle w:val="Compact"/>
            </w:pPr>
            <w:r>
              <w:rPr>
                <w:rFonts w:ascii="Calibri" w:hAnsi="Calibri"/>
                <w:sz w:val="20"/>
              </w:rPr>
              <w:t xml:space="preserve">0,0505</w:t>
            </w:r>
          </w:p>
        </w:tc>
        <w:tc>
          <w:tcPr/>
          <w:p>
            <w:pPr>
              <w:pStyle w:val="Compact"/>
            </w:pPr>
            <w:r>
              <w:rPr>
                <w:rFonts w:ascii="Calibri" w:hAnsi="Calibri"/>
                <w:sz w:val="20"/>
              </w:rPr>
              <w:t xml:space="preserve">0,0215</w:t>
            </w:r>
          </w:p>
        </w:tc>
        <w:tc>
          <w:tcPr/>
          <w:p>
            <w:pPr>
              <w:pStyle w:val="Compact"/>
            </w:pPr>
            <w:r>
              <w:rPr>
                <w:rFonts w:ascii="Calibri" w:hAnsi="Calibri"/>
                <w:sz w:val="20"/>
              </w:rPr>
              <w:t xml:space="preserve">0,019</w:t>
            </w:r>
          </w:p>
        </w:tc>
      </w:tr>
      <w:tr>
        <w:tc>
          <w:tcPr/>
          <w:p>
            <w:pPr>
              <w:pStyle w:val="Compact"/>
            </w:pPr>
            <w:r>
              <w:rPr>
                <w:rFonts w:ascii="Calibri" w:hAnsi="Calibri"/>
                <w:sz w:val="20"/>
              </w:rPr>
              <w:t xml:space="preserve">Resultado primario, rezago 1</w:t>
            </w:r>
          </w:p>
        </w:tc>
        <w:tc>
          <w:tcPr/>
          <w:p>
            <w:pPr>
              <w:pStyle w:val="Compact"/>
            </w:pPr>
            <w:r>
              <w:rPr>
                <w:rFonts w:ascii="Calibri" w:hAnsi="Calibri"/>
                <w:sz w:val="20"/>
              </w:rPr>
              <w:t xml:space="preserve">0,3404</w:t>
            </w:r>
          </w:p>
        </w:tc>
        <w:tc>
          <w:tcPr/>
          <w:p>
            <w:pPr>
              <w:pStyle w:val="Compact"/>
            </w:pPr>
            <w:r>
              <w:rPr>
                <w:rFonts w:ascii="Calibri" w:hAnsi="Calibri"/>
                <w:sz w:val="20"/>
              </w:rPr>
              <w:t xml:space="preserve">0,1116</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1</w:t>
            </w:r>
          </w:p>
        </w:tc>
        <w:tc>
          <w:tcPr/>
          <w:p>
            <w:pPr>
              <w:pStyle w:val="Compact"/>
            </w:pPr>
            <w:r>
              <w:rPr>
                <w:rFonts w:ascii="Calibri" w:hAnsi="Calibri"/>
                <w:sz w:val="20"/>
              </w:rPr>
              <w:t xml:space="preserve">0,0901</w:t>
            </w:r>
          </w:p>
        </w:tc>
        <w:tc>
          <w:tcPr/>
          <w:p>
            <w:pPr>
              <w:pStyle w:val="Compact"/>
            </w:pPr>
            <w:r>
              <w:rPr>
                <w:rFonts w:ascii="Calibri" w:hAnsi="Calibri"/>
                <w:sz w:val="20"/>
              </w:rPr>
              <w:t xml:space="preserve">0,0647</w:t>
            </w:r>
          </w:p>
        </w:tc>
        <w:tc>
          <w:tcPr/>
          <w:p>
            <w:pPr>
              <w:pStyle w:val="Compact"/>
            </w:pPr>
            <w:r>
              <w:rPr>
                <w:rFonts w:ascii="Calibri" w:hAnsi="Calibri"/>
                <w:sz w:val="20"/>
              </w:rPr>
              <w:t xml:space="preserve">0,164</w:t>
            </w:r>
          </w:p>
        </w:tc>
      </w:tr>
      <w:tr>
        <w:tc>
          <w:tcPr/>
          <w:p>
            <w:pPr>
              <w:pStyle w:val="Compact"/>
            </w:pPr>
            <w:r>
              <w:rPr>
                <w:rFonts w:ascii="Calibri" w:hAnsi="Calibri"/>
                <w:sz w:val="20"/>
              </w:rPr>
              <w:t xml:space="preserve">EMBI+, rezago 1</w:t>
            </w:r>
          </w:p>
        </w:tc>
        <w:tc>
          <w:tcPr/>
          <w:p>
            <w:pPr>
              <w:pStyle w:val="Compact"/>
            </w:pPr>
            <w:r>
              <w:rPr>
                <w:rFonts w:ascii="Calibri" w:hAnsi="Calibri"/>
                <w:sz w:val="20"/>
              </w:rPr>
              <w:t xml:space="preserve">-0,0005</w:t>
            </w:r>
          </w:p>
        </w:tc>
        <w:tc>
          <w:tcPr/>
          <w:p>
            <w:pPr>
              <w:pStyle w:val="Compact"/>
            </w:pPr>
            <w:r>
              <w:rPr>
                <w:rFonts w:ascii="Calibri" w:hAnsi="Calibri"/>
                <w:sz w:val="20"/>
              </w:rPr>
              <w:t xml:space="preserve">0,0004</w:t>
            </w:r>
          </w:p>
        </w:tc>
        <w:tc>
          <w:tcPr/>
          <w:p>
            <w:pPr>
              <w:pStyle w:val="Compact"/>
            </w:pPr>
            <w:r>
              <w:rPr>
                <w:rFonts w:ascii="Calibri" w:hAnsi="Calibri"/>
                <w:sz w:val="20"/>
              </w:rPr>
              <w:t xml:space="preserve">0,189</w:t>
            </w:r>
          </w:p>
        </w:tc>
      </w:tr>
      <w:tr>
        <w:tc>
          <w:tcPr/>
          <w:p>
            <w:pPr>
              <w:pStyle w:val="Compact"/>
            </w:pPr>
            <w:r>
              <w:rPr>
                <w:rFonts w:ascii="Calibri" w:hAnsi="Calibri"/>
                <w:sz w:val="20"/>
              </w:rPr>
              <w:t xml:space="preserve">TCRM, rezago 1</w:t>
            </w:r>
          </w:p>
        </w:tc>
        <w:tc>
          <w:tcPr/>
          <w:p>
            <w:pPr>
              <w:pStyle w:val="Compact"/>
            </w:pPr>
            <w:r>
              <w:rPr>
                <w:rFonts w:ascii="Calibri" w:hAnsi="Calibri"/>
                <w:sz w:val="20"/>
              </w:rPr>
              <w:t xml:space="preserve">3,6341</w:t>
            </w:r>
          </w:p>
        </w:tc>
        <w:tc>
          <w:tcPr/>
          <w:p>
            <w:pPr>
              <w:pStyle w:val="Compact"/>
            </w:pPr>
            <w:r>
              <w:rPr>
                <w:rFonts w:ascii="Calibri" w:hAnsi="Calibri"/>
                <w:sz w:val="20"/>
              </w:rPr>
              <w:t xml:space="preserve">1,7183</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Resultado primario, rezago 2</w:t>
            </w:r>
          </w:p>
        </w:tc>
        <w:tc>
          <w:tcPr/>
          <w:p>
            <w:pPr>
              <w:pStyle w:val="Compact"/>
            </w:pPr>
            <w:r>
              <w:rPr>
                <w:rFonts w:ascii="Calibri" w:hAnsi="Calibri"/>
                <w:sz w:val="20"/>
              </w:rPr>
              <w:t xml:space="preserve">0,3739</w:t>
            </w:r>
          </w:p>
        </w:tc>
        <w:tc>
          <w:tcPr/>
          <w:p>
            <w:pPr>
              <w:pStyle w:val="Compact"/>
            </w:pPr>
            <w:r>
              <w:rPr>
                <w:rFonts w:ascii="Calibri" w:hAnsi="Calibri"/>
                <w:sz w:val="20"/>
              </w:rPr>
              <w:t xml:space="preserve">0,1190</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2</w:t>
            </w:r>
          </w:p>
        </w:tc>
        <w:tc>
          <w:tcPr/>
          <w:p>
            <w:pPr>
              <w:pStyle w:val="Compact"/>
            </w:pPr>
            <w:r>
              <w:rPr>
                <w:rFonts w:ascii="Calibri" w:hAnsi="Calibri"/>
                <w:sz w:val="20"/>
              </w:rPr>
              <w:t xml:space="preserve">0,1250</w:t>
            </w:r>
          </w:p>
        </w:tc>
        <w:tc>
          <w:tcPr/>
          <w:p>
            <w:pPr>
              <w:pStyle w:val="Compact"/>
            </w:pPr>
            <w:r>
              <w:rPr>
                <w:rFonts w:ascii="Calibri" w:hAnsi="Calibri"/>
                <w:sz w:val="20"/>
              </w:rPr>
              <w:t xml:space="preserve">0,0633</w:t>
            </w:r>
          </w:p>
        </w:tc>
        <w:tc>
          <w:tcPr/>
          <w:p>
            <w:pPr>
              <w:pStyle w:val="Compact"/>
            </w:pPr>
            <w:r>
              <w:rPr>
                <w:rFonts w:ascii="Calibri" w:hAnsi="Calibri"/>
                <w:sz w:val="20"/>
              </w:rPr>
              <w:t xml:space="preserve">0,048</w:t>
            </w:r>
          </w:p>
        </w:tc>
      </w:tr>
      <w:tr>
        <w:tc>
          <w:tcPr/>
          <w:p>
            <w:pPr>
              <w:pStyle w:val="Compact"/>
            </w:pPr>
            <w:r>
              <w:rPr>
                <w:rFonts w:ascii="Calibri" w:hAnsi="Calibri"/>
                <w:sz w:val="20"/>
              </w:rPr>
              <w:t xml:space="preserve">EMBI+, rezago 2</w:t>
            </w:r>
          </w:p>
        </w:tc>
        <w:tc>
          <w:tcPr/>
          <w:p>
            <w:pPr>
              <w:pStyle w:val="Compact"/>
            </w:pPr>
            <w:r>
              <w:rPr>
                <w:rFonts w:ascii="Calibri" w:hAnsi="Calibri"/>
                <w:sz w:val="20"/>
              </w:rPr>
              <w:t xml:space="preserve">0,0001</w:t>
            </w:r>
          </w:p>
        </w:tc>
        <w:tc>
          <w:tcPr/>
          <w:p>
            <w:pPr>
              <w:pStyle w:val="Compact"/>
            </w:pPr>
            <w:r>
              <w:rPr>
                <w:rFonts w:ascii="Calibri" w:hAnsi="Calibri"/>
                <w:sz w:val="20"/>
              </w:rPr>
              <w:t xml:space="preserve">0,0005</w:t>
            </w:r>
          </w:p>
        </w:tc>
        <w:tc>
          <w:tcPr/>
          <w:p>
            <w:pPr>
              <w:pStyle w:val="Compact"/>
            </w:pPr>
            <w:r>
              <w:rPr>
                <w:rFonts w:ascii="Calibri" w:hAnsi="Calibri"/>
                <w:sz w:val="20"/>
              </w:rPr>
              <w:t xml:space="preserve">0,850</w:t>
            </w:r>
          </w:p>
        </w:tc>
      </w:tr>
      <w:tr>
        <w:tc>
          <w:tcPr/>
          <w:p>
            <w:pPr>
              <w:pStyle w:val="Compact"/>
            </w:pPr>
            <w:r>
              <w:rPr>
                <w:rFonts w:ascii="Calibri" w:hAnsi="Calibri"/>
                <w:sz w:val="20"/>
              </w:rPr>
              <w:t xml:space="preserve">TCRM, rezago 2</w:t>
            </w:r>
          </w:p>
        </w:tc>
        <w:tc>
          <w:tcPr/>
          <w:p>
            <w:pPr>
              <w:pStyle w:val="Compact"/>
            </w:pPr>
            <w:r>
              <w:rPr>
                <w:rFonts w:ascii="Calibri" w:hAnsi="Calibri"/>
                <w:sz w:val="20"/>
              </w:rPr>
              <w:t xml:space="preserve">-2,9019</w:t>
            </w:r>
          </w:p>
        </w:tc>
        <w:tc>
          <w:tcPr/>
          <w:p>
            <w:pPr>
              <w:pStyle w:val="Compact"/>
            </w:pPr>
            <w:r>
              <w:rPr>
                <w:rFonts w:ascii="Calibri" w:hAnsi="Calibri"/>
                <w:sz w:val="20"/>
              </w:rPr>
              <w:t xml:space="preserve">2,3871</w:t>
            </w:r>
          </w:p>
        </w:tc>
        <w:tc>
          <w:tcPr/>
          <w:p>
            <w:pPr>
              <w:pStyle w:val="Compact"/>
            </w:pPr>
            <w:r>
              <w:rPr>
                <w:rFonts w:ascii="Calibri" w:hAnsi="Calibri"/>
                <w:sz w:val="20"/>
              </w:rPr>
              <w:t xml:space="preserve">0,224</w:t>
            </w:r>
          </w:p>
        </w:tc>
      </w:tr>
      <w:tr>
        <w:tc>
          <w:tcPr/>
          <w:p>
            <w:pPr>
              <w:pStyle w:val="Compact"/>
            </w:pPr>
            <w:r>
              <w:rPr>
                <w:rFonts w:ascii="Calibri" w:hAnsi="Calibri"/>
                <w:sz w:val="20"/>
              </w:rPr>
              <w:t xml:space="preserve">Resultado primario, rezago 3</w:t>
            </w:r>
          </w:p>
        </w:tc>
        <w:tc>
          <w:tcPr/>
          <w:p>
            <w:pPr>
              <w:pStyle w:val="Compact"/>
            </w:pPr>
            <w:r>
              <w:rPr>
                <w:rFonts w:ascii="Calibri" w:hAnsi="Calibri"/>
                <w:sz w:val="20"/>
              </w:rPr>
              <w:t xml:space="preserve">0,0149</w:t>
            </w:r>
          </w:p>
        </w:tc>
        <w:tc>
          <w:tcPr/>
          <w:p>
            <w:pPr>
              <w:pStyle w:val="Compact"/>
            </w:pPr>
            <w:r>
              <w:rPr>
                <w:rFonts w:ascii="Calibri" w:hAnsi="Calibri"/>
                <w:sz w:val="20"/>
              </w:rPr>
              <w:t xml:space="preserve">0,1154</w:t>
            </w:r>
          </w:p>
        </w:tc>
        <w:tc>
          <w:tcPr/>
          <w:p>
            <w:pPr>
              <w:pStyle w:val="Compact"/>
            </w:pPr>
            <w:r>
              <w:rPr>
                <w:rFonts w:ascii="Calibri" w:hAnsi="Calibri"/>
                <w:sz w:val="20"/>
              </w:rPr>
              <w:t xml:space="preserve">0,897</w:t>
            </w:r>
          </w:p>
        </w:tc>
      </w:tr>
      <w:tr>
        <w:tc>
          <w:tcPr/>
          <w:p>
            <w:pPr>
              <w:pStyle w:val="Compact"/>
            </w:pPr>
            <w:r>
              <w:rPr>
                <w:rFonts w:ascii="Calibri" w:hAnsi="Calibri"/>
                <w:sz w:val="20"/>
              </w:rPr>
              <w:t xml:space="preserve">Crecimiento, rezago 3</w:t>
            </w:r>
          </w:p>
        </w:tc>
        <w:tc>
          <w:tcPr/>
          <w:p>
            <w:pPr>
              <w:pStyle w:val="Compact"/>
            </w:pPr>
            <w:r>
              <w:rPr>
                <w:rFonts w:ascii="Calibri" w:hAnsi="Calibri"/>
                <w:sz w:val="20"/>
              </w:rPr>
              <w:t xml:space="preserve">-0,0330</w:t>
            </w:r>
          </w:p>
        </w:tc>
        <w:tc>
          <w:tcPr/>
          <w:p>
            <w:pPr>
              <w:pStyle w:val="Compact"/>
            </w:pPr>
            <w:r>
              <w:rPr>
                <w:rFonts w:ascii="Calibri" w:hAnsi="Calibri"/>
                <w:sz w:val="20"/>
              </w:rPr>
              <w:t xml:space="preserve">0,0605</w:t>
            </w:r>
          </w:p>
        </w:tc>
        <w:tc>
          <w:tcPr/>
          <w:p>
            <w:pPr>
              <w:pStyle w:val="Compact"/>
            </w:pPr>
            <w:r>
              <w:rPr>
                <w:rFonts w:ascii="Calibri" w:hAnsi="Calibri"/>
                <w:sz w:val="20"/>
              </w:rPr>
              <w:t xml:space="preserve">0,586</w:t>
            </w:r>
          </w:p>
        </w:tc>
      </w:tr>
      <w:tr>
        <w:tc>
          <w:tcPr/>
          <w:p>
            <w:pPr>
              <w:pStyle w:val="Compact"/>
            </w:pPr>
            <w:r>
              <w:rPr>
                <w:rFonts w:ascii="Calibri" w:hAnsi="Calibri"/>
                <w:sz w:val="20"/>
              </w:rPr>
              <w:t xml:space="preserve">EMBI+, rezago 3</w:t>
            </w:r>
          </w:p>
        </w:tc>
        <w:tc>
          <w:tcPr/>
          <w:p>
            <w:pPr>
              <w:pStyle w:val="Compact"/>
            </w:pPr>
            <w:r>
              <w:rPr>
                <w:rFonts w:ascii="Calibri" w:hAnsi="Calibri"/>
                <w:sz w:val="20"/>
              </w:rPr>
              <w:t xml:space="preserve">0,0002</w:t>
            </w:r>
          </w:p>
        </w:tc>
        <w:tc>
          <w:tcPr/>
          <w:p>
            <w:pPr>
              <w:pStyle w:val="Compact"/>
            </w:pPr>
            <w:r>
              <w:rPr>
                <w:rFonts w:ascii="Calibri" w:hAnsi="Calibri"/>
                <w:sz w:val="20"/>
              </w:rPr>
              <w:t xml:space="preserve">0,0004</w:t>
            </w:r>
          </w:p>
        </w:tc>
        <w:tc>
          <w:tcPr/>
          <w:p>
            <w:pPr>
              <w:pStyle w:val="Compact"/>
            </w:pPr>
            <w:r>
              <w:rPr>
                <w:rFonts w:ascii="Calibri" w:hAnsi="Calibri"/>
                <w:sz w:val="20"/>
              </w:rPr>
              <w:t xml:space="preserve">0,520</w:t>
            </w:r>
          </w:p>
        </w:tc>
      </w:tr>
      <w:tr>
        <w:tc>
          <w:tcPr/>
          <w:p>
            <w:pPr>
              <w:pStyle w:val="Compact"/>
            </w:pPr>
            <w:r>
              <w:rPr>
                <w:rFonts w:ascii="Calibri" w:hAnsi="Calibri"/>
                <w:sz w:val="20"/>
              </w:rPr>
              <w:t xml:space="preserve">TCRM, rezago 3</w:t>
            </w:r>
          </w:p>
        </w:tc>
        <w:tc>
          <w:tcPr/>
          <w:p>
            <w:pPr>
              <w:pStyle w:val="Compact"/>
            </w:pPr>
            <w:r>
              <w:rPr>
                <w:rFonts w:ascii="Calibri" w:hAnsi="Calibri"/>
                <w:sz w:val="20"/>
              </w:rPr>
              <w:t xml:space="preserve">-0,2936</w:t>
            </w:r>
          </w:p>
        </w:tc>
        <w:tc>
          <w:tcPr/>
          <w:p>
            <w:pPr>
              <w:pStyle w:val="Compact"/>
            </w:pPr>
            <w:r>
              <w:rPr>
                <w:rFonts w:ascii="Calibri" w:hAnsi="Calibri"/>
                <w:sz w:val="20"/>
              </w:rPr>
              <w:t xml:space="preserve">1,6455</w:t>
            </w:r>
          </w:p>
        </w:tc>
        <w:tc>
          <w:tcPr/>
          <w:p>
            <w:pPr>
              <w:pStyle w:val="Compact"/>
            </w:pPr>
            <w:r>
              <w:rPr>
                <w:rFonts w:ascii="Calibri" w:hAnsi="Calibri"/>
                <w:sz w:val="20"/>
              </w:rPr>
              <w:t xml:space="preserve">0,858</w:t>
            </w:r>
          </w:p>
        </w:tc>
      </w:tr>
    </w:tbl>
    <w:bookmarkEnd w:id="121"/>
    <w:bookmarkStart w:id="122" w:name="Xed04215d0de9ac77779145f331c8c308a56c2f4"/>
    <w:p>
      <w:pPr>
        <w:pStyle w:val="Heading2"/>
      </w:pPr>
      <w:r>
        <w:t xml:space="preserve">A.7 Resultados completos de la especificación principal</w:t>
      </w:r>
    </w:p>
    <w:p>
      <w:pPr>
        <w:pStyle w:val="FirstParagraph"/>
      </w:pPr>
      <w:r>
        <w:t xml:space="preserve">Estimación central con parámetros corregidos por sesgo (Kilian, 1998) y 20.000 trayectorias; intervalos de 200 réplicas con 1.000 trayectorias cada una. Autovalor máximo del VAR: 0,964 estimado y 0,9998 corregido. Las réplicas usan una corrección del sesgo más reducida que la estimación central, de modo que los intervalos percentiles no quedan centrados en ella y la estimación central se ubica cerca de su límite superior (sección 4.5).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Medida</w:t>
            </w:r>
          </w:p>
        </w:tc>
        <w:tc>
          <w:tcPr/>
          <w:p>
            <w:pPr>
              <w:pStyle w:val="Compact"/>
            </w:pPr>
            <w:r>
              <w:rPr>
                <w:rFonts w:ascii="Calibri" w:hAnsi="Calibri"/>
                <w:sz w:val="20"/>
              </w:rPr>
              <w:t xml:space="preserve">Estimación central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No estabilización 2031 (%)</w:t>
            </w:r>
          </w:p>
        </w:tc>
        <w:tc>
          <w:tcPr/>
          <w:p>
            <w:pPr>
              <w:pStyle w:val="Compact"/>
            </w:pPr>
            <w:r>
              <w:rPr>
                <w:rFonts w:ascii="Calibri" w:hAnsi="Calibri"/>
                <w:sz w:val="20"/>
              </w:rPr>
              <w:t xml:space="preserve">25,2</w:t>
            </w:r>
          </w:p>
        </w:tc>
        <w:tc>
          <w:tcPr/>
          <w:p>
            <w:pPr>
              <w:pStyle w:val="Compact"/>
            </w:pPr>
            <w:r>
              <w:rPr>
                <w:rFonts w:ascii="Calibri" w:hAnsi="Calibri"/>
                <w:sz w:val="20"/>
              </w:rPr>
              <w:t xml:space="preserve">[19,0; 27,7]</w:t>
            </w:r>
          </w:p>
        </w:tc>
      </w:tr>
      <w:tr>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22,3</w:t>
            </w:r>
          </w:p>
        </w:tc>
        <w:tc>
          <w:tcPr/>
          <w:p>
            <w:pPr>
              <w:pStyle w:val="Compact"/>
            </w:pPr>
            <w:r>
              <w:rPr>
                <w:rFonts w:ascii="Calibri" w:hAnsi="Calibri"/>
                <w:sz w:val="20"/>
              </w:rPr>
              <w:t xml:space="preserve">[15,6; 24,9]</w:t>
            </w:r>
          </w:p>
        </w:tc>
      </w:tr>
      <w:tr>
        <w:tc>
          <w:tcPr/>
          <w:p>
            <w:pPr>
              <w:pStyle w:val="Compact"/>
            </w:pPr>
            <w:r>
              <w:rPr>
                <w:rFonts w:ascii="Calibri" w:hAnsi="Calibri"/>
                <w:sz w:val="20"/>
              </w:rPr>
              <w:t xml:space="preserve">No estabilización 2031 con el resultado primario simulado (%)</w:t>
            </w:r>
          </w:p>
        </w:tc>
        <w:tc>
          <w:tcPr/>
          <w:p>
            <w:pPr>
              <w:pStyle w:val="Compact"/>
            </w:pPr>
            <w:r>
              <w:rPr>
                <w:rFonts w:ascii="Calibri" w:hAnsi="Calibri"/>
                <w:sz w:val="20"/>
              </w:rPr>
              <w:t xml:space="preserve">29,2</w:t>
            </w:r>
          </w:p>
        </w:tc>
        <w:tc>
          <w:tcPr/>
          <w:p>
            <w:pPr>
              <w:pStyle w:val="Compact"/>
            </w:pPr>
            <w:r>
              <w:rPr>
                <w:rFonts w:ascii="Calibri" w:hAnsi="Calibri"/>
                <w:sz w:val="20"/>
              </w:rPr>
              <w:t xml:space="preserve">[21,7; 31,1]</w:t>
            </w:r>
          </w:p>
        </w:tc>
      </w:tr>
      <w:tr>
        <w:tc>
          <w:tcPr/>
          <w:p>
            <w:pPr>
              <w:pStyle w:val="Compact"/>
            </w:pPr>
            <w:r>
              <w:rPr>
                <w:rFonts w:ascii="Calibri" w:hAnsi="Calibri"/>
                <w:sz w:val="20"/>
              </w:rPr>
              <w:t xml:space="preserve">Probabilidad de que la deuda de 2031 supere a la de 2029 (%)</w:t>
            </w:r>
          </w:p>
        </w:tc>
        <w:tc>
          <w:tcPr/>
          <w:p>
            <w:pPr>
              <w:pStyle w:val="Compact"/>
            </w:pPr>
            <w:r>
              <w:rPr>
                <w:rFonts w:ascii="Calibri" w:hAnsi="Calibri"/>
                <w:sz w:val="20"/>
              </w:rPr>
              <w:t xml:space="preserve">22,0</w:t>
            </w:r>
          </w:p>
        </w:tc>
        <w:tc>
          <w:tcPr/>
          <w:p>
            <w:pPr>
              <w:pStyle w:val="Compact"/>
            </w:pPr>
            <w:r>
              <w:rPr>
                <w:rFonts w:ascii="Calibri" w:hAnsi="Calibri"/>
                <w:sz w:val="20"/>
              </w:rPr>
              <w:t xml:space="preserve">[13,2; 23,8]</w:t>
            </w:r>
          </w:p>
        </w:tc>
      </w:tr>
      <w:tr>
        <w:tc>
          <w:tcPr/>
          <w:p>
            <w:pPr>
              <w:pStyle w:val="Compact"/>
            </w:pPr>
            <w:r>
              <w:rPr>
                <w:rFonts w:ascii="Calibri" w:hAnsi="Calibri"/>
                <w:sz w:val="20"/>
              </w:rPr>
              <w:t xml:space="preserve">Deuda mediana 2031 (% del PIB)</w:t>
            </w:r>
          </w:p>
        </w:tc>
        <w:tc>
          <w:tcPr/>
          <w:p>
            <w:pPr>
              <w:pStyle w:val="Compact"/>
            </w:pPr>
            <w:r>
              <w:rPr>
                <w:rFonts w:ascii="Calibri" w:hAnsi="Calibri"/>
                <w:sz w:val="20"/>
              </w:rPr>
              <w:t xml:space="preserve">39,5</w:t>
            </w:r>
          </w:p>
        </w:tc>
        <w:tc>
          <w:tcPr/>
          <w:p>
            <w:pPr>
              <w:pStyle w:val="Compact"/>
            </w:pPr>
            <w:r>
              <w:rPr>
                <w:rFonts w:ascii="Calibri" w:hAnsi="Calibri"/>
                <w:sz w:val="20"/>
              </w:rPr>
              <w:t xml:space="preserve">[38,8; 40,3]</w:t>
            </w:r>
          </w:p>
        </w:tc>
      </w:tr>
      <w:tr>
        <w:tc>
          <w:tcPr/>
          <w:p>
            <w:pPr>
              <w:pStyle w:val="Compact"/>
            </w:pPr>
            <w:r>
              <w:rPr>
                <w:rFonts w:ascii="Calibri" w:hAnsi="Calibri"/>
                <w:sz w:val="20"/>
              </w:rPr>
              <w:t xml:space="preserve">Deuda media 2035 (% del PIB)</w:t>
            </w:r>
          </w:p>
        </w:tc>
        <w:tc>
          <w:tcPr/>
          <w:p>
            <w:pPr>
              <w:pStyle w:val="Compact"/>
            </w:pPr>
            <w:r>
              <w:rPr>
                <w:rFonts w:ascii="Calibri" w:hAnsi="Calibri"/>
                <w:sz w:val="20"/>
              </w:rPr>
              <w:t xml:space="preserve">31,3</w:t>
            </w:r>
          </w:p>
        </w:tc>
        <w:tc>
          <w:tcPr/>
          <w:p>
            <w:pPr>
              <w:pStyle w:val="Compact"/>
            </w:pPr>
            <w:r>
              <w:rPr>
                <w:rFonts w:ascii="Calibri" w:hAnsi="Calibri"/>
                <w:sz w:val="20"/>
              </w:rPr>
              <w:t xml:space="preserve">[29,5; 33,6]</w:t>
            </w:r>
          </w:p>
        </w:tc>
      </w:tr>
      <w:tr>
        <w:tc>
          <w:tcPr/>
          <w:p>
            <w:pPr>
              <w:pStyle w:val="Compact"/>
            </w:pPr>
            <w:r>
              <w:rPr>
                <w:rFonts w:ascii="Calibri" w:hAnsi="Calibri"/>
                <w:sz w:val="20"/>
              </w:rPr>
              <w:t xml:space="preserve">Ancho del abanico 2031 (p5-p95)</w:t>
            </w:r>
          </w:p>
        </w:tc>
        <w:tc>
          <w:tcPr/>
          <w:p>
            <w:pPr>
              <w:pStyle w:val="Compact"/>
            </w:pPr>
            <w:r>
              <w:rPr>
                <w:rFonts w:ascii="Calibri" w:hAnsi="Calibri"/>
                <w:sz w:val="20"/>
              </w:rPr>
              <w:t xml:space="preserve">35,3</w:t>
            </w:r>
          </w:p>
        </w:tc>
        <w:tc>
          <w:tcPr/>
          <w:p>
            <w:pPr>
              <w:pStyle w:val="Compact"/>
            </w:pPr>
            <w:r>
              <w:rPr>
                <w:rFonts w:ascii="Calibri" w:hAnsi="Calibri"/>
                <w:sz w:val="20"/>
              </w:rPr>
              <w:t xml:space="preserve">[19,1; 37,6]</w:t>
            </w:r>
          </w:p>
        </w:tc>
      </w:tr>
      <w:tr>
        <w:tc>
          <w:tcPr/>
          <w:p>
            <w:pPr>
              <w:pStyle w:val="Compact"/>
            </w:pPr>
            <w:r>
              <w:rPr>
                <w:rFonts w:ascii="Calibri" w:hAnsi="Calibri"/>
                <w:sz w:val="20"/>
              </w:rPr>
              <w:t xml:space="preserve">Varianza 2035: fiscal (%)</w:t>
            </w:r>
          </w:p>
        </w:tc>
        <w:tc>
          <w:tcPr/>
          <w:p>
            <w:pPr>
              <w:pStyle w:val="Compact"/>
            </w:pPr>
            <w:r>
              <w:rPr>
                <w:rFonts w:ascii="Calibri" w:hAnsi="Calibri"/>
                <w:sz w:val="20"/>
              </w:rPr>
              <w:t xml:space="preserve">32,1</w:t>
            </w:r>
          </w:p>
        </w:tc>
        <w:tc>
          <w:tcPr/>
          <w:p>
            <w:pPr>
              <w:pStyle w:val="Compact"/>
            </w:pPr>
            <w:r>
              <w:rPr>
                <w:rFonts w:ascii="Calibri" w:hAnsi="Calibri"/>
                <w:sz w:val="20"/>
              </w:rPr>
              <w:t xml:space="preserve">[4,4; 52,4]</w:t>
            </w:r>
          </w:p>
        </w:tc>
      </w:tr>
      <w:tr>
        <w:tc>
          <w:tcPr/>
          <w:p>
            <w:pPr>
              <w:pStyle w:val="Compact"/>
            </w:pPr>
            <w:r>
              <w:rPr>
                <w:rFonts w:ascii="Calibri" w:hAnsi="Calibri"/>
                <w:sz w:val="20"/>
              </w:rPr>
              <w:t xml:space="preserve">Varianza 2035: actividad (%)</w:t>
            </w:r>
          </w:p>
        </w:tc>
        <w:tc>
          <w:tcPr/>
          <w:p>
            <w:pPr>
              <w:pStyle w:val="Compact"/>
            </w:pPr>
            <w:r>
              <w:rPr>
                <w:rFonts w:ascii="Calibri" w:hAnsi="Calibri"/>
                <w:sz w:val="20"/>
              </w:rPr>
              <w:t xml:space="preserve">9,3</w:t>
            </w:r>
          </w:p>
        </w:tc>
        <w:tc>
          <w:tcPr/>
          <w:p>
            <w:pPr>
              <w:pStyle w:val="Compact"/>
            </w:pPr>
            <w:r>
              <w:rPr>
                <w:rFonts w:ascii="Calibri" w:hAnsi="Calibri"/>
                <w:sz w:val="20"/>
              </w:rPr>
              <w:t xml:space="preserve">[3,8; 43,1]</w:t>
            </w:r>
          </w:p>
        </w:tc>
      </w:tr>
      <w:tr>
        <w:tc>
          <w:tcPr/>
          <w:p>
            <w:pPr>
              <w:pStyle w:val="Compact"/>
            </w:pPr>
            <w:r>
              <w:rPr>
                <w:rFonts w:ascii="Calibri" w:hAnsi="Calibri"/>
                <w:sz w:val="20"/>
              </w:rPr>
              <w:t xml:space="preserve">Varianza 2035: cambiario y de riesgo (%)</w:t>
            </w:r>
          </w:p>
        </w:tc>
        <w:tc>
          <w:tcPr/>
          <w:p>
            <w:pPr>
              <w:pStyle w:val="Compact"/>
            </w:pPr>
            <w:r>
              <w:rPr>
                <w:rFonts w:ascii="Calibri" w:hAnsi="Calibri"/>
                <w:sz w:val="20"/>
              </w:rPr>
              <w:t xml:space="preserve">58,7</w:t>
            </w:r>
          </w:p>
        </w:tc>
        <w:tc>
          <w:tcPr/>
          <w:p>
            <w:pPr>
              <w:pStyle w:val="Compact"/>
            </w:pPr>
            <w:r>
              <w:rPr>
                <w:rFonts w:ascii="Calibri" w:hAnsi="Calibri"/>
                <w:sz w:val="20"/>
              </w:rPr>
              <w:t xml:space="preserve">[17,2; 86,0]</w:t>
            </w:r>
          </w:p>
        </w:tc>
      </w:tr>
      <w:tr>
        <w:tc>
          <w:tcPr/>
          <w:p>
            <w:pPr>
              <w:pStyle w:val="Compact"/>
            </w:pPr>
            <w:r>
              <w:rPr>
                <w:rFonts w:ascii="Calibri" w:hAnsi="Calibri"/>
                <w:sz w:val="20"/>
              </w:rPr>
              <w:t xml:space="preserve">No fiscal menos fiscal (puntos)</w:t>
            </w:r>
          </w:p>
        </w:tc>
        <w:tc>
          <w:tcPr/>
          <w:p>
            <w:pPr>
              <w:pStyle w:val="Compact"/>
            </w:pPr>
            <w:r>
              <w:rPr>
                <w:rFonts w:ascii="Calibri" w:hAnsi="Calibri"/>
                <w:sz w:val="20"/>
              </w:rPr>
              <w:t xml:space="preserve">35,9</w:t>
            </w:r>
          </w:p>
        </w:tc>
        <w:tc>
          <w:tcPr/>
          <w:p>
            <w:pPr>
              <w:pStyle w:val="Compact"/>
            </w:pPr>
            <w:r>
              <w:rPr>
                <w:rFonts w:ascii="Calibri" w:hAnsi="Calibri"/>
                <w:sz w:val="20"/>
              </w:rPr>
              <w:t xml:space="preserve">[-4,8; 91,2]</w:t>
            </w:r>
          </w:p>
        </w:tc>
      </w:tr>
      <w:tr>
        <w:tc>
          <w:tcPr/>
          <w:p>
            <w:pPr>
              <w:pStyle w:val="Compact"/>
            </w:pPr>
            <w:r>
              <w:rPr>
                <w:rFonts w:ascii="Calibri" w:hAnsi="Calibri"/>
                <w:sz w:val="20"/>
              </w:rPr>
              <w:t xml:space="preserve">Cambiario y de riesgo menos fiscal (puntos)</w:t>
            </w:r>
          </w:p>
        </w:tc>
        <w:tc>
          <w:tcPr/>
          <w:p>
            <w:pPr>
              <w:pStyle w:val="Compact"/>
            </w:pPr>
            <w:r>
              <w:rPr>
                <w:rFonts w:ascii="Calibri" w:hAnsi="Calibri"/>
                <w:sz w:val="20"/>
              </w:rPr>
              <w:t xml:space="preserve">26,6</w:t>
            </w:r>
          </w:p>
        </w:tc>
        <w:tc>
          <w:tcPr/>
          <w:p>
            <w:pPr>
              <w:pStyle w:val="Compact"/>
            </w:pPr>
            <w:r>
              <w:rPr>
                <w:rFonts w:ascii="Calibri" w:hAnsi="Calibri"/>
                <w:sz w:val="20"/>
              </w:rPr>
              <w:t xml:space="preserve">[-31,2; 80,3]</w:t>
            </w:r>
          </w:p>
        </w:tc>
      </w:tr>
      <w:tr>
        <w:tc>
          <w:tcPr/>
          <w:p>
            <w:pPr>
              <w:pStyle w:val="Compact"/>
            </w:pPr>
            <w:r>
              <w:rPr>
                <w:rFonts w:ascii="Calibri" w:hAnsi="Calibri"/>
                <w:sz w:val="20"/>
              </w:rPr>
              <w:t xml:space="preserve">Promedio por</w:t>
            </w:r>
            <w:r>
              <w:rPr>
                <w:rFonts w:ascii="Calibri" w:hAnsi="Calibri"/>
                <w:sz w:val="20"/>
              </w:rPr>
              <w:t xml:space="preserve"> </w:t>
            </w: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menos fiscal (puntos)</w:t>
            </w:r>
          </w:p>
        </w:tc>
        <w:tc>
          <w:tcPr/>
          <w:p>
            <w:pPr>
              <w:pStyle w:val="Compact"/>
            </w:pPr>
            <w:r>
              <w:rPr>
                <w:rFonts w:ascii="Calibri" w:hAnsi="Calibri"/>
                <w:sz w:val="20"/>
              </w:rPr>
              <w:t xml:space="preserve">-2,5</w:t>
            </w:r>
          </w:p>
        </w:tc>
        <w:tc>
          <w:tcPr/>
          <w:p>
            <w:pPr>
              <w:pStyle w:val="Compact"/>
            </w:pPr>
            <w:r>
              <w:rPr>
                <w:rFonts w:ascii="Calibri" w:hAnsi="Calibri"/>
                <w:sz w:val="20"/>
              </w:rPr>
              <w:t xml:space="preserve">[-40,7; 38,1]</w:t>
            </w:r>
          </w:p>
        </w:tc>
      </w:tr>
      <w:tr>
        <w:tc>
          <w:tcPr/>
          <w:p>
            <w:pPr>
              <w:pStyle w:val="Compact"/>
            </w:pPr>
            <w:r>
              <w:rPr>
                <w:rFonts w:ascii="Calibri" w:hAnsi="Calibri"/>
                <w:sz w:val="20"/>
              </w:rPr>
              <w:t xml:space="preserve">FED, nivel 0,50 pp más alto: diferencia en la probabilidad 2035 (pp)</w:t>
            </w:r>
          </w:p>
        </w:tc>
        <w:tc>
          <w:tcPr/>
          <w:p>
            <w:pPr>
              <w:pStyle w:val="Compact"/>
            </w:pPr>
            <w:r>
              <w:rPr>
                <w:rFonts w:ascii="Calibri" w:hAnsi="Calibri"/>
                <w:sz w:val="20"/>
              </w:rPr>
              <w:t xml:space="preserve">1,5</w:t>
            </w:r>
          </w:p>
        </w:tc>
        <w:tc>
          <w:tcPr/>
          <w:p>
            <w:pPr>
              <w:pStyle w:val="Compact"/>
            </w:pPr>
            <w:r>
              <w:rPr>
                <w:rFonts w:ascii="Calibri" w:hAnsi="Calibri"/>
                <w:sz w:val="20"/>
              </w:rPr>
              <w:t xml:space="preserve">[0,1; 3,1]</w:t>
            </w:r>
          </w:p>
        </w:tc>
      </w:tr>
      <w:tr>
        <w:tc>
          <w:tcPr/>
          <w:p>
            <w:pPr>
              <w:pStyle w:val="Compact"/>
            </w:pPr>
            <w:r>
              <w:rPr>
                <w:rFonts w:ascii="Calibri" w:hAnsi="Calibri"/>
                <w:sz w:val="20"/>
              </w:rPr>
              <w:t xml:space="preserve">FED, nivel 0,50 pp más alto: diferencia en la deuda 2035 (pp del PIB)</w:t>
            </w:r>
          </w:p>
        </w:tc>
        <w:tc>
          <w:tcPr/>
          <w:p>
            <w:pPr>
              <w:pStyle w:val="Compact"/>
            </w:pPr>
            <w:r>
              <w:rPr>
                <w:rFonts w:ascii="Calibri" w:hAnsi="Calibri"/>
                <w:sz w:val="20"/>
              </w:rPr>
              <w:t xml:space="preserve">1,0</w:t>
            </w:r>
          </w:p>
        </w:tc>
        <w:tc>
          <w:tcPr/>
          <w:p>
            <w:pPr>
              <w:pStyle w:val="Compact"/>
            </w:pPr>
            <w:r>
              <w:rPr>
                <w:rFonts w:ascii="Calibri" w:hAnsi="Calibri"/>
                <w:sz w:val="20"/>
              </w:rPr>
              <w:t xml:space="preserve">[-0,1; 2,4]</w:t>
            </w:r>
          </w:p>
        </w:tc>
      </w:tr>
      <w:tr>
        <w:tc>
          <w:tcPr/>
          <w:p>
            <w:pPr>
              <w:pStyle w:val="Compact"/>
            </w:pPr>
            <w:r>
              <w:rPr>
                <w:rFonts w:ascii="Calibri" w:hAnsi="Calibri"/>
                <w:sz w:val="20"/>
              </w:rPr>
              <w:t xml:space="preserve">FED, senda 2022-2025: diferencia en la probabilidad 2031 (pp)</w:t>
            </w:r>
          </w:p>
        </w:tc>
        <w:tc>
          <w:tcPr/>
          <w:p>
            <w:pPr>
              <w:pStyle w:val="Compact"/>
            </w:pPr>
            <w:r>
              <w:rPr>
                <w:rFonts w:ascii="Calibri" w:hAnsi="Calibri"/>
                <w:sz w:val="20"/>
              </w:rPr>
              <w:t xml:space="preserve">2,4</w:t>
            </w:r>
          </w:p>
        </w:tc>
        <w:tc>
          <w:tcPr/>
          <w:p>
            <w:pPr>
              <w:pStyle w:val="Compact"/>
            </w:pPr>
            <w:r>
              <w:rPr>
                <w:rFonts w:ascii="Calibri" w:hAnsi="Calibri"/>
                <w:sz w:val="20"/>
              </w:rPr>
              <w:t xml:space="preserve">[-4,5; 11,4]</w:t>
            </w:r>
          </w:p>
        </w:tc>
      </w:tr>
      <w:tr>
        <w:tc>
          <w:tcPr/>
          <w:p>
            <w:pPr>
              <w:pStyle w:val="Compact"/>
            </w:pPr>
            <w:r>
              <w:rPr>
                <w:rFonts w:ascii="Calibri" w:hAnsi="Calibri"/>
                <w:sz w:val="20"/>
              </w:rPr>
              <w:t xml:space="preserve">FED, senda 2022-2025: diferencia en la probabilidad 2035 (pp)</w:t>
            </w:r>
          </w:p>
        </w:tc>
        <w:tc>
          <w:tcPr/>
          <w:p>
            <w:pPr>
              <w:pStyle w:val="Compact"/>
            </w:pPr>
            <w:r>
              <w:rPr>
                <w:rFonts w:ascii="Calibri" w:hAnsi="Calibri"/>
                <w:sz w:val="20"/>
              </w:rPr>
              <w:t xml:space="preserve">13,0</w:t>
            </w:r>
          </w:p>
        </w:tc>
        <w:tc>
          <w:tcPr/>
          <w:p>
            <w:pPr>
              <w:pStyle w:val="Compact"/>
            </w:pPr>
            <w:r>
              <w:rPr>
                <w:rFonts w:ascii="Calibri" w:hAnsi="Calibri"/>
                <w:sz w:val="20"/>
              </w:rPr>
              <w:t xml:space="preserve">[1,0; 24,8]</w:t>
            </w:r>
          </w:p>
        </w:tc>
      </w:tr>
      <w:tr>
        <w:tc>
          <w:tcPr/>
          <w:p>
            <w:pPr>
              <w:pStyle w:val="Compact"/>
            </w:pPr>
            <w:r>
              <w:rPr>
                <w:rFonts w:ascii="Calibri" w:hAnsi="Calibri"/>
                <w:sz w:val="20"/>
              </w:rPr>
              <w:t xml:space="preserve">FED, senda 2022-2025: diferencia en la deuda 2035 (pp del PIB)</w:t>
            </w:r>
          </w:p>
        </w:tc>
        <w:tc>
          <w:tcPr/>
          <w:p>
            <w:pPr>
              <w:pStyle w:val="Compact"/>
            </w:pPr>
            <w:r>
              <w:rPr>
                <w:rFonts w:ascii="Calibri" w:hAnsi="Calibri"/>
                <w:sz w:val="20"/>
              </w:rPr>
              <w:t xml:space="preserve">7,8</w:t>
            </w:r>
          </w:p>
        </w:tc>
        <w:tc>
          <w:tcPr/>
          <w:p>
            <w:pPr>
              <w:pStyle w:val="Compact"/>
            </w:pPr>
            <w:r>
              <w:rPr>
                <w:rFonts w:ascii="Calibri" w:hAnsi="Calibri"/>
                <w:sz w:val="20"/>
              </w:rPr>
              <w:t xml:space="preserve">[-1,4; 20,4]</w:t>
            </w:r>
          </w:p>
        </w:tc>
      </w:tr>
    </w:tbl>
    <w:bookmarkEnd w:id="122"/>
    <w:bookmarkEnd w:id="123"/>
    <w:bookmarkStart w:id="124" w:name="referencias"/>
    <w:p>
      <w:pPr>
        <w:pStyle w:val="Heading1"/>
      </w:pPr>
      <w:r>
        <w:t xml:space="preserve">Referencias</w:t>
      </w:r>
    </w:p>
    <w:p>
      <w:pPr>
        <w:pStyle w:val="Compact"/>
        <w:numPr>
          <w:ilvl w:val="0"/>
          <w:numId w:val="1013"/>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w:t>
      </w:r>
      <w:r>
        <w:t xml:space="preserve"> </w:t>
      </w:r>
      <w:r>
        <w:rPr>
          <w:i/>
          <w:iCs/>
        </w:rPr>
        <w:t xml:space="preserve">60</w:t>
      </w:r>
      <w:r>
        <w:t xml:space="preserve">, 8-28. https://doi.org/10.1016/j.jimonfin.2015.03.007</w:t>
      </w:r>
    </w:p>
    <w:p>
      <w:pPr>
        <w:pStyle w:val="Compact"/>
        <w:numPr>
          <w:ilvl w:val="0"/>
          <w:numId w:val="1013"/>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3"/>
        </w:numPr>
      </w:pPr>
      <w:r>
        <w:t xml:space="preserve">Ando, S., Mishra, P., Patel, N., Peralta-Alva, A., y Presbitero, A. F. (2025). Fiscal consolidation and public debt.</w:t>
      </w:r>
      <w:r>
        <w:t xml:space="preserve"> </w:t>
      </w:r>
      <w:r>
        <w:rPr>
          <w:i/>
          <w:iCs/>
        </w:rPr>
        <w:t xml:space="preserve">Journal of Economic Dynamics and Control</w:t>
      </w:r>
      <w:r>
        <w:t xml:space="preserve">,</w:t>
      </w:r>
      <w:r>
        <w:t xml:space="preserve"> </w:t>
      </w:r>
      <w:r>
        <w:rPr>
          <w:i/>
          <w:iCs/>
        </w:rPr>
        <w:t xml:space="preserve">170</w:t>
      </w:r>
      <w:r>
        <w:t xml:space="preserve">, artículo 104998. https://doi.org/10.1016/j.jedc.2024.104998</w:t>
      </w:r>
    </w:p>
    <w:p>
      <w:pPr>
        <w:pStyle w:val="Compact"/>
        <w:numPr>
          <w:ilvl w:val="0"/>
          <w:numId w:val="1013"/>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3"/>
        </w:numPr>
      </w:pPr>
      <w:r>
        <w:t xml:space="preserve">Bai, J., y Perron, P. (2003). Computation and analysis of multiple structural change models.</w:t>
      </w:r>
      <w:r>
        <w:t xml:space="preserve"> </w:t>
      </w:r>
      <w:r>
        <w:rPr>
          <w:i/>
          <w:iCs/>
        </w:rPr>
        <w:t xml:space="preserve">Journal of Applied Econometrics</w:t>
      </w:r>
      <w:r>
        <w:t xml:space="preserve">,</w:t>
      </w:r>
      <w:r>
        <w:t xml:space="preserve"> </w:t>
      </w:r>
      <w:r>
        <w:rPr>
          <w:i/>
          <w:iCs/>
        </w:rPr>
        <w:t xml:space="preserve">18</w:t>
      </w:r>
      <w:r>
        <w:t xml:space="preserve">(1), 1-22. https://doi.org/10.1002/jae.659</w:t>
      </w:r>
    </w:p>
    <w:p>
      <w:pPr>
        <w:pStyle w:val="Compact"/>
        <w:numPr>
          <w:ilvl w:val="0"/>
          <w:numId w:val="1013"/>
        </w:numPr>
      </w:pPr>
      <w:r>
        <w:t xml:space="preserve">Banco Central de la República Argentina [BCRA].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3"/>
        </w:numPr>
      </w:pPr>
      <w:r>
        <w:t xml:space="preserve">Banco Central de la República Argentina [BCRA]. (2025).</w:t>
      </w:r>
      <w:r>
        <w:t xml:space="preserve"> </w:t>
      </w:r>
      <w:r>
        <w:rPr>
          <w:i/>
          <w:iCs/>
        </w:rPr>
        <w:t xml:space="preserve">Informe monetario mensual, junio de 2025</w:t>
      </w:r>
      <w:r>
        <w:t xml:space="preserve">. https://www.bcra.gob.ar/archivos/Pdfs/PublicacionesEstadisticas/informe-monetario-mensual-jun-25.pdf</w:t>
      </w:r>
    </w:p>
    <w:p>
      <w:pPr>
        <w:pStyle w:val="Compact"/>
        <w:numPr>
          <w:ilvl w:val="0"/>
          <w:numId w:val="1013"/>
        </w:numPr>
      </w:pPr>
      <w:r>
        <w:t xml:space="preserve">Banco Central de la República Argentina [BCRA]. (2026).</w:t>
      </w:r>
      <w:r>
        <w:t xml:space="preserve"> </w:t>
      </w:r>
      <w:r>
        <w:rPr>
          <w:i/>
          <w:iCs/>
        </w:rPr>
        <w:t xml:space="preserve">Informe monetario mensual, diciembre de 2025</w:t>
      </w:r>
      <w:r>
        <w:t xml:space="preserve">. https://www.bcra.gob.ar/archivos/Pdfs/PublicacionesEstadisticas/informe-monetario-mensual-dic-25.pdf</w:t>
      </w:r>
    </w:p>
    <w:p>
      <w:pPr>
        <w:pStyle w:val="Compact"/>
        <w:numPr>
          <w:ilvl w:val="0"/>
          <w:numId w:val="1013"/>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3"/>
        </w:numPr>
      </w:pPr>
      <w:r>
        <w:t xml:space="preserve">Blanchard, O. (2019). Public debt and low interest rates.</w:t>
      </w:r>
      <w:r>
        <w:t xml:space="preserve"> </w:t>
      </w:r>
      <w:r>
        <w:rPr>
          <w:i/>
          <w:iCs/>
        </w:rPr>
        <w:t xml:space="preserve">American Economic Review</w:t>
      </w:r>
      <w:r>
        <w:t xml:space="preserve">,</w:t>
      </w:r>
      <w:r>
        <w:t xml:space="preserve"> </w:t>
      </w:r>
      <w:r>
        <w:rPr>
          <w:i/>
          <w:iCs/>
        </w:rPr>
        <w:t xml:space="preserve">109</w:t>
      </w:r>
      <w:r>
        <w:t xml:space="preserve">(4), 1197-1229. https://doi.org/10.1257/aer.109.4.1197</w:t>
      </w:r>
    </w:p>
    <w:p>
      <w:pPr>
        <w:pStyle w:val="Compact"/>
        <w:numPr>
          <w:ilvl w:val="0"/>
          <w:numId w:val="1013"/>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w:t>
      </w:r>
      <w:r>
        <w:t xml:space="preserve"> </w:t>
      </w:r>
      <w:r>
        <w:rPr>
          <w:i/>
          <w:iCs/>
        </w:rPr>
        <w:t xml:space="preserve">117</w:t>
      </w:r>
      <w:r>
        <w:t xml:space="preserve">(4), 1329-1368. https://doi.org/10.1162/003355302320935043</w:t>
      </w:r>
    </w:p>
    <w:p>
      <w:pPr>
        <w:pStyle w:val="Compact"/>
        <w:numPr>
          <w:ilvl w:val="0"/>
          <w:numId w:val="1013"/>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3"/>
        </w:numPr>
      </w:pPr>
      <w:r>
        <w:t xml:space="preserve">Bohn, H. (1998). The behavior of U.S. public debt and deficits.</w:t>
      </w:r>
      <w:r>
        <w:t xml:space="preserve"> </w:t>
      </w:r>
      <w:r>
        <w:rPr>
          <w:i/>
          <w:iCs/>
        </w:rPr>
        <w:t xml:space="preserve">Quarterly Journal of Economics</w:t>
      </w:r>
      <w:r>
        <w:t xml:space="preserve">,</w:t>
      </w:r>
      <w:r>
        <w:t xml:space="preserve"> </w:t>
      </w:r>
      <w:r>
        <w:rPr>
          <w:i/>
          <w:iCs/>
        </w:rPr>
        <w:t xml:space="preserve">113</w:t>
      </w:r>
      <w:r>
        <w:t xml:space="preserve">(3), 949-963. https://doi.org/10.1162/003355398555793</w:t>
      </w:r>
    </w:p>
    <w:p>
      <w:pPr>
        <w:pStyle w:val="Compact"/>
        <w:numPr>
          <w:ilvl w:val="0"/>
          <w:numId w:val="1013"/>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3"/>
        </w:numPr>
      </w:pPr>
      <w:r>
        <w:t xml:space="preserve">Bohn, H. (2007). Are stationarity and cointegration restrictions really necessary for the intertemporal budget constraint?</w:t>
      </w:r>
      <w:r>
        <w:t xml:space="preserve"> </w:t>
      </w:r>
      <w:r>
        <w:rPr>
          <w:i/>
          <w:iCs/>
        </w:rPr>
        <w:t xml:space="preserve">Journal of Monetary Economics</w:t>
      </w:r>
      <w:r>
        <w:t xml:space="preserve">,</w:t>
      </w:r>
      <w:r>
        <w:t xml:space="preserve"> </w:t>
      </w:r>
      <w:r>
        <w:rPr>
          <w:i/>
          <w:iCs/>
        </w:rPr>
        <w:t xml:space="preserve">54</w:t>
      </w:r>
      <w:r>
        <w:t xml:space="preserve">(7), 1837-1847. https://doi.org/10.1016/j.jmoneco.2006.12.012</w:t>
      </w:r>
    </w:p>
    <w:p>
      <w:pPr>
        <w:pStyle w:val="Compact"/>
        <w:numPr>
          <w:ilvl w:val="0"/>
          <w:numId w:val="1013"/>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w:t>
      </w:r>
      <w:r>
        <w:t xml:space="preserve"> </w:t>
      </w:r>
      <w:r>
        <w:rPr>
          <w:i/>
          <w:iCs/>
        </w:rPr>
        <w:t xml:space="preserve">30</w:t>
      </w:r>
      <w:r>
        <w:t xml:space="preserve">(62), 1-18. https://nulan.mdp.edu.ar/id/eprint/4109/1/FACES-30-62-bohoslavsky-cantamutto.pdf</w:t>
      </w:r>
    </w:p>
    <w:p>
      <w:pPr>
        <w:pStyle w:val="Compact"/>
        <w:numPr>
          <w:ilvl w:val="0"/>
          <w:numId w:val="1013"/>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 https://ecb.europa.eu/pub/pdf/scpops/ecbop185.bg.pdf</w:t>
      </w:r>
    </w:p>
    <w:p>
      <w:pPr>
        <w:pStyle w:val="Compact"/>
        <w:numPr>
          <w:ilvl w:val="0"/>
          <w:numId w:val="1013"/>
        </w:numPr>
      </w:pPr>
      <w:r>
        <w:t xml:space="preserve">Braun, O., y Joy, L. (1968). A model of economic stagnation: A case study of the Argentine economy.</w:t>
      </w:r>
      <w:r>
        <w:t xml:space="preserve"> </w:t>
      </w:r>
      <w:r>
        <w:rPr>
          <w:i/>
          <w:iCs/>
        </w:rPr>
        <w:t xml:space="preserve">The Economic Journal</w:t>
      </w:r>
      <w:r>
        <w:t xml:space="preserve">,</w:t>
      </w:r>
      <w:r>
        <w:t xml:space="preserve"> </w:t>
      </w:r>
      <w:r>
        <w:rPr>
          <w:i/>
          <w:iCs/>
        </w:rPr>
        <w:t xml:space="preserve">78</w:t>
      </w:r>
      <w:r>
        <w:t xml:space="preserve">(312), 868-887. https://doi.org/10.2307/2229183</w:t>
      </w:r>
    </w:p>
    <w:p>
      <w:pPr>
        <w:pStyle w:val="Compact"/>
        <w:numPr>
          <w:ilvl w:val="0"/>
          <w:numId w:val="1013"/>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 National Bureau of Economic Research. https://doi.org/10.3386/w9828</w:t>
      </w:r>
    </w:p>
    <w:p>
      <w:pPr>
        <w:pStyle w:val="Compact"/>
        <w:numPr>
          <w:ilvl w:val="0"/>
          <w:numId w:val="1013"/>
        </w:numPr>
      </w:pPr>
      <w:r>
        <w:t xml:space="preserve">Canova, F. (2005). The transmission of US shocks to Latin America.</w:t>
      </w:r>
      <w:r>
        <w:t xml:space="preserve"> </w:t>
      </w:r>
      <w:r>
        <w:rPr>
          <w:i/>
          <w:iCs/>
        </w:rPr>
        <w:t xml:space="preserve">Journal of Applied Econometrics</w:t>
      </w:r>
      <w:r>
        <w:t xml:space="preserve">,</w:t>
      </w:r>
      <w:r>
        <w:t xml:space="preserve"> </w:t>
      </w:r>
      <w:r>
        <w:rPr>
          <w:i/>
          <w:iCs/>
        </w:rPr>
        <w:t xml:space="preserve">20</w:t>
      </w:r>
      <w:r>
        <w:t xml:space="preserve">(2), 229-251. https://doi.org/10.1002/jae.837</w:t>
      </w:r>
    </w:p>
    <w:p>
      <w:pPr>
        <w:pStyle w:val="Compact"/>
        <w:numPr>
          <w:ilvl w:val="0"/>
          <w:numId w:val="1013"/>
        </w:numPr>
      </w:pPr>
      <w:r>
        <w:t xml:space="preserve">Cantamutto, F. J., y Féliz, M. (2021). Argentina entre la sostenibilidad de la deuda y la vida.</w:t>
      </w:r>
      <w:r>
        <w:t xml:space="preserve"> </w:t>
      </w:r>
      <w:r>
        <w:rPr>
          <w:i/>
          <w:iCs/>
        </w:rPr>
        <w:t xml:space="preserve">Revista Nuestramérica</w:t>
      </w:r>
      <w:r>
        <w:t xml:space="preserve">,</w:t>
      </w:r>
      <w:r>
        <w:t xml:space="preserve"> </w:t>
      </w:r>
      <w:r>
        <w:rPr>
          <w:i/>
          <w:iCs/>
        </w:rPr>
        <w:t xml:space="preserve">9</w:t>
      </w:r>
      <w:r>
        <w:t xml:space="preserve">(17), e6167845.</w:t>
      </w:r>
    </w:p>
    <w:p>
      <w:pPr>
        <w:pStyle w:val="Compact"/>
        <w:numPr>
          <w:ilvl w:val="0"/>
          <w:numId w:val="1013"/>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3"/>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No. 06/67). Fondo Monetario Internacional. https://doi.org/10.5089/9781451863277.001</w:t>
      </w:r>
    </w:p>
    <w:p>
      <w:pPr>
        <w:pStyle w:val="Compact"/>
        <w:numPr>
          <w:ilvl w:val="0"/>
          <w:numId w:val="1013"/>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 https://doi.org/10.18235/0011989</w:t>
      </w:r>
    </w:p>
    <w:p>
      <w:pPr>
        <w:pStyle w:val="Compact"/>
        <w:numPr>
          <w:ilvl w:val="0"/>
          <w:numId w:val="1013"/>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3"/>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3"/>
        </w:numPr>
      </w:pPr>
      <w:r>
        <w:t xml:space="preserve">Cushman, D. O., y Zha, T. (1997). Identifying monetary policy in a small open economy under flexible exchange rates.</w:t>
      </w:r>
      <w:r>
        <w:t xml:space="preserve"> </w:t>
      </w:r>
      <w:r>
        <w:rPr>
          <w:i/>
          <w:iCs/>
        </w:rPr>
        <w:t xml:space="preserve">Journal of Monetary Economics</w:t>
      </w:r>
      <w:r>
        <w:t xml:space="preserve">,</w:t>
      </w:r>
      <w:r>
        <w:t xml:space="preserve"> </w:t>
      </w:r>
      <w:r>
        <w:rPr>
          <w:i/>
          <w:iCs/>
        </w:rPr>
        <w:t xml:space="preserve">39</w:t>
      </w:r>
      <w:r>
        <w:t xml:space="preserve">(3), 433-448. https://doi.org/10.1016/S0304-3932(97)00029-9</w:t>
      </w:r>
    </w:p>
    <w:p>
      <w:pPr>
        <w:pStyle w:val="Compact"/>
        <w:numPr>
          <w:ilvl w:val="0"/>
          <w:numId w:val="1013"/>
        </w:numPr>
      </w:pPr>
      <w:r>
        <w:t xml:space="preserve">Damill, M., Frenkel, R., y Rapetti, M. (2015). Macroeconomic policy in Argentina during 2002-2013.</w:t>
      </w:r>
      <w:r>
        <w:t xml:space="preserve"> </w:t>
      </w:r>
      <w:r>
        <w:rPr>
          <w:i/>
          <w:iCs/>
        </w:rPr>
        <w:t xml:space="preserve">Comparative Economic Studies</w:t>
      </w:r>
      <w:r>
        <w:t xml:space="preserve">,</w:t>
      </w:r>
      <w:r>
        <w:t xml:space="preserve"> </w:t>
      </w:r>
      <w:r>
        <w:rPr>
          <w:i/>
          <w:iCs/>
        </w:rPr>
        <w:t xml:space="preserve">57</w:t>
      </w:r>
      <w:r>
        <w:t xml:space="preserve">(3), 369-400. https://doi.org/10.1057/ces.2015.3</w:t>
      </w:r>
    </w:p>
    <w:p>
      <w:pPr>
        <w:pStyle w:val="Compact"/>
        <w:numPr>
          <w:ilvl w:val="0"/>
          <w:numId w:val="1013"/>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3"/>
        </w:numPr>
      </w:pPr>
      <w:r>
        <w:t xml:space="preserve">Diamand, M. (1972). La estructura productiva desequilibrada argentina y el tipo de cambio.</w:t>
      </w:r>
      <w:r>
        <w:t xml:space="preserve"> </w:t>
      </w:r>
      <w:r>
        <w:rPr>
          <w:i/>
          <w:iCs/>
        </w:rPr>
        <w:t xml:space="preserve">Desarrollo Económico</w:t>
      </w:r>
      <w:r>
        <w:t xml:space="preserve">,</w:t>
      </w:r>
      <w:r>
        <w:t xml:space="preserve"> </w:t>
      </w:r>
      <w:r>
        <w:rPr>
          <w:i/>
          <w:iCs/>
        </w:rPr>
        <w:t xml:space="preserve">12</w:t>
      </w:r>
      <w:r>
        <w:t xml:space="preserve">(45), 25-47. https://doi.org/10.2307/3465991</w:t>
      </w:r>
    </w:p>
    <w:p>
      <w:pPr>
        <w:pStyle w:val="Compact"/>
        <w:numPr>
          <w:ilvl w:val="0"/>
          <w:numId w:val="1013"/>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3"/>
        </w:numPr>
      </w:pPr>
      <w:r>
        <w:t xml:space="preserve">Dickey, D. A., y Fuller, W. A. (1979). Distribution of the estimators for autoregressive time series with a unit root.</w:t>
      </w:r>
      <w:r>
        <w:t xml:space="preserve"> </w:t>
      </w:r>
      <w:r>
        <w:rPr>
          <w:i/>
          <w:iCs/>
        </w:rPr>
        <w:t xml:space="preserve">Journal of the American Statistical Association</w:t>
      </w:r>
      <w:r>
        <w:t xml:space="preserve">,</w:t>
      </w:r>
      <w:r>
        <w:t xml:space="preserve"> </w:t>
      </w:r>
      <w:r>
        <w:rPr>
          <w:i/>
          <w:iCs/>
        </w:rPr>
        <w:t xml:space="preserve">74</w:t>
      </w:r>
      <w:r>
        <w:t xml:space="preserve">(366), 427-431. https://doi.org/10.2307/2286348</w:t>
      </w:r>
    </w:p>
    <w:p>
      <w:pPr>
        <w:pStyle w:val="Compact"/>
        <w:numPr>
          <w:ilvl w:val="0"/>
          <w:numId w:val="1013"/>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pStyle w:val="Compact"/>
        <w:numPr>
          <w:ilvl w:val="0"/>
          <w:numId w:val="1013"/>
        </w:numPr>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 https://doi.org/10.2307/1912773</w:t>
      </w:r>
    </w:p>
    <w:p>
      <w:pPr>
        <w:pStyle w:val="Compact"/>
        <w:numPr>
          <w:ilvl w:val="0"/>
          <w:numId w:val="1013"/>
        </w:numPr>
      </w:pPr>
      <w:r>
        <w:t xml:space="preserve">Everaert, G., y Jansen, S. (2018). On the estimation of panel fiscal reaction functions: Heterogeneity or fiscal fatigue?</w:t>
      </w:r>
      <w:r>
        <w:t xml:space="preserve"> </w:t>
      </w:r>
      <w:r>
        <w:rPr>
          <w:i/>
          <w:iCs/>
        </w:rPr>
        <w:t xml:space="preserve">Economic Modelling</w:t>
      </w:r>
      <w:r>
        <w:t xml:space="preserve">,</w:t>
      </w:r>
      <w:r>
        <w:t xml:space="preserve"> </w:t>
      </w:r>
      <w:r>
        <w:rPr>
          <w:i/>
          <w:iCs/>
        </w:rPr>
        <w:t xml:space="preserve">70</w:t>
      </w:r>
      <w:r>
        <w:t xml:space="preserve">, 87-96. https://doi.org/10.1016/j.econmod.2017.10.014</w:t>
      </w:r>
    </w:p>
    <w:p>
      <w:pPr>
        <w:pStyle w:val="Compact"/>
        <w:numPr>
          <w:ilvl w:val="0"/>
          <w:numId w:val="1013"/>
        </w:numPr>
      </w:pPr>
      <w:r>
        <w:t xml:space="preserve">Favero, C., y Giavazzi, F. (2007).</w:t>
      </w:r>
      <w:r>
        <w:t xml:space="preserve"> </w:t>
      </w:r>
      <w:r>
        <w:rPr>
          <w:i/>
          <w:iCs/>
        </w:rPr>
        <w:t xml:space="preserve">Debt and the effects of fiscal policy</w:t>
      </w:r>
      <w:r>
        <w:t xml:space="preserve"> </w:t>
      </w:r>
      <w:r>
        <w:t xml:space="preserve">(NBER Working Paper No. 12822). National Bureau of Economic Research. https://doi.org/10.3386/w12822</w:t>
      </w:r>
    </w:p>
    <w:p>
      <w:pPr>
        <w:pStyle w:val="Compact"/>
        <w:numPr>
          <w:ilvl w:val="0"/>
          <w:numId w:val="1013"/>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3"/>
        </w:numPr>
      </w:pPr>
      <w:r>
        <w:t xml:space="preserve">Fondo Monetario Internacional [FMI]. (2021).</w:t>
      </w:r>
      <w:r>
        <w:t xml:space="preserve"> </w:t>
      </w:r>
      <w:r>
        <w:rPr>
          <w:i/>
          <w:iCs/>
        </w:rPr>
        <w:t xml:space="preserve">Review of the debt sustainability framework for market access countries</w:t>
      </w:r>
      <w:r>
        <w:t xml:space="preserve"> </w:t>
      </w:r>
      <w:r>
        <w:t xml:space="preserve">(IMF Policy Paper).</w:t>
      </w:r>
    </w:p>
    <w:p>
      <w:pPr>
        <w:pStyle w:val="Compact"/>
        <w:numPr>
          <w:ilvl w:val="0"/>
          <w:numId w:val="1013"/>
        </w:numPr>
      </w:pPr>
      <w:r>
        <w:t xml:space="preserve">Fondo Monetario Internacional [FMI].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3"/>
        </w:numPr>
      </w:pPr>
      <w:r>
        <w:t xml:space="preserve">Fondo Monetario Internacional [FMI]. (2025).</w:t>
      </w:r>
      <w:r>
        <w:t xml:space="preserve"> </w:t>
      </w:r>
      <w:r>
        <w:rPr>
          <w:i/>
          <w:iCs/>
        </w:rPr>
        <w:t xml:space="preserve">Argentina: Request for an extended arrangement under the Extended Fund Facility</w:t>
      </w:r>
      <w:r>
        <w:t xml:space="preserve"> </w:t>
      </w:r>
      <w:r>
        <w:t xml:space="preserve">(IMF Country Report No. 25/95).</w:t>
      </w:r>
    </w:p>
    <w:p>
      <w:pPr>
        <w:pStyle w:val="Compact"/>
        <w:numPr>
          <w:ilvl w:val="0"/>
          <w:numId w:val="1013"/>
        </w:numPr>
      </w:pPr>
      <w:r>
        <w:t xml:space="preserve">Fondo Monetario Internacional [FMI].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w:t>
      </w:r>
    </w:p>
    <w:p>
      <w:pPr>
        <w:pStyle w:val="Compact"/>
        <w:numPr>
          <w:ilvl w:val="0"/>
          <w:numId w:val="1013"/>
        </w:numPr>
      </w:pPr>
      <w:r>
        <w:t xml:space="preserve">Fondo Monetario Internacional [FMI] y Mecanismo Europeo de Estabilidad [ESM].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3"/>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w:t>
      </w:r>
      <w:r>
        <w:t xml:space="preserve"> </w:t>
      </w:r>
      <w:r>
        <w:rPr>
          <w:i/>
          <w:iCs/>
        </w:rPr>
        <w:t xml:space="preserve">123</w:t>
      </w:r>
      <w:r>
        <w:t xml:space="preserve">(566), F4-F30. https://doi.org/10.1111/ecoj.12010</w:t>
      </w:r>
    </w:p>
    <w:p>
      <w:pPr>
        <w:pStyle w:val="Compact"/>
        <w:numPr>
          <w:ilvl w:val="0"/>
          <w:numId w:val="1013"/>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 OECD Publishing.</w:t>
      </w:r>
    </w:p>
    <w:p>
      <w:pPr>
        <w:pStyle w:val="Compact"/>
        <w:numPr>
          <w:ilvl w:val="0"/>
          <w:numId w:val="1013"/>
        </w:numPr>
      </w:pPr>
      <w:r>
        <w:t xml:space="preserve">Gonçalves, S., y Kilian, L. (2004). Bootstrapping autoregressions with conditional heteroskedasticity of unknown form.</w:t>
      </w:r>
      <w:r>
        <w:t xml:space="preserve"> </w:t>
      </w:r>
      <w:r>
        <w:rPr>
          <w:i/>
          <w:iCs/>
        </w:rPr>
        <w:t xml:space="preserve">Journal of Econometrics</w:t>
      </w:r>
      <w:r>
        <w:t xml:space="preserve">,</w:t>
      </w:r>
      <w:r>
        <w:t xml:space="preserve"> </w:t>
      </w:r>
      <w:r>
        <w:rPr>
          <w:i/>
          <w:iCs/>
        </w:rPr>
        <w:t xml:space="preserve">123</w:t>
      </w:r>
      <w:r>
        <w:t xml:space="preserve">(1), 89-120. https://doi.org/10.1016/j.jeconom.2003.10.030</w:t>
      </w:r>
    </w:p>
    <w:p>
      <w:pPr>
        <w:pStyle w:val="Compact"/>
        <w:numPr>
          <w:ilvl w:val="0"/>
          <w:numId w:val="1013"/>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pStyle w:val="Compact"/>
        <w:numPr>
          <w:ilvl w:val="0"/>
          <w:numId w:val="1013"/>
        </w:numPr>
      </w:pPr>
      <w:r>
        <w:t xml:space="preserve">Hakkio, C. S., y Rush, M. (1991). Is the budget deficit</w:t>
      </w:r>
      <w:r>
        <w:t xml:space="preserve"> </w:t>
      </w:r>
      <w:r>
        <w:t xml:space="preserve">“too large?”</w:t>
      </w:r>
      <w:r>
        <w:t xml:space="preserve"> </w:t>
      </w:r>
      <w:r>
        <w:rPr>
          <w:i/>
          <w:iCs/>
        </w:rPr>
        <w:t xml:space="preserve">Economic Inquiry</w:t>
      </w:r>
      <w:r>
        <w:t xml:space="preserve">,</w:t>
      </w:r>
      <w:r>
        <w:t xml:space="preserve"> </w:t>
      </w:r>
      <w:r>
        <w:rPr>
          <w:i/>
          <w:iCs/>
        </w:rPr>
        <w:t xml:space="preserve">29</w:t>
      </w:r>
      <w:r>
        <w:t xml:space="preserve">(3), 429-445. https://doi.org/10.1111/j.1465-7295.1991.tb00837.x</w:t>
      </w:r>
    </w:p>
    <w:p>
      <w:pPr>
        <w:pStyle w:val="Compact"/>
        <w:numPr>
          <w:ilvl w:val="0"/>
          <w:numId w:val="1013"/>
        </w:numPr>
      </w:pPr>
      <w:r>
        <w:t xml:space="preserve">Hébert, B., y Schreger, J. (2017). The costs of sovereign default: Evidence from Argentina.</w:t>
      </w:r>
      <w:r>
        <w:t xml:space="preserve"> </w:t>
      </w:r>
      <w:r>
        <w:rPr>
          <w:i/>
          <w:iCs/>
        </w:rPr>
        <w:t xml:space="preserve">American Economic Review</w:t>
      </w:r>
      <w:r>
        <w:t xml:space="preserve">,</w:t>
      </w:r>
      <w:r>
        <w:t xml:space="preserve"> </w:t>
      </w:r>
      <w:r>
        <w:rPr>
          <w:i/>
          <w:iCs/>
        </w:rPr>
        <w:t xml:space="preserve">107</w:t>
      </w:r>
      <w:r>
        <w:t xml:space="preserve">(10), 3119-3145. https://doi.org/10.1257/aer.20151667</w:t>
      </w:r>
    </w:p>
    <w:p>
      <w:pPr>
        <w:pStyle w:val="Compact"/>
        <w:numPr>
          <w:ilvl w:val="0"/>
          <w:numId w:val="1013"/>
        </w:numPr>
      </w:pPr>
      <w:r>
        <w:t xml:space="preserve">Hodrick, R. J., y Prescott, E. C. (1997). Postwar U.S. business cycles: An empirical investigation.</w:t>
      </w:r>
      <w:r>
        <w:t xml:space="preserve"> </w:t>
      </w:r>
      <w:r>
        <w:rPr>
          <w:i/>
          <w:iCs/>
        </w:rPr>
        <w:t xml:space="preserve">Journal of Money, Credit and Banking</w:t>
      </w:r>
      <w:r>
        <w:t xml:space="preserve">,</w:t>
      </w:r>
      <w:r>
        <w:t xml:space="preserve"> </w:t>
      </w:r>
      <w:r>
        <w:rPr>
          <w:i/>
          <w:iCs/>
        </w:rPr>
        <w:t xml:space="preserve">29</w:t>
      </w:r>
      <w:r>
        <w:t xml:space="preserve">(1), 1-16. https://doi.org/10.2307/2953682</w:t>
      </w:r>
    </w:p>
    <w:p>
      <w:pPr>
        <w:pStyle w:val="Compact"/>
        <w:numPr>
          <w:ilvl w:val="0"/>
          <w:numId w:val="1013"/>
        </w:numPr>
      </w:pPr>
      <w:r>
        <w:t xml:space="preserve">Hosking, J. R. M. (1980). The multivariate portmanteau statistic.</w:t>
      </w:r>
      <w:r>
        <w:t xml:space="preserve"> </w:t>
      </w:r>
      <w:r>
        <w:rPr>
          <w:i/>
          <w:iCs/>
        </w:rPr>
        <w:t xml:space="preserve">Journal of the American Statistical Association</w:t>
      </w:r>
      <w:r>
        <w:t xml:space="preserve">,</w:t>
      </w:r>
      <w:r>
        <w:t xml:space="preserve"> </w:t>
      </w:r>
      <w:r>
        <w:rPr>
          <w:i/>
          <w:iCs/>
        </w:rPr>
        <w:t xml:space="preserve">75</w:t>
      </w:r>
      <w:r>
        <w:t xml:space="preserve">(371), 602-608. https://doi.org/10.1080/01621459.1980.10477520</w:t>
      </w:r>
    </w:p>
    <w:p>
      <w:pPr>
        <w:pStyle w:val="Compact"/>
        <w:numPr>
          <w:ilvl w:val="0"/>
          <w:numId w:val="1013"/>
        </w:numPr>
      </w:pPr>
      <w:r>
        <w:t xml:space="preserve">Infobae. (2026, 23 de septiembre).</w:t>
      </w:r>
      <w:r>
        <w:t xml:space="preserve"> </w:t>
      </w:r>
      <w:r>
        <w:rPr>
          <w:i/>
          <w:iCs/>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pStyle w:val="Compact"/>
        <w:numPr>
          <w:ilvl w:val="0"/>
          <w:numId w:val="1013"/>
        </w:numPr>
      </w:pPr>
      <w:r>
        <w:t xml:space="preserve">Ivanov, V., y Kilian, L. (2005). A practitioner’s guide to lag order selection for VAR impulse response analysis.</w:t>
      </w:r>
      <w:r>
        <w:t xml:space="preserve"> </w:t>
      </w:r>
      <w:r>
        <w:rPr>
          <w:i/>
          <w:iCs/>
        </w:rPr>
        <w:t xml:space="preserve">Studies in Nonlinear Dynamics and Econometrics</w:t>
      </w:r>
      <w:r>
        <w:t xml:space="preserve">,</w:t>
      </w:r>
      <w:r>
        <w:t xml:space="preserve"> </w:t>
      </w:r>
      <w:r>
        <w:rPr>
          <w:i/>
          <w:iCs/>
        </w:rPr>
        <w:t xml:space="preserve">9</w:t>
      </w:r>
      <w:r>
        <w:t xml:space="preserve">(1), artículo 2. https://doi.org/10.2202/1558-3708.1219</w:t>
      </w:r>
    </w:p>
    <w:p>
      <w:pPr>
        <w:pStyle w:val="Compact"/>
        <w:numPr>
          <w:ilvl w:val="0"/>
          <w:numId w:val="1013"/>
        </w:numPr>
      </w:pPr>
      <w:r>
        <w:t xml:space="preserve">Jarque, C. M., y Bera, A. K. (1987). A test for normality of observations and regression residuals.</w:t>
      </w:r>
      <w:r>
        <w:t xml:space="preserve"> </w:t>
      </w:r>
      <w:r>
        <w:rPr>
          <w:i/>
          <w:iCs/>
        </w:rPr>
        <w:t xml:space="preserve">International Statistical Review</w:t>
      </w:r>
      <w:r>
        <w:t xml:space="preserve">,</w:t>
      </w:r>
      <w:r>
        <w:t xml:space="preserve"> </w:t>
      </w:r>
      <w:r>
        <w:rPr>
          <w:i/>
          <w:iCs/>
        </w:rPr>
        <w:t xml:space="preserve">55</w:t>
      </w:r>
      <w:r>
        <w:t xml:space="preserve">(2), 163-172. https://doi.org/10.2307/1403192</w:t>
      </w:r>
    </w:p>
    <w:p>
      <w:pPr>
        <w:pStyle w:val="Compact"/>
        <w:numPr>
          <w:ilvl w:val="0"/>
          <w:numId w:val="1013"/>
        </w:numPr>
      </w:pPr>
      <w:r>
        <w:t xml:space="preserve">Johansen, S. (1991). Estimation and hypothesis testing of cointegration vectors in Gaussian vector autoregressive models.</w:t>
      </w:r>
      <w:r>
        <w:t xml:space="preserve"> </w:t>
      </w:r>
      <w:r>
        <w:rPr>
          <w:i/>
          <w:iCs/>
        </w:rPr>
        <w:t xml:space="preserve">Econometrica</w:t>
      </w:r>
      <w:r>
        <w:t xml:space="preserve">,</w:t>
      </w:r>
      <w:r>
        <w:t xml:space="preserve"> </w:t>
      </w:r>
      <w:r>
        <w:rPr>
          <w:i/>
          <w:iCs/>
        </w:rPr>
        <w:t xml:space="preserve">59</w:t>
      </w:r>
      <w:r>
        <w:t xml:space="preserve">(6), 1551-1580. https://doi.org/10.2307/2938278</w:t>
      </w:r>
    </w:p>
    <w:p>
      <w:pPr>
        <w:pStyle w:val="Compact"/>
        <w:numPr>
          <w:ilvl w:val="0"/>
          <w:numId w:val="1013"/>
        </w:numPr>
      </w:pPr>
      <w:r>
        <w:t xml:space="preserve">Johansen, S., Mosconi, R., y Nielsen, B. (2000). Cointegration analysis in the presence of structural breaks in the deterministic trend.</w:t>
      </w:r>
      <w:r>
        <w:t xml:space="preserve"> </w:t>
      </w:r>
      <w:r>
        <w:rPr>
          <w:i/>
          <w:iCs/>
        </w:rPr>
        <w:t xml:space="preserve">The Econometrics Journal</w:t>
      </w:r>
      <w:r>
        <w:t xml:space="preserve">,</w:t>
      </w:r>
      <w:r>
        <w:t xml:space="preserve"> </w:t>
      </w:r>
      <w:r>
        <w:rPr>
          <w:i/>
          <w:iCs/>
        </w:rPr>
        <w:t xml:space="preserve">3</w:t>
      </w:r>
      <w:r>
        <w:t xml:space="preserve">(2), 216-249. https://doi.org/10.1111/1368-423X.00047</w:t>
      </w:r>
    </w:p>
    <w:p>
      <w:pPr>
        <w:pStyle w:val="Compact"/>
        <w:numPr>
          <w:ilvl w:val="0"/>
          <w:numId w:val="1013"/>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https://doi.org/10.3386/w26297</w:t>
      </w:r>
    </w:p>
    <w:p>
      <w:pPr>
        <w:pStyle w:val="Compact"/>
        <w:numPr>
          <w:ilvl w:val="0"/>
          <w:numId w:val="1013"/>
        </w:numPr>
      </w:pPr>
      <w:r>
        <w:t xml:space="preserve">Kaminsky, G., Lizondo, S., y Reinhart, C. M. (1998). Leading indicators of currency crises.</w:t>
      </w:r>
      <w:r>
        <w:t xml:space="preserve"> </w:t>
      </w:r>
      <w:r>
        <w:rPr>
          <w:i/>
          <w:iCs/>
        </w:rPr>
        <w:t xml:space="preserve">IMF Staff Papers</w:t>
      </w:r>
      <w:r>
        <w:t xml:space="preserve">,</w:t>
      </w:r>
      <w:r>
        <w:t xml:space="preserve"> </w:t>
      </w:r>
      <w:r>
        <w:rPr>
          <w:i/>
          <w:iCs/>
        </w:rPr>
        <w:t xml:space="preserve">45</w:t>
      </w:r>
      <w:r>
        <w:t xml:space="preserve">(1), 1-48. https://doi.org/10.2307/3867328</w:t>
      </w:r>
    </w:p>
    <w:p>
      <w:pPr>
        <w:pStyle w:val="Compact"/>
        <w:numPr>
          <w:ilvl w:val="0"/>
          <w:numId w:val="1013"/>
        </w:numPr>
      </w:pPr>
      <w:r>
        <w:t xml:space="preserve">Kilian, L. (1998). Small-sample confidence intervals for impulse response functions.</w:t>
      </w:r>
      <w:r>
        <w:t xml:space="preserve"> </w:t>
      </w:r>
      <w:r>
        <w:rPr>
          <w:i/>
          <w:iCs/>
        </w:rPr>
        <w:t xml:space="preserve">Review of Economics and Statistics</w:t>
      </w:r>
      <w:r>
        <w:t xml:space="preserve">,</w:t>
      </w:r>
      <w:r>
        <w:t xml:space="preserve"> </w:t>
      </w:r>
      <w:r>
        <w:rPr>
          <w:i/>
          <w:iCs/>
        </w:rPr>
        <w:t xml:space="preserve">80</w:t>
      </w:r>
      <w:r>
        <w:t xml:space="preserve">(2), 218-230. https://doi.org/10.1162/003465398557465</w:t>
      </w:r>
    </w:p>
    <w:p>
      <w:pPr>
        <w:pStyle w:val="Compact"/>
        <w:numPr>
          <w:ilvl w:val="0"/>
          <w:numId w:val="1013"/>
        </w:numPr>
      </w:pPr>
      <w:r>
        <w:t xml:space="preserve">Kwiatkowski, D., Phillips, P. C. B., Schmidt, P., y Shin, Y. (1992). Testing the null hypothesis of stationarity against the alternative of a unit root.</w:t>
      </w:r>
      <w:r>
        <w:t xml:space="preserve"> </w:t>
      </w:r>
      <w:r>
        <w:rPr>
          <w:i/>
          <w:iCs/>
        </w:rPr>
        <w:t xml:space="preserve">Journal of Econometrics</w:t>
      </w:r>
      <w:r>
        <w:t xml:space="preserve">,</w:t>
      </w:r>
      <w:r>
        <w:t xml:space="preserve"> </w:t>
      </w:r>
      <w:r>
        <w:rPr>
          <w:i/>
          <w:iCs/>
        </w:rPr>
        <w:t xml:space="preserve">54</w:t>
      </w:r>
      <w:r>
        <w:t xml:space="preserve">(1-3), 159-178. https://doi.org/10.1016/0304-4076(92)90104-Y</w:t>
      </w:r>
    </w:p>
    <w:p>
      <w:pPr>
        <w:pStyle w:val="Compact"/>
        <w:numPr>
          <w:ilvl w:val="0"/>
          <w:numId w:val="1013"/>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w:t>
      </w:r>
      <w:r>
        <w:t xml:space="preserve">,</w:t>
      </w:r>
      <w:r>
        <w:t xml:space="preserve"> </w:t>
      </w:r>
      <w:r>
        <w:rPr>
          <w:i/>
          <w:iCs/>
        </w:rPr>
        <w:t xml:space="preserve">27</w:t>
      </w:r>
      <w:r>
        <w:t xml:space="preserve">(1), 129-147. https://doi.org/10.1016/0304-3932(91)90007-B</w:t>
      </w:r>
    </w:p>
    <w:p>
      <w:pPr>
        <w:pStyle w:val="Compact"/>
        <w:numPr>
          <w:ilvl w:val="0"/>
          <w:numId w:val="1013"/>
        </w:numPr>
      </w:pPr>
      <w:r>
        <w:t xml:space="preserve">Levy Yeyati, E., y Sturzenegger, F. (2023). A balance-sheet approach to fiscal sustainability.</w:t>
      </w:r>
      <w:r>
        <w:t xml:space="preserve"> </w:t>
      </w:r>
      <w:r>
        <w:rPr>
          <w:i/>
          <w:iCs/>
        </w:rPr>
        <w:t xml:space="preserve">Fiscal Studies</w:t>
      </w:r>
      <w:r>
        <w:t xml:space="preserve">,</w:t>
      </w:r>
      <w:r>
        <w:t xml:space="preserve"> </w:t>
      </w:r>
      <w:r>
        <w:rPr>
          <w:i/>
          <w:iCs/>
        </w:rPr>
        <w:t xml:space="preserve">44</w:t>
      </w:r>
      <w:r>
        <w:t xml:space="preserve">(1), 61-84. https://doi.org/10.1111/1475-5890.12319</w:t>
      </w:r>
    </w:p>
    <w:p>
      <w:pPr>
        <w:pStyle w:val="Compact"/>
        <w:numPr>
          <w:ilvl w:val="0"/>
          <w:numId w:val="1013"/>
        </w:numPr>
      </w:pPr>
      <w:r>
        <w:t xml:space="preserve">Ley 27.541 de Solidaridad Social y Reactivación Productiva en el Marco de la Emergencia Pública. (2019, 23 de diciembre). Boletín Oficial de la República Argentina.</w:t>
      </w:r>
    </w:p>
    <w:p>
      <w:pPr>
        <w:pStyle w:val="Compact"/>
        <w:numPr>
          <w:ilvl w:val="0"/>
          <w:numId w:val="1013"/>
        </w:numPr>
      </w:pPr>
      <w:r>
        <w:t xml:space="preserve">Ley 27.612 de Fortalecimiento de la Sostenibilidad de la Deuda Pública. (2021, 3 de marzo). Boletín Oficial de la República Argentina. https://www.argentina.gob.ar/normativa/nacional/norma-347532/texto</w:t>
      </w:r>
    </w:p>
    <w:p>
      <w:pPr>
        <w:pStyle w:val="Compact"/>
        <w:numPr>
          <w:ilvl w:val="0"/>
          <w:numId w:val="1013"/>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3"/>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Compact"/>
        <w:numPr>
          <w:ilvl w:val="0"/>
          <w:numId w:val="1013"/>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w:t>
      </w:r>
      <w:r>
        <w:t xml:space="preserve"> </w:t>
      </w:r>
      <w:r>
        <w:rPr>
          <w:i/>
          <w:iCs/>
        </w:rPr>
        <w:t xml:space="preserve">18</w:t>
      </w:r>
      <w:r>
        <w:t xml:space="preserve">(2), 133-177.</w:t>
      </w:r>
    </w:p>
    <w:p>
      <w:pPr>
        <w:pStyle w:val="Compact"/>
        <w:numPr>
          <w:ilvl w:val="0"/>
          <w:numId w:val="1013"/>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w:t>
      </w:r>
    </w:p>
    <w:p>
      <w:pPr>
        <w:pStyle w:val="Compact"/>
        <w:numPr>
          <w:ilvl w:val="0"/>
          <w:numId w:val="1013"/>
        </w:numPr>
      </w:pPr>
      <w:r>
        <w:t xml:space="preserve">Neumeyer, P. A., y Perri, F. (2005). Business cycles in emerging economies: The role of interest rates.</w:t>
      </w:r>
      <w:r>
        <w:t xml:space="preserve"> </w:t>
      </w:r>
      <w:r>
        <w:rPr>
          <w:i/>
          <w:iCs/>
        </w:rPr>
        <w:t xml:space="preserve">Journal of Monetary Economics</w:t>
      </w:r>
      <w:r>
        <w:t xml:space="preserve">,</w:t>
      </w:r>
      <w:r>
        <w:t xml:space="preserve"> </w:t>
      </w:r>
      <w:r>
        <w:rPr>
          <w:i/>
          <w:iCs/>
        </w:rPr>
        <w:t xml:space="preserve">52</w:t>
      </w:r>
      <w:r>
        <w:t xml:space="preserve">(2), 345-380. https://doi.org/10.1016/j.jmoneco.2004.04.011</w:t>
      </w:r>
    </w:p>
    <w:p>
      <w:pPr>
        <w:pStyle w:val="Compact"/>
        <w:numPr>
          <w:ilvl w:val="0"/>
          <w:numId w:val="1013"/>
        </w:numPr>
      </w:pPr>
      <w:r>
        <w:t xml:space="preserve">Oficina de Presupuesto del Congreso [OPC]. (2026).</w:t>
      </w:r>
      <w:r>
        <w:t xml:space="preserve"> </w:t>
      </w:r>
      <w:r>
        <w:rPr>
          <w:i/>
          <w:iCs/>
        </w:rPr>
        <w:t xml:space="preserve">Operaciones de deuda pública, julio 2026</w:t>
      </w:r>
      <w:r>
        <w:t xml:space="preserve">.</w:t>
      </w:r>
    </w:p>
    <w:p>
      <w:pPr>
        <w:pStyle w:val="Compact"/>
        <w:numPr>
          <w:ilvl w:val="0"/>
          <w:numId w:val="1013"/>
        </w:numPr>
      </w:pPr>
      <w:r>
        <w:t xml:space="preserve">Perron, P. (1989). The great crash, the oil price shock, and the unit root hypothesis.</w:t>
      </w:r>
      <w:r>
        <w:t xml:space="preserve"> </w:t>
      </w:r>
      <w:r>
        <w:rPr>
          <w:i/>
          <w:iCs/>
        </w:rPr>
        <w:t xml:space="preserve">Econometrica</w:t>
      </w:r>
      <w:r>
        <w:t xml:space="preserve">,</w:t>
      </w:r>
      <w:r>
        <w:t xml:space="preserve"> </w:t>
      </w:r>
      <w:r>
        <w:rPr>
          <w:i/>
          <w:iCs/>
        </w:rPr>
        <w:t xml:space="preserve">57</w:t>
      </w:r>
      <w:r>
        <w:t xml:space="preserve">(6), 1361-1401. https://doi.org/10.2307/1913712</w:t>
      </w:r>
    </w:p>
    <w:p>
      <w:pPr>
        <w:pStyle w:val="Compact"/>
        <w:numPr>
          <w:ilvl w:val="0"/>
          <w:numId w:val="1013"/>
        </w:numPr>
      </w:pPr>
      <w:r>
        <w:t xml:space="preserve">Pesaran, M. H., y Smith, R. (1995). Estimating long-run relationships from dynamic heterogeneous panels.</w:t>
      </w:r>
      <w:r>
        <w:t xml:space="preserve"> </w:t>
      </w:r>
      <w:r>
        <w:rPr>
          <w:i/>
          <w:iCs/>
        </w:rPr>
        <w:t xml:space="preserve">Journal of Econometrics</w:t>
      </w:r>
      <w:r>
        <w:t xml:space="preserve">,</w:t>
      </w:r>
      <w:r>
        <w:t xml:space="preserve"> </w:t>
      </w:r>
      <w:r>
        <w:rPr>
          <w:i/>
          <w:iCs/>
        </w:rPr>
        <w:t xml:space="preserve">68</w:t>
      </w:r>
      <w:r>
        <w:t xml:space="preserve">(1), 79-113. https://doi.org/10.1016/0304-4076(94)01644-F</w:t>
      </w:r>
    </w:p>
    <w:p>
      <w:pPr>
        <w:pStyle w:val="Compact"/>
        <w:numPr>
          <w:ilvl w:val="0"/>
          <w:numId w:val="1013"/>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3"/>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 https://www.mfp.econo.unlp.edu.ar/wp-content/uploads/2020/06/DocTrab36.pdf</w:t>
      </w:r>
    </w:p>
    <w:p>
      <w:pPr>
        <w:pStyle w:val="Compact"/>
        <w:numPr>
          <w:ilvl w:val="0"/>
          <w:numId w:val="1013"/>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3"/>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3"/>
        </w:numPr>
      </w:pPr>
      <w:r>
        <w:t xml:space="preserve">Reinhart, C. M., Rogoff, K. S., y Savastano, M. A. (2003). Debt intolerance.</w:t>
      </w:r>
      <w:r>
        <w:t xml:space="preserve"> </w:t>
      </w:r>
      <w:r>
        <w:rPr>
          <w:i/>
          <w:iCs/>
        </w:rPr>
        <w:t xml:space="preserve">Brookings Papers on Economic Activity</w:t>
      </w:r>
      <w:r>
        <w:t xml:space="preserve">,</w:t>
      </w:r>
      <w:r>
        <w:t xml:space="preserve"> </w:t>
      </w:r>
      <w:r>
        <w:rPr>
          <w:i/>
          <w:iCs/>
        </w:rPr>
        <w:t xml:space="preserve">2003</w:t>
      </w:r>
      <w:r>
        <w:t xml:space="preserve">(1), 1-74. https://doi.org/10.1353/eca.2003.0018</w:t>
      </w:r>
    </w:p>
    <w:p>
      <w:pPr>
        <w:pStyle w:val="Compact"/>
        <w:numPr>
          <w:ilvl w:val="0"/>
          <w:numId w:val="1013"/>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3"/>
        </w:numPr>
      </w:pPr>
      <w:r>
        <w:t xml:space="preserve">Rey, H. (2013).</w:t>
      </w:r>
      <w:r>
        <w:t xml:space="preserve"> </w:t>
      </w:r>
      <w:r>
        <w:rPr>
          <w:i/>
          <w:iCs/>
        </w:rPr>
        <w:t xml:space="preserve">Dilemma not trilemma: The global financial cycle and monetary policy independence</w:t>
      </w:r>
      <w:r>
        <w:t xml:space="preserve"> </w:t>
      </w:r>
      <w:r>
        <w:t xml:space="preserve">[Ponencia]. Economic Policy Symposium, Federal Reserve Bank of Kansas City, Jackson Hole, Wyoming, Estados Unidos.</w:t>
      </w:r>
    </w:p>
    <w:p>
      <w:pPr>
        <w:pStyle w:val="Compact"/>
        <w:numPr>
          <w:ilvl w:val="0"/>
          <w:numId w:val="1013"/>
        </w:numPr>
      </w:pPr>
      <w:r>
        <w:t xml:space="preserve">Rigobon, R. (2003). Identification through heteroskedasticity.</w:t>
      </w:r>
      <w:r>
        <w:t xml:space="preserve"> </w:t>
      </w:r>
      <w:r>
        <w:rPr>
          <w:i/>
          <w:iCs/>
        </w:rPr>
        <w:t xml:space="preserve">The Review of Economics and Statistics</w:t>
      </w:r>
      <w:r>
        <w:t xml:space="preserve">,</w:t>
      </w:r>
      <w:r>
        <w:t xml:space="preserve"> </w:t>
      </w:r>
      <w:r>
        <w:rPr>
          <w:i/>
          <w:iCs/>
        </w:rPr>
        <w:t xml:space="preserve">85</w:t>
      </w:r>
      <w:r>
        <w:t xml:space="preserve">(4), 777-792. https://doi.org/10.1162/003465303772815727</w:t>
      </w:r>
    </w:p>
    <w:p>
      <w:pPr>
        <w:pStyle w:val="Compact"/>
        <w:numPr>
          <w:ilvl w:val="0"/>
          <w:numId w:val="1013"/>
        </w:numPr>
      </w:pPr>
      <w:r>
        <w:t xml:space="preserve">Rigobon, R., y Sack, B. (2004). The impact of monetary policy on asset prices.</w:t>
      </w:r>
      <w:r>
        <w:t xml:space="preserve"> </w:t>
      </w:r>
      <w:r>
        <w:rPr>
          <w:i/>
          <w:iCs/>
        </w:rPr>
        <w:t xml:space="preserve">Journal of Monetary Economics</w:t>
      </w:r>
      <w:r>
        <w:t xml:space="preserve">,</w:t>
      </w:r>
      <w:r>
        <w:t xml:space="preserve"> </w:t>
      </w:r>
      <w:r>
        <w:rPr>
          <w:i/>
          <w:iCs/>
        </w:rPr>
        <w:t xml:space="preserve">51</w:t>
      </w:r>
      <w:r>
        <w:t xml:space="preserve">(8), 1553-1575. https://doi.org/10.1016/j.jmoneco.2004.02.004</w:t>
      </w:r>
    </w:p>
    <w:p>
      <w:pPr>
        <w:pStyle w:val="Compact"/>
        <w:numPr>
          <w:ilvl w:val="0"/>
          <w:numId w:val="1013"/>
        </w:numPr>
      </w:pPr>
      <w:r>
        <w:t xml:space="preserve">Rodríguez, A. (2023). Financiamiento y sostenibilidad de la deuda pública: El caso de la economía argentina (2001-2022).</w:t>
      </w:r>
      <w:r>
        <w:t xml:space="preserve"> </w:t>
      </w:r>
      <w:r>
        <w:rPr>
          <w:i/>
          <w:iCs/>
        </w:rPr>
        <w:t xml:space="preserve">Ciencias Económicas</w:t>
      </w:r>
      <w:r>
        <w:t xml:space="preserve">,</w:t>
      </w:r>
      <w:r>
        <w:t xml:space="preserve"> </w:t>
      </w:r>
      <w:r>
        <w:rPr>
          <w:i/>
          <w:iCs/>
        </w:rPr>
        <w:t xml:space="preserve">2</w:t>
      </w:r>
      <w:r>
        <w:t xml:space="preserve">(20), e0032. https://doi.org/10.14409/rce.2023.20.e0032</w:t>
      </w:r>
    </w:p>
    <w:p>
      <w:pPr>
        <w:pStyle w:val="Compact"/>
        <w:numPr>
          <w:ilvl w:val="0"/>
          <w:numId w:val="1013"/>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3"/>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3"/>
        </w:numPr>
      </w:pPr>
      <w:r>
        <w:t xml:space="preserve">Sargent, T. J., y Wallace, N. (1981). Some unpleasant monetarist arithmetic.</w:t>
      </w:r>
      <w:r>
        <w:t xml:space="preserve"> </w:t>
      </w:r>
      <w:r>
        <w:rPr>
          <w:i/>
          <w:iCs/>
        </w:rPr>
        <w:t xml:space="preserve">Federal Reserve Bank of Minneapolis Quarterly Review</w:t>
      </w:r>
      <w:r>
        <w:t xml:space="preserve">,</w:t>
      </w:r>
      <w:r>
        <w:t xml:space="preserve"> </w:t>
      </w:r>
      <w:r>
        <w:rPr>
          <w:i/>
          <w:iCs/>
        </w:rPr>
        <w:t xml:space="preserve">5</w:t>
      </w:r>
      <w:r>
        <w:t xml:space="preserve">(3), 1-17.</w:t>
      </w:r>
    </w:p>
    <w:p>
      <w:pPr>
        <w:pStyle w:val="Compact"/>
        <w:numPr>
          <w:ilvl w:val="0"/>
          <w:numId w:val="1013"/>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3"/>
        </w:numPr>
      </w:pPr>
      <w:r>
        <w:t xml:space="preserve">Sims, C. A., Stock, J. H., y Watson, M. W. (1990). Inference in linear time series models with some unit roots.</w:t>
      </w:r>
      <w:r>
        <w:t xml:space="preserve"> </w:t>
      </w:r>
      <w:r>
        <w:rPr>
          <w:i/>
          <w:iCs/>
        </w:rPr>
        <w:t xml:space="preserve">Econometrica</w:t>
      </w:r>
      <w:r>
        <w:t xml:space="preserve">,</w:t>
      </w:r>
      <w:r>
        <w:t xml:space="preserve"> </w:t>
      </w:r>
      <w:r>
        <w:rPr>
          <w:i/>
          <w:iCs/>
        </w:rPr>
        <w:t xml:space="preserve">58</w:t>
      </w:r>
      <w:r>
        <w:t xml:space="preserve">(1), 113-144. https://doi.org/10.2307/2938337</w:t>
      </w:r>
    </w:p>
    <w:p>
      <w:pPr>
        <w:pStyle w:val="Compact"/>
        <w:numPr>
          <w:ilvl w:val="0"/>
          <w:numId w:val="1013"/>
        </w:numPr>
      </w:pPr>
      <w:r>
        <w:t xml:space="preserve">Thirlwall, A. P. (1979). The balance of payments constraint as an explanation of international growth rate differences.</w:t>
      </w:r>
      <w:r>
        <w:t xml:space="preserve"> </w:t>
      </w:r>
      <w:r>
        <w:rPr>
          <w:i/>
          <w:iCs/>
        </w:rPr>
        <w:t xml:space="preserve">Banca Nazionale del Lavoro Quarterly Review</w:t>
      </w:r>
      <w:r>
        <w:t xml:space="preserve">,</w:t>
      </w:r>
      <w:r>
        <w:t xml:space="preserve"> </w:t>
      </w:r>
      <w:r>
        <w:rPr>
          <w:i/>
          <w:iCs/>
        </w:rPr>
        <w:t xml:space="preserve">32</w:t>
      </w:r>
      <w:r>
        <w:t xml:space="preserve">(128), 45-53.</w:t>
      </w:r>
    </w:p>
    <w:p>
      <w:pPr>
        <w:pStyle w:val="Compact"/>
        <w:numPr>
          <w:ilvl w:val="0"/>
          <w:numId w:val="1013"/>
        </w:numPr>
      </w:pPr>
      <w:r>
        <w:t xml:space="preserve">Trehan, B., y Walsh, C. E. (1991). Testing intertemporal budget constraints: Theory and applications to U.S. federal budget and current account deficits.</w:t>
      </w:r>
      <w:r>
        <w:t xml:space="preserve"> </w:t>
      </w:r>
      <w:r>
        <w:rPr>
          <w:i/>
          <w:iCs/>
        </w:rPr>
        <w:t xml:space="preserve">Journal of Money, Credit and Banking</w:t>
      </w:r>
      <w:r>
        <w:t xml:space="preserve">,</w:t>
      </w:r>
      <w:r>
        <w:t xml:space="preserve"> </w:t>
      </w:r>
      <w:r>
        <w:rPr>
          <w:i/>
          <w:iCs/>
        </w:rPr>
        <w:t xml:space="preserve">23</w:t>
      </w:r>
      <w:r>
        <w:t xml:space="preserve">(2), 206-223. https://doi.org/10.2307/1992777</w:t>
      </w:r>
    </w:p>
    <w:p>
      <w:pPr>
        <w:pStyle w:val="Compact"/>
        <w:numPr>
          <w:ilvl w:val="0"/>
          <w:numId w:val="1013"/>
        </w:numPr>
      </w:pPr>
      <w:r>
        <w:t xml:space="preserve">Uribe, M., y Yue, V. Z. (2006). Country spreads and emerging countries: Who drives whom?</w:t>
      </w:r>
      <w:r>
        <w:t xml:space="preserve"> </w:t>
      </w:r>
      <w:r>
        <w:rPr>
          <w:i/>
          <w:iCs/>
        </w:rPr>
        <w:t xml:space="preserve">Journal of International Economics</w:t>
      </w:r>
      <w:r>
        <w:t xml:space="preserve">,</w:t>
      </w:r>
      <w:r>
        <w:t xml:space="preserve"> </w:t>
      </w:r>
      <w:r>
        <w:rPr>
          <w:i/>
          <w:iCs/>
        </w:rPr>
        <w:t xml:space="preserve">69</w:t>
      </w:r>
      <w:r>
        <w:t xml:space="preserve">(1), 6-36. https://doi.org/10.1016/j.jinteco.2005.04.003</w:t>
      </w:r>
    </w:p>
    <w:p>
      <w:pPr>
        <w:pStyle w:val="Compact"/>
        <w:numPr>
          <w:ilvl w:val="0"/>
          <w:numId w:val="1013"/>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w:t>
      </w:r>
      <w:r>
        <w:t xml:space="preserve"> </w:t>
      </w:r>
      <w:r>
        <w:rPr>
          <w:i/>
          <w:iCs/>
        </w:rPr>
        <w:t xml:space="preserve">9</w:t>
      </w:r>
      <w:r>
        <w:t xml:space="preserve">(número especial 1), 103-124. https://doi.org/10.2478/jcbtp-2020-0025</w:t>
      </w:r>
    </w:p>
    <w:p>
      <w:pPr>
        <w:pStyle w:val="Compact"/>
        <w:numPr>
          <w:ilvl w:val="0"/>
          <w:numId w:val="1013"/>
        </w:numPr>
      </w:pPr>
      <w:r>
        <w:t xml:space="preserve">Wu, J. C., y Xia, F. D. (2016). Measuring the macroeconomic impact of monetary policy at the zero lower bound.</w:t>
      </w:r>
      <w:r>
        <w:t xml:space="preserve"> </w:t>
      </w:r>
      <w:r>
        <w:rPr>
          <w:i/>
          <w:iCs/>
        </w:rPr>
        <w:t xml:space="preserve">Journal of Money, Credit and Banking</w:t>
      </w:r>
      <w:r>
        <w:t xml:space="preserve">,</w:t>
      </w:r>
      <w:r>
        <w:t xml:space="preserve"> </w:t>
      </w:r>
      <w:r>
        <w:rPr>
          <w:i/>
          <w:iCs/>
        </w:rPr>
        <w:t xml:space="preserve">48</w:t>
      </w:r>
      <w:r>
        <w:t xml:space="preserve">(2-3), 253-291. https://doi.org/10.1111/jmcb.12300</w:t>
      </w:r>
    </w:p>
    <w:p>
      <w:pPr>
        <w:pStyle w:val="Compact"/>
        <w:numPr>
          <w:ilvl w:val="0"/>
          <w:numId w:val="1013"/>
        </w:numPr>
      </w:pPr>
      <w:r>
        <w:t xml:space="preserve">Zivot, E., y Andrews, D. W. K. (1992). Further evidence on the great crash, the oil-price shock, and the unit-root hypothesis.</w:t>
      </w:r>
      <w:r>
        <w:t xml:space="preserve"> </w:t>
      </w:r>
      <w:r>
        <w:rPr>
          <w:i/>
          <w:iCs/>
        </w:rPr>
        <w:t xml:space="preserve">Journal of Business and Economic Statistics</w:t>
      </w:r>
      <w:r>
        <w:t xml:space="preserve">,</w:t>
      </w:r>
      <w:r>
        <w:t xml:space="preserve"> </w:t>
      </w:r>
      <w:r>
        <w:rPr>
          <w:i/>
          <w:iCs/>
        </w:rPr>
        <w:t xml:space="preserve">10</w:t>
      </w:r>
      <w:r>
        <w:t xml:space="preserve">(3), 251-270. https://doi.org/10.1080/07350015.1992.10509904</w:t>
      </w:r>
    </w:p>
    <w:p>
      <w:r>
        <w:pict>
          <v:rect style="width:0;height:1.5pt" o:hralign="center" o:hrstd="t" o:hr="t"/>
        </w:pict>
      </w:r>
    </w:p>
    <w:bookmarkEnd w:id="124"/>
    <w:bookmarkStart w:id="130" w:name="X94fa00cbba88d80644c76c995e4abd03512405e"/>
    <w:p>
      <w:pPr>
        <w:pStyle w:val="Heading1"/>
      </w:pPr>
      <w:r>
        <w:t xml:space="preserve">Notas para el grupo (no forman parte del texto de la tesis)</w:t>
      </w:r>
    </w:p>
    <w:bookmarkStart w:id="125" w:name="Xd257d1bb1a88d9ab0c41730ebfc4ce881e14dfa"/>
    <w:p>
      <w:pPr>
        <w:pStyle w:val="Heading2"/>
      </w:pPr>
      <w:r>
        <w:t xml:space="preserve">Nota 1. Criterio de H1b (actualizado el 11/10/2026)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w:t>
      </w:r>
    </w:p>
    <w:p>
      <w:pPr>
        <w:pStyle w:val="BodyText"/>
      </w:pPr>
      <w:r>
        <w:rPr>
          <w:b/>
          <w:bCs/>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(3% a mediano plazo) queda como robustez.</w:t>
      </w:r>
    </w:p>
    <w:p>
      <w:pPr>
        <w:pStyle w:val="BodyText"/>
      </w:pPr>
      <w:r>
        <w:rPr>
          <w:b/>
          <w:bCs/>
        </w:rPr>
        <w:t xml:space="preserve">Cómo se contrasta.</w:t>
      </w:r>
      <w:r>
        <w:t xml:space="preserve"> </w:t>
      </w:r>
      <w:r>
        <w:t xml:space="preserve">H1b se considera respaldada si el límite inferior del intervalo de 90% del</w:t>
      </w:r>
      <w:r>
        <w:t xml:space="preserve"> </w:t>
      </w:r>
      <w:r>
        <w:rPr>
          <w:i/>
          <w:iCs/>
        </w:rPr>
        <w:t xml:space="preserve">bootstrap</w:t>
      </w:r>
      <w:r>
        <w:t xml:space="preserve"> </w:t>
      </w:r>
      <w:r>
        <w:t xml:space="preserve">supera el umbral (contraste unilateral al 5%); se informa además el límite de 2,5% (corrección de Bonferroni por los dos horizontes).</w:t>
      </w:r>
    </w:p>
    <w:p>
      <w:pPr>
        <w:pStyle w:val="BodyText"/>
      </w:pPr>
      <w:r>
        <w:rPr>
          <w:b/>
          <w:bCs/>
        </w:rPr>
        <w:t xml:space="preserve">Condiciones de comparabilidad.</w:t>
      </w:r>
      <w:r>
        <w:t xml:space="preserve"> </w:t>
      </w:r>
      <w:r>
        <w:t xml:space="preserve">El escenario base reproduce los senderos del FMI, incluida la inflación relativa (la valuación de la deuda en moneda extranjera por la depreciación del escenario); la identidad reproduce la senda de deuda del FMI con un desvío máximo de 0,1 puntos. Se informan también la deuda bruta, la deuda solo del Tesoro y un punto de partida igual a la deuda del FMI.</w:t>
      </w:r>
    </w:p>
    <w:bookmarkEnd w:id="125"/>
    <w:bookmarkStart w:id="126" w:name="X516bcb10eb65bb639c4b0de9683673a51efbad9"/>
    <w:p>
      <w:pPr>
        <w:pStyle w:val="Heading2"/>
      </w:pPr>
      <w:r>
        <w:t xml:space="preserve">Nota 2. Tamaño del shock de la FED (decidido el 11/10/2026)</w:t>
      </w:r>
    </w:p>
    <w:p>
      <w:pPr>
        <w:pStyle w:val="FirstParagraph"/>
      </w:pPr>
      <w:r>
        <w:t xml:space="preserve">Los +100 puntos básicos de la versión anterior no estaban justificados y se sacaron. Se usan dos tamaños, los dos con fundamento: un desvío estándar de la variación trimestral de la tasa de política de la FED en 1996-2025 (0,50 puntos), que es la convención de la literatura de VAR, y una repetición del ciclo de subas de 2022-2023 (5,25 puntos en ocho trimestres), que es el episodio histórico más reciente. El primero no tiene un efecto distinguible y el segundo sí (Capítulo 6).</w:t>
      </w:r>
    </w:p>
    <w:bookmarkEnd w:id="126"/>
    <w:bookmarkStart w:id="127" w:name="Xdc62a78a0129496ecd1fbc5ea8002834bc8b4bf"/>
    <w:p>
      <w:pPr>
        <w:pStyle w:val="Heading2"/>
      </w:pPr>
      <w:r>
        <w:t xml:space="preserve">Nota 3. Cambios respecto de la versión anterior del texto</w:t>
      </w:r>
    </w:p>
    <w:p>
      <w:pPr>
        <w:pStyle w:val="FirstParagraph"/>
      </w:pPr>
      <w:r>
        <w:rPr>
          <w:b/>
          <w:bCs/>
        </w:rPr>
        <w:t xml:space="preserve">Introducción:</w:t>
      </w:r>
    </w:p>
    <w:p>
      <w:pPr>
        <w:pStyle w:val="Compact"/>
        <w:numPr>
          <w:ilvl w:val="0"/>
          <w:numId w:val="1014"/>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14"/>
        </w:numPr>
      </w:pPr>
      <w:r>
        <w:rPr>
          <w:b/>
          <w:bCs/>
        </w:rPr>
        <w:t xml:space="preserve">Citas corregidas:</w:t>
      </w:r>
    </w:p>
    <w:p>
      <w:pPr>
        <w:pStyle w:val="Compact"/>
        <w:numPr>
          <w:ilvl w:val="1"/>
          <w:numId w:val="1015"/>
        </w:numPr>
      </w:pPr>
      <w:r>
        <w:t xml:space="preserve">Reinhart et al. (2003) se usa ahora para la intolerancia a la deuda.</w:t>
      </w:r>
    </w:p>
    <w:p>
      <w:pPr>
        <w:pStyle w:val="Compact"/>
        <w:numPr>
          <w:ilvl w:val="1"/>
          <w:numId w:val="1015"/>
        </w:numPr>
      </w:pPr>
      <w:r>
        <w:t xml:space="preserve">Mendoza y Oviedo (2009), para la incertidumbre y el límite de deuda.</w:t>
      </w:r>
    </w:p>
    <w:p>
      <w:pPr>
        <w:pStyle w:val="Compact"/>
        <w:numPr>
          <w:ilvl w:val="1"/>
          <w:numId w:val="1015"/>
        </w:numPr>
      </w:pPr>
      <w:r>
        <w:t xml:space="preserve">La fatiga fiscal pasa a Ghosh et al. (2013).</w:t>
      </w:r>
    </w:p>
    <w:p>
      <w:pPr>
        <w:pStyle w:val="Compact"/>
        <w:numPr>
          <w:ilvl w:val="1"/>
          <w:numId w:val="1015"/>
        </w:numPr>
      </w:pPr>
      <w:r>
        <w:t xml:space="preserve">Ando et al. queda con año 2025.</w:t>
      </w:r>
    </w:p>
    <w:p>
      <w:pPr>
        <w:pStyle w:val="Compact"/>
        <w:numPr>
          <w:ilvl w:val="1"/>
          <w:numId w:val="1015"/>
        </w:numPr>
      </w:pPr>
      <w:r>
        <w:t xml:space="preserve">Se sacan Garud y la tesis propia.</w:t>
      </w:r>
    </w:p>
    <w:p>
      <w:pPr>
        <w:pStyle w:val="Compact"/>
        <w:numPr>
          <w:ilvl w:val="0"/>
          <w:numId w:val="1014"/>
        </w:numPr>
      </w:pPr>
      <w:r>
        <w:rPr>
          <w:b/>
          <w:bCs/>
        </w:rPr>
        <w:t xml:space="preserve">Canal cuasifiscal del shock de la FED:</w:t>
      </w:r>
      <w:r>
        <w:t xml:space="preserve"> </w:t>
      </w:r>
      <w:r>
        <w:t xml:space="preserve">se redacta en pasado.</w:t>
      </w:r>
    </w:p>
    <w:p>
      <w:pPr>
        <w:pStyle w:val="Compact"/>
        <w:numPr>
          <w:ilvl w:val="0"/>
          <w:numId w:val="1014"/>
        </w:numPr>
      </w:pPr>
      <w:r>
        <w:rPr>
          <w:b/>
          <w:bCs/>
        </w:rPr>
        <w:t xml:space="preserve">Pregunta e hipótesis:</w:t>
      </w:r>
      <w:r>
        <w:t xml:space="preserve"> </w:t>
      </w:r>
      <w:r>
        <w:t xml:space="preserve">se acorta la pregunta, se agregan seis objetivos específicos, y H1a mantiene su concepto central con un criterio de contraste explícito (Capítulo 4).</w:t>
      </w:r>
    </w:p>
    <w:p>
      <w:pPr>
        <w:pStyle w:val="Compact"/>
        <w:numPr>
          <w:ilvl w:val="0"/>
          <w:numId w:val="1014"/>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16"/>
        </w:numPr>
      </w:pPr>
      <w:r>
        <w:rPr>
          <w:b/>
          <w:bCs/>
        </w:rPr>
        <w:t xml:space="preserve">Fusión con el texto LaTeX:</w:t>
      </w:r>
      <w:r>
        <w:t xml:space="preserve"> </w:t>
      </w:r>
      <w:r>
        <w:t xml:space="preserve">se fusionaron los ocho ejes del LaTeX con la versión anterior, incluido el párrafo sobre Everaert y Jansen.</w:t>
      </w:r>
    </w:p>
    <w:p>
      <w:pPr>
        <w:pStyle w:val="Compact"/>
        <w:numPr>
          <w:ilvl w:val="0"/>
          <w:numId w:val="1016"/>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16"/>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17"/>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17"/>
        </w:numPr>
      </w:pPr>
      <w:r>
        <w:rPr>
          <w:b/>
          <w:bCs/>
        </w:rPr>
        <w:t xml:space="preserve">Párrafo cortado:</w:t>
      </w:r>
      <w:r>
        <w:t xml:space="preserve"> </w:t>
      </w:r>
      <w:r>
        <w:t xml:space="preserve">el párrafo sobre la subordinación del BCRA, que estaba cortado, se completó y quedó marcado para verificar.</w:t>
      </w:r>
    </w:p>
    <w:bookmarkEnd w:id="127"/>
    <w:bookmarkStart w:id="128" w:name="X5356dde57f307558a0c9819d9bda278c8d20a6f"/>
    <w:p>
      <w:pPr>
        <w:pStyle w:val="Heading2"/>
      </w:pPr>
      <w:r>
        <w:t xml:space="preserve">Nota 3b. Qué se hizo con cada comentario de Pablo y cada punto de la propuesta metodológica</w:t>
      </w:r>
    </w:p>
    <w:p>
      <w:pPr>
        <w:pStyle w:val="FirstParagraph"/>
      </w:pPr>
      <w:r>
        <w:rPr>
          <w:b/>
          <w:bCs/>
        </w:rPr>
        <w:t xml:space="preserve">Comentarios de Pablo sobre Introducción y Antecedentes (PDF anotado del 15/9/2026)</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Comentario</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Dar citas para el patrón histórico de crisis de deuda</w:t>
            </w:r>
          </w:p>
        </w:tc>
        <w:tc>
          <w:tcPr/>
          <w:p>
            <w:pPr>
              <w:pStyle w:val="Compact"/>
            </w:pPr>
            <w:r>
              <w:rPr>
                <w:rFonts w:ascii="Calibri" w:hAnsi="Calibri"/>
                <w:sz w:val="20"/>
              </w:rPr>
              <w:t xml:space="preserve">Comín Comín (2014), Reinhart y Rogoff (2009), Díaz Alejandro (1970), della Paolera y Taylor (2001), Rapoport (2020)</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La frase sobre que la solvencia no depende solo del saldo fiscal necesita cita</w:t>
            </w:r>
          </w:p>
        </w:tc>
        <w:tc>
          <w:tcPr/>
          <w:p>
            <w:pPr>
              <w:pStyle w:val="Compact"/>
            </w:pPr>
            <w:r>
              <w:rPr>
                <w:rFonts w:ascii="Calibri" w:hAnsi="Calibri"/>
                <w:sz w:val="20"/>
              </w:rPr>
              <w:t xml:space="preserve">Ando et al. (2025), Calvo et al. (2003), Levy Yeyati y Sturzenegger (2023)</w:t>
            </w:r>
          </w:p>
        </w:tc>
        <w:tc>
          <w:tcPr/>
          <w:p>
            <w:pPr>
              <w:pStyle w:val="Compact"/>
            </w:pPr>
            <w:r>
              <w:rPr>
                <w:rFonts w:ascii="Calibri" w:hAnsi="Calibri"/>
                <w:sz w:val="20"/>
              </w:rPr>
              <w:t xml:space="preserve">1.2</w:t>
            </w:r>
          </w:p>
        </w:tc>
      </w:tr>
      <w:tr>
        <w:tc>
          <w:tcPr/>
          <w:p>
            <w:pPr>
              <w:pStyle w:val="Compac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“reabre un interrogante decisivo”</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“Frente a este dilema”</w:t>
            </w:r>
          </w:p>
        </w:tc>
        <w:tc>
          <w:tcPr/>
          <w:p>
            <w:pPr>
              <w:pStyle w:val="Compact"/>
            </w:pPr>
            <w:r>
              <w:rPr>
                <w:rFonts w:ascii="Calibri" w:hAnsi="Calibri"/>
                <w:sz w:val="20"/>
              </w:rPr>
              <w:t xml:space="preserve">Reescrito</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Sacar la parte de</w:t>
            </w:r>
            <w:r>
              <w:rPr>
                <w:rFonts w:ascii="Calibri" w:hAnsi="Calibri"/>
                <w:sz w:val="20"/>
              </w:rPr>
              <w:t xml:space="preserve"> </w:t>
            </w:r>
            <w:r>
              <w:rPr>
                <w:rFonts w:ascii="Calibri" w:hAnsi="Calibri"/>
                <w:sz w:val="20"/>
              </w:rPr>
              <w:t xml:space="preserve">“margen de solvencia para honrar los compromisos”</w:t>
            </w:r>
            <w:r>
              <w:rPr>
                <w:rFonts w:ascii="Calibri" w:hAnsi="Calibri"/>
                <w:sz w:val="20"/>
              </w:rPr>
              <w:t xml:space="preserve"> </w:t>
            </w:r>
            <w:r>
              <w:rPr>
                <w:rFonts w:ascii="Calibri" w:hAnsi="Calibri"/>
                <w:sz w:val="20"/>
              </w:rPr>
              <w:t xml:space="preserve">del objetivo</w:t>
            </w:r>
          </w:p>
        </w:tc>
        <w:tc>
          <w:tcPr/>
          <w:p>
            <w:pPr>
              <w:pStyle w:val="Compact"/>
            </w:pPr>
            <w:r>
              <w:rPr>
                <w:rFonts w:ascii="Calibri" w:hAnsi="Calibri"/>
                <w:sz w:val="20"/>
              </w:rPr>
              <w:t xml:space="preserve">Sacada; el objetivo quedó en evaluar la dinámica y estimar la probabilidad de no estabilización</w:t>
            </w:r>
          </w:p>
        </w:tc>
        <w:tc>
          <w:tcPr/>
          <w:p>
            <w:pPr>
              <w:pStyle w:val="Compact"/>
            </w:pPr>
            <w:r>
              <w:rPr>
                <w:rFonts w:ascii="Calibri" w:hAnsi="Calibri"/>
                <w:sz w:val="20"/>
              </w:rPr>
              <w:t xml:space="preserve">1.4</w:t>
            </w:r>
          </w:p>
        </w:tc>
      </w:tr>
      <w:tr>
        <w:tc>
          <w:tcPr/>
          <w:p>
            <w:pPr>
              <w:pStyle w:val="Compact"/>
            </w:pPr>
            <w:r>
              <w:rPr>
                <w:rFonts w:ascii="Calibri" w:hAnsi="Calibri"/>
                <w:sz w:val="20"/>
              </w:rPr>
              <w:t xml:space="preserve">No escribir entre rayas (delata la IA)</w:t>
            </w:r>
          </w:p>
        </w:tc>
        <w:tc>
          <w:tcPr/>
          <w:p>
            <w:pPr>
              <w:pStyle w:val="Compact"/>
            </w:pPr>
            <w:r>
              <w:rPr>
                <w:rFonts w:ascii="Calibri" w:hAnsi="Calibri"/>
                <w:sz w:val="20"/>
              </w:rPr>
              <w:t xml:space="preserve">No queda ninguna raya en la tesis</w:t>
            </w:r>
          </w:p>
        </w:tc>
        <w:tc>
          <w:tcPr/>
          <w:p>
            <w:pPr>
              <w:pStyle w:val="Compact"/>
            </w:pPr>
            <w:r>
              <w:rPr>
                <w:rFonts w:ascii="Calibri" w:hAnsi="Calibri"/>
                <w:sz w:val="20"/>
              </w:rPr>
              <w:t xml:space="preserve">Todo el texto</w:t>
            </w:r>
          </w:p>
        </w:tc>
      </w:tr>
      <w:tr>
        <w:tc>
          <w:tcPr/>
          <w:p>
            <w:pPr>
              <w:pStyle w:val="Compact"/>
            </w:pPr>
            <w:r>
              <w:rPr>
                <w:rFonts w:ascii="Calibri" w:hAnsi="Calibri"/>
                <w:i/>
                <w:iCs/>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rFonts w:ascii="Calibri" w:hAnsi="Calibri"/>
                <w:i/>
                <w:iCs/>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pPr>
            <w:r>
              <w:rPr>
                <w:rFonts w:ascii="Calibri" w:hAnsi="Calibri"/>
                <w:sz w:val="20"/>
              </w:rPr>
              <w:t xml:space="preserve">Hecho</w:t>
            </w:r>
          </w:p>
        </w:tc>
        <w:tc>
          <w:tcPr/>
          <w:p>
            <w:pPr>
              <w:pStyle w:val="Compact"/>
            </w:pPr>
            <w:r>
              <w:rPr>
                <w:rFonts w:ascii="Calibri" w:hAnsi="Calibri"/>
                <w:sz w:val="20"/>
              </w:rPr>
              <w:t xml:space="preserve">Introducción y 2.5</w:t>
            </w:r>
          </w:p>
        </w:tc>
      </w:tr>
      <w:tr>
        <w:tc>
          <w:tcPr/>
          <w:p>
            <w:pPr>
              <w:pStyle w:val="Compac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“de 36,5% a 50,8%”</w:t>
            </w:r>
          </w:p>
        </w:tc>
        <w:tc>
          <w:tcPr/>
          <w:p>
            <w:pPr>
              <w:pStyle w:val="Compact"/>
            </w:pPr>
            <w:r>
              <w:rPr>
                <w:rFonts w:ascii="Calibri" w:hAnsi="Calibri"/>
                <w:sz w:val="20"/>
              </w:rPr>
              <w:t xml:space="preserve">Sacado</w:t>
            </w:r>
          </w:p>
        </w:tc>
        <w:tc>
          <w:tcPr/>
          <w:p>
            <w:pPr>
              <w:pStyle w:val="Compact"/>
            </w:pPr>
            <w:r>
              <w:rPr>
                <w:rFonts w:ascii="Calibri" w:hAnsi="Calibri"/>
                <w:sz w:val="20"/>
              </w:rPr>
              <w:t xml:space="preserve">2.7</w:t>
            </w:r>
          </w:p>
        </w:tc>
      </w:tr>
      <w:tr>
        <w:tc>
          <w:tcPr/>
          <w:p>
            <w:pPr>
              <w:pStyle w:val="Compact"/>
            </w:pPr>
            <w:r>
              <w:rPr>
                <w:rFonts w:ascii="Calibri" w:hAnsi="Calibri"/>
                <w:sz w:val="20"/>
              </w:rPr>
              <w:t xml:space="preserve">Cerrar Antecedentes con por qué esta metodología y estas variables (no se probó, cambió el contexto, hay una variable nueva)</w:t>
            </w:r>
          </w:p>
        </w:tc>
        <w:tc>
          <w:tcPr/>
          <w:p>
            <w:pPr>
              <w:pStyle w:val="Compact"/>
            </w:pPr>
            <w:r>
              <w:rPr>
                <w:rFonts w:ascii="Calibri" w:hAnsi="Calibri"/>
                <w:sz w:val="20"/>
              </w:rPr>
              <w:t xml:space="preserve">Párrafo de cierre; la justificación de la metodología se reformuló: arquitectura de Celasun et al. (2006) con datos argentinos y la métrica del FMI, para que el resultado sea comparable</w:t>
            </w:r>
          </w:p>
        </w:tc>
        <w:tc>
          <w:tcPr/>
          <w:p>
            <w:pPr>
              <w:pStyle w:val="Compact"/>
            </w:pPr>
            <w:r>
              <w:rPr>
                <w:rFonts w:ascii="Calibri" w:hAnsi="Calibri"/>
                <w:sz w:val="20"/>
              </w:rPr>
              <w:t xml:space="preserve">2.9</w:t>
            </w:r>
          </w:p>
        </w:tc>
      </w:tr>
    </w:tbl>
    <w:p>
      <w:pPr>
        <w:pStyle w:val="BodyText"/>
      </w:pPr>
      <w:r>
        <w:rPr>
          <w:b/>
          <w:bCs/>
        </w:rPr>
        <w:t xml:space="preserve">Decisiones de reuniones con Pablo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Decisión</w:t>
            </w:r>
          </w:p>
        </w:tc>
        <w:tc>
          <w:tcPr/>
          <w:p>
            <w:pPr>
              <w:pStyle w:val="Compact"/>
            </w:pPr>
            <w:r>
              <w:rPr>
                <w:rFonts w:ascii="Calibri" w:hAnsi="Calibri"/>
                <w:sz w:val="20"/>
              </w:rPr>
              <w:t xml:space="preserve">Cómo quedó</w:t>
            </w:r>
          </w:p>
        </w:tc>
      </w:tr>
      <w:tr>
        <w:tc>
          <w:tcPr/>
          <w:p>
            <w:pPr>
              <w:pStyle w:val="Compact"/>
            </w:pPr>
            <w:r>
              <w:rPr>
                <w:rFonts w:ascii="Calibri" w:hAnsi="Calibri"/>
                <w:sz w:val="20"/>
              </w:rPr>
              <w:t xml:space="preserve">No nombrar la</w:t>
            </w:r>
            <w:r>
              <w:rPr>
                <w:rFonts w:ascii="Calibri" w:hAnsi="Calibri"/>
                <w:sz w:val="20"/>
              </w:rPr>
              <w:t xml:space="preserve"> </w:t>
            </w:r>
            <w:r>
              <w:rPr>
                <w:rFonts w:ascii="Calibri" w:hAnsi="Calibri"/>
                <w:sz w:val="20"/>
              </w:rPr>
              <w:t xml:space="preserve">“ventana única”</w:t>
            </w:r>
            <w:r>
              <w:rPr>
                <w:rFonts w:ascii="Calibri" w:hAnsi="Calibri"/>
                <w:sz w:val="20"/>
              </w:rPr>
              <w:t xml:space="preserve"> </w:t>
            </w:r>
            <w:r>
              <w:rPr>
                <w:rFonts w:ascii="Calibri" w:hAnsi="Calibri"/>
                <w:sz w:val="20"/>
              </w:rPr>
              <w:t xml:space="preserve">(18/9)</w:t>
            </w:r>
          </w:p>
        </w:tc>
        <w:tc>
          <w:tcPr/>
          <w:p>
            <w:pPr>
              <w:pStyle w:val="Compact"/>
            </w:pPr>
            <w:r>
              <w:rPr>
                <w:rFonts w:ascii="Calibri" w:hAnsi="Calibri"/>
                <w:sz w:val="20"/>
              </w:rPr>
              <w:t xml:space="preserve">No aparece; se habla de</w:t>
            </w:r>
            <w:r>
              <w:rPr>
                <w:rFonts w:ascii="Calibri" w:hAnsi="Calibri"/>
                <w:sz w:val="20"/>
              </w:rPr>
              <w:t xml:space="preserve"> </w:t>
            </w:r>
            <w:r>
              <w:rPr>
                <w:rFonts w:ascii="Calibri" w:hAnsi="Calibri"/>
                <w:sz w:val="20"/>
              </w:rPr>
              <w:t xml:space="preserve">“muestra de estimación”</w:t>
            </w:r>
          </w:p>
        </w:tc>
      </w:tr>
      <w:tr>
        <w:tc>
          <w:tcPr/>
          <w:p>
            <w:pPr>
              <w:pStyle w:val="Compact"/>
            </w:pPr>
            <w:r>
              <w:rPr>
                <w:rFonts w:ascii="Calibri" w:hAnsi="Calibri"/>
                <w:sz w:val="20"/>
              </w:rPr>
              <w:t xml:space="preserve">No discutir en el texto si el riesgo país es endógeno (17/9)</w:t>
            </w:r>
          </w:p>
        </w:tc>
        <w:tc>
          <w:tcPr/>
          <w:p>
            <w:pPr>
              <w:pStyle w:val="Compact"/>
            </w:pPr>
            <w:r>
              <w:rPr>
                <w:rFonts w:ascii="Calibri" w:hAnsi="Calibri"/>
                <w:sz w:val="20"/>
              </w:rPr>
              <w:t xml:space="preserve">No aparece; queda como respuesta oral en la guía de defensa</w:t>
            </w:r>
          </w:p>
        </w:tc>
      </w:tr>
      <w:tr>
        <w:tc>
          <w:tcPr/>
          <w:p>
            <w:pPr>
              <w:pStyle w:val="Compac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“donde gira todo”</w:t>
            </w:r>
          </w:p>
        </w:tc>
        <w:tc>
          <w:tcPr/>
          <w:p>
            <w:pPr>
              <w:pStyle w:val="Compact"/>
            </w:pPr>
            <w:r>
              <w:rPr>
                <w:rFonts w:ascii="Calibri" w:hAnsi="Calibri"/>
                <w:sz w:val="20"/>
              </w:rPr>
              <w:t xml:space="preserve">Secciones 4.4 (identificación) y 4.3 (canales de la FED)</w:t>
            </w:r>
          </w:p>
        </w:tc>
      </w:tr>
      <w:tr>
        <w:tc>
          <w:tcPr/>
          <w:p>
            <w:pPr>
              <w:pStyle w:val="Compact"/>
            </w:pPr>
            <w:r>
              <w:rPr>
                <w:rFonts w:ascii="Calibri" w:hAnsi="Calibri"/>
                <w:sz w:val="20"/>
              </w:rPr>
              <w:t xml:space="preserve">Panel Argentina-Chile como 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Bajar la extensión</w:t>
            </w:r>
          </w:p>
        </w:tc>
        <w:tc>
          <w:tcPr/>
          <w:p>
            <w:pPr>
              <w:pStyle w:val="Compact"/>
            </w:pPr>
            <w:r>
              <w:rPr>
                <w:rFonts w:ascii="Calibri" w:hAnsi="Calibri"/>
                <w:sz w:val="20"/>
              </w:rPr>
              <w:t xml:space="preserve">69 páginas; falta acordar en el grupo qué se recorta para llegar a unas 60</w:t>
            </w:r>
          </w:p>
        </w:tc>
      </w:tr>
    </w:tbl>
    <w:p>
      <w:pPr>
        <w:pStyle w:val="BodyText"/>
      </w:pPr>
      <w:r>
        <w:rPr>
          <w:b/>
          <w:bCs/>
        </w:rPr>
        <w:t xml:space="preserve">Propuesta metodológica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Propuesta</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ADF y KPSS para raíz unitaria, Zivot-Andrews y Bai-Perron para quiebres</w:t>
            </w:r>
          </w:p>
        </w:tc>
        <w:tc>
          <w:tcPr/>
          <w:p>
            <w:pPr>
              <w:pStyle w:val="Compact"/>
            </w:pPr>
            <w:r>
              <w:rPr>
                <w:rFonts w:ascii="Calibri" w:hAnsi="Calibri"/>
                <w:sz w:val="20"/>
              </w:rPr>
              <w:t xml:space="preserve">Hecho; los quiebres de Bai-Perron entran como variables binarias</w:t>
            </w:r>
          </w:p>
        </w:tc>
        <w:tc>
          <w:tcPr/>
          <w:p>
            <w:pPr>
              <w:pStyle w:val="Compact"/>
            </w:pPr>
            <w:r>
              <w:rPr>
                <w:rFonts w:ascii="Calibri" w:hAnsi="Calibri"/>
                <w:sz w:val="20"/>
              </w:rPr>
              <w:t xml:space="preserve">4.2, 6.1 y A.1</w:t>
            </w:r>
          </w:p>
        </w:tc>
      </w:tr>
      <w:tr>
        <w:tc>
          <w:tcPr/>
          <w:p>
            <w:pPr>
              <w:pStyle w:val="Compact"/>
            </w:pPr>
            <w:r>
              <w:rPr>
                <w:rFonts w:ascii="Calibri" w:hAnsi="Calibri"/>
                <w:sz w:val="20"/>
              </w:rPr>
              <w:t xml:space="preserve">Selección de rezagos por AIC y BIC con residuos sin autocorrelación</w:t>
            </w:r>
          </w:p>
        </w:tc>
        <w:tc>
          <w:tcPr/>
          <w:p>
            <w:pPr>
              <w:pStyle w:val="Compact"/>
            </w:pPr>
            <w:r>
              <w:rPr>
                <w:rFonts w:ascii="Calibri" w:hAnsi="Calibri"/>
                <w:sz w:val="20"/>
              </w:rPr>
              <w:t xml:space="preserve">AIC sujeto a estabilidad; BIC y HQ informados. No se lograron residuos sin autocorrelación: la autocorrelación remanente se informa como limitación</w:t>
            </w:r>
          </w:p>
        </w:tc>
        <w:tc>
          <w:tcPr/>
          <w:p>
            <w:pPr>
              <w:pStyle w:val="Compact"/>
            </w:pPr>
            <w:r>
              <w:rPr>
                <w:rFonts w:ascii="Calibri" w:hAnsi="Calibri"/>
                <w:sz w:val="20"/>
              </w:rPr>
              <w:t xml:space="preserve">4.5, A.2 y 7.5</w:t>
            </w:r>
          </w:p>
        </w:tc>
      </w:tr>
      <w:tr>
        <w:tc>
          <w:tcPr/>
          <w:p>
            <w:pPr>
              <w:pStyle w:val="Compact"/>
            </w:pPr>
            <w:r>
              <w:rPr>
                <w:rFonts w:ascii="Calibri" w:hAnsi="Calibri"/>
                <w:sz w:val="20"/>
              </w:rPr>
              <w:t xml:space="preserve">Variables binarias por quiebres</w:t>
            </w:r>
          </w:p>
        </w:tc>
        <w:tc>
          <w:tcPr/>
          <w:p>
            <w:pPr>
              <w:pStyle w:val="Compact"/>
            </w:pPr>
            <w:r>
              <w:rPr>
                <w:rFonts w:ascii="Calibri" w:hAnsi="Calibri"/>
                <w:sz w:val="20"/>
              </w:rPr>
              <w:t xml:space="preserve">Hecho</w:t>
            </w:r>
          </w:p>
        </w:tc>
        <w:tc>
          <w:tcPr/>
          <w:p>
            <w:pPr>
              <w:pStyle w:val="Compact"/>
            </w:pPr>
            <w:r>
              <w:rPr>
                <w:rFonts w:ascii="Calibri" w:hAnsi="Calibri"/>
                <w:sz w:val="20"/>
              </w:rPr>
              <w:t xml:space="preserve">4.2</w:t>
            </w:r>
          </w:p>
        </w:tc>
      </w:tr>
      <w:tr>
        <w:tc>
          <w:tcPr/>
          <w:p>
            <w:pPr>
              <w:pStyle w:val="Compact"/>
            </w:pPr>
            <w:r>
              <w:rPr>
                <w:rFonts w:ascii="Calibri" w:hAnsi="Calibri"/>
                <w:sz w:val="20"/>
              </w:rPr>
              <w:t xml:space="preserve">Deuda consolidada como variable del sistema, la</w:t>
            </w:r>
            <w:r>
              <w:rPr>
                <w:rFonts w:ascii="Calibri" w:hAnsi="Calibri"/>
                <w:sz w:val="20"/>
              </w:rPr>
              <w:t xml:space="preserve"> </w:t>
            </w:r>
            <w:r>
              <w:rPr>
                <w:rFonts w:ascii="Calibri" w:hAnsi="Calibri"/>
                <w:sz w:val="20"/>
              </w:rPr>
              <w:t xml:space="preserve">“esponja contable”</w:t>
            </w:r>
            <w:r>
              <w:rPr>
                <w:rFonts w:ascii="Calibri" w:hAnsi="Calibri"/>
                <w:sz w:val="20"/>
              </w:rPr>
              <w:t xml:space="preserve"> </w:t>
            </w:r>
            <w:r>
              <w:rPr>
                <w:rFonts w:ascii="Calibri" w:hAnsi="Calibri"/>
                <w:sz w:val="20"/>
              </w:rPr>
              <w:t xml:space="preserve">(retroalimentación)</w:t>
            </w:r>
          </w:p>
        </w:tc>
        <w:tc>
          <w:tcPr/>
          <w:p>
            <w:pPr>
              <w:pStyle w:val="Compact"/>
            </w:pPr>
            <w:r>
              <w:rPr>
                <w:rFonts w:ascii="Calibri" w:hAnsi="Calibri"/>
                <w:sz w:val="20"/>
              </w:rPr>
              <w:t xml:space="preserve">La deuda rezagada entra en las cuatro ecuaciones y se acumula con la identidad: un punto más de deuda sube el EMBI+ 22 puntos básicos</w:t>
            </w:r>
          </w:p>
        </w:tc>
        <w:tc>
          <w:tcPr/>
          <w:p>
            <w:pPr>
              <w:pStyle w:val="Compact"/>
            </w:pPr>
            <w:r>
              <w:rPr>
                <w:rFonts w:ascii="Calibri" w:hAnsi="Calibri"/>
                <w:sz w:val="20"/>
              </w:rPr>
              <w:t xml:space="preserve">6.1</w:t>
            </w:r>
          </w:p>
        </w:tc>
      </w:tr>
      <w:tr>
        <w:tc>
          <w:tcPr/>
          <w:p>
            <w:pPr>
              <w:pStyle w:val="Compact"/>
            </w:pPr>
            <w:r>
              <w:rPr>
                <w:rFonts w:ascii="Calibri" w:hAnsi="Calibri"/>
                <w:sz w:val="20"/>
              </w:rPr>
              <w:t xml:space="preserve">Contraste con y sin retroalimentación</w:t>
            </w:r>
          </w:p>
        </w:tc>
        <w:tc>
          <w:tcPr/>
          <w:p>
            <w:pPr>
              <w:pStyle w:val="Compact"/>
            </w:pPr>
            <w:r>
              <w:rPr>
                <w:rFonts w:ascii="Calibri" w:hAnsi="Calibri"/>
                <w:sz w:val="20"/>
              </w:rPr>
              <w:t xml:space="preserve">Hecho; casi no cambia porque el riesgo país y el superávit se compensan</w:t>
            </w:r>
          </w:p>
        </w:tc>
        <w:tc>
          <w:tcPr/>
          <w:p>
            <w:pPr>
              <w:pStyle w:val="Compact"/>
            </w:pPr>
            <w:r>
              <w:rPr>
                <w:rFonts w:ascii="Calibri" w:hAnsi="Calibri"/>
                <w:sz w:val="20"/>
              </w:rPr>
              <w:t xml:space="preserve">6.6</w:t>
            </w:r>
          </w:p>
        </w:tc>
      </w:tr>
      <w:tr>
        <w:tc>
          <w:tcPr/>
          <w:p>
            <w:pPr>
              <w:pStyle w:val="Compact"/>
            </w:pPr>
            <w:r>
              <w:rPr>
                <w:rFonts w:ascii="Calibri" w:hAnsi="Calibri"/>
                <w:sz w:val="20"/>
              </w:rPr>
              <w:t xml:space="preserve">Cholesky con orden crecimiento, TCRM, EMBI+, resultado primario</w:t>
            </w:r>
          </w:p>
        </w:tc>
        <w:tc>
          <w:tcPr/>
          <w:p>
            <w:pPr>
              <w:pStyle w:val="Compact"/>
            </w:pPr>
            <w:r>
              <w:rPr>
                <w:rFonts w:ascii="Calibri" w:hAnsi="Calibri"/>
                <w:sz w:val="20"/>
              </w:rPr>
              <w:t xml:space="preserve">Como robustez; la identificación principal es Blanchard y Perotti, la que aprobó Pablo</w:t>
            </w:r>
          </w:p>
        </w:tc>
        <w:tc>
          <w:tcPr/>
          <w:p>
            <w:pPr>
              <w:pStyle w:val="Compact"/>
            </w:pPr>
            <w:r>
              <w:rPr>
                <w:rFonts w:ascii="Calibri" w:hAnsi="Calibri"/>
                <w:sz w:val="20"/>
              </w:rPr>
              <w:t xml:space="preserve">6.6</w:t>
            </w:r>
          </w:p>
        </w:tc>
      </w:tr>
      <w:tr>
        <w:tc>
          <w:tcPr/>
          <w:p>
            <w:pPr>
              <w:pStyle w:val="Compact"/>
            </w:pPr>
            <w:r>
              <w:rPr>
                <w:rFonts w:ascii="Calibri" w:hAnsi="Calibri"/>
                <w:sz w:val="20"/>
              </w:rPr>
              <w:t xml:space="preserve">Opción B: tasa en dólares desde el EMBI+ y tasa en pesos aparte</w:t>
            </w:r>
          </w:p>
        </w:tc>
        <w:tc>
          <w:tcPr/>
          <w:p>
            <w:pPr>
              <w:pStyle w:val="Compact"/>
            </w:pPr>
            <w:r>
              <w:rPr>
                <w:rFonts w:ascii="Calibri" w:hAnsi="Calibri"/>
                <w:sz w:val="20"/>
              </w:rPr>
              <w:t xml:space="preserve">Es la especificación principal; la variante con el riesgo país en la tasa en pesos se informa como robustez</w:t>
            </w:r>
          </w:p>
        </w:tc>
        <w:tc>
          <w:tcPr/>
          <w:p>
            <w:pPr>
              <w:pStyle w:val="Compact"/>
            </w:pPr>
            <w:r>
              <w:rPr>
                <w:rFonts w:ascii="Calibri" w:hAnsi="Calibri"/>
                <w:sz w:val="20"/>
              </w:rPr>
              <w:t xml:space="preserve">4.6 y 6.6</w:t>
            </w:r>
          </w:p>
        </w:tc>
      </w:tr>
      <w:tr>
        <w:tc>
          <w:tcPr/>
          <w:p>
            <w:pPr>
              <w:pStyle w:val="Compact"/>
            </w:pPr>
            <w:r>
              <w:rPr>
                <w:rFonts w:ascii="Calibri" w:hAnsi="Calibri"/>
                <w:sz w:val="20"/>
              </w:rPr>
              <w:t xml:space="preserve">Shock de la FED con la tasa sombra</w:t>
            </w:r>
          </w:p>
        </w:tc>
        <w:tc>
          <w:tcPr/>
          <w:p>
            <w:pPr>
              <w:pStyle w:val="Compact"/>
            </w:pPr>
            <w:r>
              <w:rPr>
                <w:rFonts w:ascii="Calibri" w:hAnsi="Calibri"/>
                <w:sz w:val="20"/>
              </w:rPr>
              <w:t xml:space="preserve">Hecho (Wu y Xia, 2016)</w:t>
            </w:r>
          </w:p>
        </w:tc>
        <w:tc>
          <w:tcPr/>
          <w:p>
            <w:pPr>
              <w:pStyle w:val="Compact"/>
            </w:pPr>
            <w:r>
              <w:rPr>
                <w:rFonts w:ascii="Calibri" w:hAnsi="Calibri"/>
                <w:sz w:val="20"/>
              </w:rPr>
              <w:t xml:space="preserve">5.4</w:t>
            </w:r>
          </w:p>
        </w:tc>
      </w:tr>
      <w:tr>
        <w:tc>
          <w:tcPr/>
          <w:p>
            <w:pPr>
              <w:pStyle w:val="Compact"/>
            </w:pPr>
            <w:r>
              <w:rPr>
                <w:rFonts w:ascii="Calibri" w:hAnsi="Calibri"/>
                <w:sz w:val="20"/>
              </w:rPr>
              <w:t xml:space="preserve">Shocks de la FED identificados por la literatura (alta frecuencia)</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Términos de intercambio (Lanteri, 2019)</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Probabilidad de que la deuda supere 100% del PIB</w:t>
            </w:r>
          </w:p>
        </w:tc>
        <w:tc>
          <w:tcPr/>
          <w:p>
            <w:pPr>
              <w:pStyle w:val="Compact"/>
            </w:pPr>
            <w:r>
              <w:rPr>
                <w:rFonts w:ascii="Calibri" w:hAnsi="Calibri"/>
                <w:sz w:val="20"/>
              </w:rPr>
              <w:t xml:space="preserve">Reemplazada por la métrica del FMI, porque el 100% no tiene fuente</w:t>
            </w:r>
          </w:p>
        </w:tc>
        <w:tc>
          <w:tcPr/>
          <w:p>
            <w:pPr>
              <w:pStyle w:val="Compact"/>
            </w:pPr>
            <w:r>
              <w:rPr>
                <w:rFonts w:ascii="Calibri" w:hAnsi="Calibri"/>
                <w:sz w:val="20"/>
              </w:rPr>
              <w:t xml:space="preserve">4.7</w:t>
            </w:r>
          </w:p>
        </w:tc>
      </w:tr>
      <w:tr>
        <w:tc>
          <w:tcPr/>
          <w:p>
            <w:pPr>
              <w:pStyle w:val="Compact"/>
            </w:pPr>
            <w:r>
              <w:rPr>
                <w:rFonts w:ascii="Calibri" w:hAnsi="Calibri"/>
                <w:sz w:val="20"/>
              </w:rPr>
              <w:t xml:space="preserve">Módulo de balanza de pagos</w:t>
            </w:r>
          </w:p>
        </w:tc>
        <w:tc>
          <w:tcPr/>
          <w:p>
            <w:pPr>
              <w:pStyle w:val="Compact"/>
            </w:pPr>
            <w:r>
              <w:rPr>
                <w:rFonts w:ascii="Calibri" w:hAnsi="Calibri"/>
                <w:sz w:val="20"/>
              </w:rPr>
              <w:t xml:space="preserve">Fuera del alcance (es otra tesis); 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Restricciones de signo y Blanchard-Quah</w:t>
            </w:r>
          </w:p>
        </w:tc>
        <w:tc>
          <w:tcPr/>
          <w:p>
            <w:pPr>
              <w:pStyle w:val="Compact"/>
            </w:pPr>
            <w:r>
              <w:rPr>
                <w:rFonts w:ascii="Calibri" w:hAnsi="Calibri"/>
                <w:sz w:val="20"/>
              </w:rPr>
              <w:t xml:space="preserve">No se usan: la neutralidad de largo plazo del TCRM es difícil de sostener para Argentina</w:t>
            </w:r>
          </w:p>
        </w:tc>
        <w:tc>
          <w:tcPr/>
          <w:p>
            <w:pPr>
              <w:pStyle w:val="Compact"/>
            </w:pPr>
            <w:r>
              <w:rPr>
                <w:rFonts w:ascii="Calibri" w:hAnsi="Calibri"/>
                <w:sz w:val="20"/>
              </w:rPr>
              <w:t xml:space="preserve">Guía de defensa</w:t>
            </w:r>
          </w:p>
        </w:tc>
      </w:tr>
      <w:tr>
        <w:tc>
          <w:tcPr/>
          <w:p>
            <w:pPr>
              <w:pStyle w:val="Compact"/>
            </w:pPr>
            <w:r>
              <w:rPr>
                <w:rFonts w:ascii="Calibri" w:hAnsi="Calibri"/>
                <w:sz w:val="20"/>
              </w:rPr>
              <w:t xml:space="preserve">X-13 para desestacionalizar</w:t>
            </w:r>
          </w:p>
        </w:tc>
        <w:tc>
          <w:tcPr/>
          <w:p>
            <w:pPr>
              <w:pStyle w:val="Compact"/>
            </w:pPr>
            <w:r>
              <w:rPr>
                <w:rFonts w:ascii="Calibri" w:hAnsi="Calibri"/>
                <w:sz w:val="20"/>
              </w:rPr>
              <w:t xml:space="preserve">Se usan variables binarias estacionales</w:t>
            </w:r>
          </w:p>
        </w:tc>
        <w:tc>
          <w:tcPr/>
          <w:p>
            <w:pPr>
              <w:pStyle w:val="Compact"/>
            </w:pPr>
            <w:r>
              <w:rPr>
                <w:rFonts w:ascii="Calibri" w:hAnsi="Calibri"/>
                <w:sz w:val="20"/>
              </w:rPr>
              <w:t xml:space="preserve">4.2</w:t>
            </w:r>
          </w:p>
        </w:tc>
      </w:tr>
    </w:tbl>
    <w:bookmarkEnd w:id="128"/>
    <w:bookmarkStart w:id="129" w:name="nota-4.-pendientes"/>
    <w:p>
      <w:pPr>
        <w:pStyle w:val="Heading2"/>
      </w:pPr>
      <w:r>
        <w:t xml:space="preserve">Nota 4. Pendientes</w:t>
      </w:r>
    </w:p>
    <w:p>
      <w:pPr>
        <w:pStyle w:val="Compact"/>
        <w:numPr>
          <w:ilvl w:val="0"/>
          <w:numId w:val="1018"/>
        </w:numPr>
      </w:pPr>
      <w:r>
        <w:t xml:space="preserve">Adler y Sosa: la versión anterior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alguien del equipo tiene la página de donde salió, se puede recuperar.</w:t>
      </w:r>
    </w:p>
    <w:p>
      <w:pPr>
        <w:pStyle w:val="Compact"/>
        <w:numPr>
          <w:ilvl w:val="0"/>
          <w:numId w:val="1018"/>
        </w:numPr>
      </w:pPr>
      <w:r>
        <w:t xml:space="preserve">Klemm et al. (2014) y Adler y Magud (2014) salieron del texto: no se pudo leer el capítulo de Klemm et al., y en Adler y Magud no está definido el índice que se les atribuía.</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11">
    <w:p>
      <w:pPr>
        <w:pStyle w:val="FootnoteText"/>
      </w:pPr>
      <w:r>
        <w:rPr>
          <w:rStyle w:val="FootnoteReference"/>
        </w:rPr>
        <w:footnoteRef/>
      </w:r>
      <w:r>
        <w:t xml:space="preserve"> </w:t>
      </w:r>
      <w:r>
        <w:rPr>
          <w:i/>
          <w:iCs/>
        </w:rPr>
        <w:t xml:space="preserve">Default</w:t>
      </w:r>
      <w:r>
        <w:t xml:space="preserve">: cesación de pagos de la deuda.</w:t>
      </w:r>
    </w:p>
  </w:footnote>
  <w:footnote w:id="12">
    <w:p>
      <w:pPr>
        <w:pStyle w:val="FootnoteText"/>
      </w:pPr>
      <w:r>
        <w:rPr>
          <w:rStyle w:val="FootnoteReference"/>
        </w:rPr>
        <w:footnoteRef/>
      </w:r>
      <w:r>
        <w:t xml:space="preserve"> </w:t>
      </w:r>
      <w:r>
        <w:rPr>
          <w:i/>
          <w:iCs/>
        </w:rPr>
        <w:t xml:space="preserve">Stock</w:t>
      </w:r>
      <w:r>
        <w:t xml:space="preserve">: saldo de una variable en un momento dado, por oposición a un flujo.</w:t>
      </w:r>
    </w:p>
  </w:footnote>
  <w:footnote w:id="16">
    <w:p>
      <w:pPr>
        <w:pStyle w:val="FootnoteText"/>
      </w:pPr>
      <w:r>
        <w:rPr>
          <w:rStyle w:val="FootnoteReference"/>
        </w:rPr>
        <w:footnoteRef/>
      </w:r>
      <w:r>
        <w:t xml:space="preserve"> </w:t>
      </w:r>
      <w:r>
        <w:rPr>
          <w:i/>
          <w:iCs/>
        </w:rPr>
        <w:t xml:space="preserve">Shock</w:t>
      </w:r>
      <w:r>
        <w:t xml:space="preserve">: perturbación inesperada que afecta a una variable del sistema y se transmite a las demás.</w:t>
      </w:r>
    </w:p>
  </w:footnote>
  <w:footnote w:id="19">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5">
    <w:p>
      <w:pPr>
        <w:pStyle w:val="FootnoteText"/>
      </w:pPr>
      <w:r>
        <w:rPr>
          <w:rStyle w:val="FootnoteReference"/>
        </w:rPr>
        <w:footnoteRef/>
      </w:r>
      <w:r>
        <w:t xml:space="preserve"> </w:t>
      </w:r>
      <w:r>
        <w:t xml:space="preserve">Acreedores que rechazan una reestructuración y reclaman judicialmente el pago completo.</w:t>
      </w:r>
    </w:p>
  </w:footnote>
  <w:footnote w:id="29">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30">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33">
    <w:p>
      <w:pPr>
        <w:pStyle w:val="FootnoteText"/>
      </w:pPr>
      <w:r>
        <w:rPr>
          <w:rStyle w:val="FootnoteReference"/>
        </w:rPr>
        <w:footnoteRef/>
      </w:r>
      <w:r>
        <w:t xml:space="preserve"> </w:t>
      </w:r>
      <w:r>
        <w:t xml:space="preserve">El FMI revisó la cifra a 155,4% en su informe de 2025 (FMI, 2025, anexo II, cuadro 2).</w:t>
      </w:r>
    </w:p>
  </w:footnote>
  <w:footnote w:id="34">
    <w:p>
      <w:pPr>
        <w:pStyle w:val="FootnoteText"/>
      </w:pPr>
      <w:r>
        <w:rPr>
          <w:rStyle w:val="FootnoteReference"/>
        </w:rPr>
        <w:footnoteRef/>
      </w:r>
      <w:r>
        <w:t xml:space="preserve"> </w:t>
      </w:r>
      <w:r>
        <w:rPr>
          <w:i/>
          <w:iCs/>
        </w:rPr>
        <w:t xml:space="preserve">Bootstrap</w:t>
      </w:r>
      <w:r>
        <w:t xml:space="preserve">: método de remuestreo que aproxima la distribución de un estimador repitiendo la estimación sobre muestras generadas a partir de los propios datos.</w:t>
      </w:r>
    </w:p>
  </w:footnote>
  <w:footnote w:id="37">
    <w:p>
      <w:pPr>
        <w:pStyle w:val="FootnoteText"/>
      </w:pPr>
      <w:r>
        <w:rPr>
          <w:rStyle w:val="FootnoteReference"/>
        </w:rPr>
        <w:footnoteRef/>
      </w:r>
      <w:r>
        <w:t xml:space="preserve"> </w:t>
      </w:r>
      <w:r>
        <w:rPr>
          <w:i/>
          <w:iCs/>
        </w:rPr>
        <w:t xml:space="preserve">Spread</w:t>
      </w:r>
      <w:r>
        <w:t xml:space="preserve">: diferencia de rendimiento entre un bono y otro de referencia; en el caso soberano, entre los bonos del país y los del Tesoro de Estados Unidos.</w:t>
      </w:r>
    </w:p>
  </w:footnote>
  <w:footnote w:id="62">
    <w:p>
      <w:pPr>
        <w:pStyle w:val="FootnoteText"/>
      </w:pPr>
      <w:r>
        <w:rPr>
          <w:rStyle w:val="FootnoteReference"/>
        </w:rPr>
        <w:footnoteRef/>
      </w:r>
      <w:r>
        <w:t xml:space="preserve"> </w:t>
      </w:r>
      <w:r>
        <w:rPr>
          <w:i/>
          <w:iCs/>
        </w:rPr>
        <w:t xml:space="preserve">Swap</w:t>
      </w:r>
      <w:r>
        <w:t xml:space="preserve">: acuerdo de intercambio de monedas entre bancos centrales.</w:t>
      </w:r>
    </w:p>
  </w:footnote>
  <w:footnote w:id="68">
    <w:p>
      <w:pPr>
        <w:pStyle w:val="FootnoteText"/>
      </w:pPr>
      <w:r>
        <w:rPr>
          <w:rStyle w:val="FootnoteReference"/>
        </w:rPr>
        <w:footnoteRef/>
      </w:r>
      <w:r>
        <w:t xml:space="preserve"> </w:t>
      </w:r>
      <w:r>
        <w:rPr>
          <w:i/>
          <w:iCs/>
        </w:rPr>
        <w:t xml:space="preserve">Stripped spread</w:t>
      </w:r>
      <w:r>
        <w:t xml:space="preserve">: diferencial de rendimiento de un bono</w:t>
      </w:r>
      <w:r>
        <w:t xml:space="preserve"> </w:t>
      </w:r>
      <w:r>
        <w:rPr>
          <w:i/>
          <w:iCs/>
        </w:rPr>
        <w:t xml:space="preserve">Brady</w:t>
      </w:r>
      <w:r>
        <w:t xml:space="preserve"> </w:t>
      </w:r>
      <w:r>
        <w:t xml:space="preserve">calculado sobre la parte no garantizada de sus flujos, una vez descontado el valor de las garantías en bonos del Tesoro de Estados Unidos.</w:t>
      </w:r>
    </w:p>
  </w:footnote>
  <w:footnote w:id="69">
    <w:p>
      <w:pPr>
        <w:pStyle w:val="FootnoteText"/>
      </w:pPr>
      <w:r>
        <w:rPr>
          <w:rStyle w:val="FootnoteReference"/>
        </w:rPr>
        <w:footnoteRef/>
      </w:r>
      <w:r>
        <w:t xml:space="preserve"> </w:t>
      </w:r>
      <w:r>
        <w:rPr>
          <w:i/>
          <w:iCs/>
        </w:rPr>
        <w:t xml:space="preserve">Brady</w:t>
      </w:r>
      <w:r>
        <w:t xml:space="preserve">: bonos emitidos por países en desarrollo en la década de 1990 para canjear préstamos bancarios en cesación de pagos, según el plan que lleva el nombre del secretario del Tesoro de Estados Unidos Nicholas</w:t>
      </w:r>
      <w:r>
        <w:t xml:space="preserve"> </w:t>
      </w:r>
      <w:r>
        <w:rPr>
          <w:i/>
          <w:iCs/>
        </w:rPr>
        <w:t xml:space="preserve">Brady</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png"/><Relationship Id="rId70" Type="http://schemas.openxmlformats.org/officeDocument/2006/relationships/image" Target="media/rId70.png"/><Relationship Id="rId73" Type="http://schemas.openxmlformats.org/officeDocument/2006/relationships/image" Target="media/rId73.png"/><Relationship Id="rId80" Type="http://schemas.openxmlformats.org/officeDocument/2006/relationships/image" Target="media/rId80.png"/><Relationship Id="rId84" Type="http://schemas.openxmlformats.org/officeDocument/2006/relationships/image" Target="media/rId84.png"/><Relationship Id="rId91" Type="http://schemas.openxmlformats.org/officeDocument/2006/relationships/image" Target="media/rId91.png"/><Relationship Id="rId97" Type="http://schemas.openxmlformats.org/officeDocument/2006/relationships/image" Target="media/rId97.png"/><Relationship Id="rId88" Type="http://schemas.openxmlformats.org/officeDocument/2006/relationships/image" Target="media/rId88.png"/><Relationship Id="rId103" Type="http://schemas.openxmlformats.org/officeDocument/2006/relationships/image" Target="media/rId103.png"/><Relationship Id="rId106" Type="http://schemas.openxmlformats.org/officeDocument/2006/relationships/image" Target="media/rId10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2026-10-12T20:13:58Z</dcterms:created>
  <dcterms:modified xsi:type="dcterms:W3CDTF">2026-10-12T20:13:58Z</dcterms:modified>
</cp:coreProperties>
</file>

<file path=docProps/custom.xml><?xml version="1.0" encoding="utf-8"?>
<Properties xmlns="http://schemas.openxmlformats.org/officeDocument/2006/custom-properties" xmlns:vt="http://schemas.openxmlformats.org/officeDocument/2006/docPropsVTypes"/>
</file>